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Tomasz Michniewicz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B2B Strategic Management Consultant | Neonet SA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Określanie priorytetów przywódczych równoważących oczekiwania właścicieli, ambicje strategiczne i realia ekonomiczne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Priorytety przywódcze a wspólne dane decyzyjne w Neonet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„Określanie priorytetów przywódczych równoważących oczekiwania właścicieli, ambicje strategiczne i realia ekonomiczne"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wspólne cele cross-funkcyjne wymagają wspólnych danych decyzyjnych  -  zwłaszcza w retailu electronics, gdzie dane kosztowe i zakupowe mają bezpośredni wpływ na marżę. Zauważyłem, że rozbieżności między oczekiwaniami właścicieli a realiami operacyjnymi często wynikają z braku spójnej perspektywy między finansami, sprzedażą i zakupami.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stosując prosty framework Cost/Trend/Dostawca/Decyzja, można lepiej zrozumieć koszty, prognozy rynkowe oraz ryzyka dostawców, by podejmować bardziej skoordynowane decyzje i chronić marżę.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znajdzie Pan 15–20 minut na krótką rozmowę, aby wymienić się doświadczeniami w tym obszarze?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wspólne dane mogą ułatwić egzekucję strategii w Neonet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chciałem rozwinąć temat rozbieżności między oczekiwaniami właścicieli a realiami operacyjnymi, które omawialiśmy na panelu.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uporządkowanie decyzji zakupowych wokół kosztu, trendów rynkowych oraz ryzyka dostawców pozwala uniknąć nieplanowanych podwyżek i lepiej zabezpieczyć marżę. Taka transparentność ułatwia też wspólne ustalanie priorytetów i lepsze zaangażowanie zespołu.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szczegółami i przykładami, jeśli miałby Pan ochotę na krótką rozmowę.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Wymiana perspektyw na temat priorytetów i decyzji zakupowych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Tomaszu,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chciałem jeszcze zaproponować krótką wymianę perspektyw na temat priorytetów przywódczych i danych zakupowych w Neonet. Może to być też sanity check dla jednego z kluczowych obszarów.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chwilę na taką rozmowę?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