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14" w:type="dxa"/>
        <w:tblInd w:w="-14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7513"/>
        <w:gridCol w:w="1701"/>
      </w:tblGrid>
      <w:tr w:rsidR="00F610EB" w:rsidRPr="006C0E6D" w14:paraId="7F2D15E1" w14:textId="77777777" w:rsidTr="00456BC5">
        <w:tc>
          <w:tcPr>
            <w:tcW w:w="7513" w:type="dxa"/>
            <w:shd w:val="clear" w:color="auto" w:fill="E8E8E8" w:themeFill="background2"/>
          </w:tcPr>
          <w:p w14:paraId="2EF6839E" w14:textId="571C42A5" w:rsidR="00F610EB" w:rsidRPr="006C0E6D" w:rsidRDefault="006B4202" w:rsidP="00F610EB">
            <w:pPr>
              <w:rPr>
                <w:rFonts w:asciiTheme="minorHAnsi" w:hAnsiTheme="minorHAnsi" w:cs="Poppins"/>
                <w:b/>
                <w:bCs/>
                <w:color w:val="0D0D0D" w:themeColor="text1" w:themeTint="F2"/>
              </w:rPr>
            </w:pPr>
            <w:r>
              <w:rPr>
                <w:rFonts w:asciiTheme="minorHAnsi" w:hAnsiTheme="minorHAnsi" w:cs="Poppins"/>
                <w:b/>
                <w:bCs/>
                <w:color w:val="0D0D0D" w:themeColor="text1" w:themeTint="F2"/>
                <w:lang w:val="pl-PL"/>
              </w:rPr>
              <w:t xml:space="preserve">CZĘSTE </w:t>
            </w:r>
            <w:r w:rsidR="006C0E6D" w:rsidRPr="006C0E6D">
              <w:rPr>
                <w:rFonts w:asciiTheme="minorHAnsi" w:hAnsiTheme="minorHAnsi" w:cs="Poppins"/>
                <w:b/>
                <w:bCs/>
                <w:color w:val="0D0D0D" w:themeColor="text1" w:themeTint="F2"/>
              </w:rPr>
              <w:t>PYTANIA I ODPOWIEDZI SPENDGURU DLA QEMETICA</w:t>
            </w:r>
          </w:p>
        </w:tc>
        <w:tc>
          <w:tcPr>
            <w:tcW w:w="1701" w:type="dxa"/>
            <w:shd w:val="clear" w:color="auto" w:fill="E8E8E8" w:themeFill="background2"/>
            <w:vAlign w:val="center"/>
          </w:tcPr>
          <w:p w14:paraId="422421AF" w14:textId="29ADF9EF" w:rsidR="00F610EB" w:rsidRPr="006C0E6D" w:rsidRDefault="00F610EB" w:rsidP="00F610EB">
            <w:pPr>
              <w:jc w:val="right"/>
              <w:rPr>
                <w:rFonts w:asciiTheme="minorHAnsi" w:hAnsiTheme="minorHAnsi" w:cs="Poppins"/>
                <w:b/>
                <w:bCs/>
                <w:color w:val="0D0D0D" w:themeColor="text1" w:themeTint="F2"/>
              </w:rPr>
            </w:pPr>
          </w:p>
        </w:tc>
      </w:tr>
    </w:tbl>
    <w:p w14:paraId="3F2D91D6" w14:textId="77777777" w:rsidR="00161BE9" w:rsidRPr="006C0E6D" w:rsidRDefault="00161BE9" w:rsidP="000132A9">
      <w:pPr>
        <w:rPr>
          <w:rFonts w:asciiTheme="minorHAnsi" w:hAnsiTheme="minorHAnsi" w:cs="Poppins"/>
          <w:b/>
          <w:bCs/>
          <w:color w:val="0D0D0D" w:themeColor="text1" w:themeTint="F2"/>
          <w:sz w:val="4"/>
          <w:szCs w:val="4"/>
        </w:rPr>
      </w:pPr>
    </w:p>
    <w:p w14:paraId="71C9728C" w14:textId="77777777" w:rsidR="00A17E0B" w:rsidRDefault="00A17E0B" w:rsidP="00A17E0B">
      <w:pPr>
        <w:spacing w:after="120"/>
        <w:rPr>
          <w:rFonts w:asciiTheme="minorHAnsi" w:hAnsiTheme="minorHAnsi" w:cs="Poppins"/>
          <w:color w:val="0D0D0D" w:themeColor="text1" w:themeTint="F2"/>
          <w:sz w:val="20"/>
          <w:szCs w:val="20"/>
        </w:rPr>
      </w:pPr>
    </w:p>
    <w:p w14:paraId="7CFE803A" w14:textId="3896A60B" w:rsidR="00A17E0B" w:rsidRPr="00A17E0B" w:rsidRDefault="00A17E0B" w:rsidP="00A17E0B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A17E0B">
        <w:rPr>
          <w:rFonts w:asciiTheme="minorHAnsi" w:hAnsiTheme="minorHAnsi" w:cs="Poppins"/>
          <w:color w:val="0D0D0D" w:themeColor="text1" w:themeTint="F2"/>
        </w:rPr>
        <w:t>Po naszych spotkaniach</w:t>
      </w:r>
      <w:r w:rsidR="006B4202">
        <w:rPr>
          <w:rFonts w:asciiTheme="minorHAnsi" w:hAnsiTheme="minorHAnsi" w:cs="Poppins"/>
          <w:color w:val="0D0D0D" w:themeColor="text1" w:themeTint="F2"/>
          <w:lang w:val="pl-PL"/>
        </w:rPr>
        <w:t xml:space="preserve"> i prezentacji</w:t>
      </w:r>
      <w:r w:rsidRPr="00A17E0B">
        <w:rPr>
          <w:rFonts w:asciiTheme="minorHAnsi" w:hAnsiTheme="minorHAnsi" w:cs="Poppins"/>
          <w:color w:val="0D0D0D" w:themeColor="text1" w:themeTint="F2"/>
        </w:rPr>
        <w:t xml:space="preserve"> demo zebraliśmy odpowiedzi na najczęściej pojawiające się pytania dotyczące wykorzystania SpendGuru w praktyce - szczególnie w obszarach benchmarków, prognoz, analizy dostawców, wdrożenia i zastosowania w negocjacjach. </w:t>
      </w:r>
    </w:p>
    <w:p w14:paraId="491C4B9C" w14:textId="634E58C3" w:rsidR="00A17E0B" w:rsidRPr="006B4202" w:rsidRDefault="00A17E0B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A17E0B">
        <w:rPr>
          <w:rFonts w:asciiTheme="minorHAnsi" w:hAnsiTheme="minorHAnsi" w:cs="Poppins"/>
          <w:color w:val="0D0D0D" w:themeColor="text1" w:themeTint="F2"/>
        </w:rPr>
        <w:t>Poniżej lista Q&amp;A porządkująca te kwestie.</w:t>
      </w:r>
    </w:p>
    <w:p w14:paraId="16F72E37" w14:textId="77777777" w:rsidR="00A17E0B" w:rsidRPr="00F8743D" w:rsidRDefault="00A17E0B" w:rsidP="006C0E6D">
      <w:pPr>
        <w:spacing w:after="120"/>
        <w:rPr>
          <w:rFonts w:asciiTheme="minorHAnsi" w:hAnsiTheme="minorHAnsi" w:cs="Poppins"/>
          <w:b/>
          <w:bCs/>
          <w:color w:val="0D0D0D" w:themeColor="text1" w:themeTint="F2"/>
          <w:sz w:val="20"/>
          <w:szCs w:val="20"/>
        </w:rPr>
      </w:pPr>
    </w:p>
    <w:sdt>
      <w:sdtPr>
        <w:rPr>
          <w:rFonts w:ascii="Times New Roman" w:hAnsi="Times New Roman"/>
          <w:b w:val="0"/>
          <w:bCs w:val="0"/>
          <w:color w:val="0D0D0D" w:themeColor="text1" w:themeTint="F2"/>
          <w:sz w:val="24"/>
          <w:szCs w:val="24"/>
        </w:rPr>
        <w:id w:val="-174872782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31B3309" w14:textId="2C63040A" w:rsidR="00F8743D" w:rsidRPr="00F8743D" w:rsidRDefault="006C0E6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r w:rsidRPr="00F8743D">
            <w:rPr>
              <w:b w:val="0"/>
              <w:bCs w:val="0"/>
              <w:color w:val="0D0D0D" w:themeColor="text1" w:themeTint="F2"/>
            </w:rPr>
            <w:fldChar w:fldCharType="begin"/>
          </w:r>
          <w:r w:rsidRPr="00F8743D">
            <w:rPr>
              <w:b w:val="0"/>
              <w:bCs w:val="0"/>
              <w:color w:val="0D0D0D" w:themeColor="text1" w:themeTint="F2"/>
            </w:rPr>
            <w:instrText xml:space="preserve"> TOC \o "1-3" \h \z \u </w:instrText>
          </w:r>
          <w:r w:rsidRPr="00F8743D">
            <w:rPr>
              <w:b w:val="0"/>
              <w:bCs w:val="0"/>
              <w:color w:val="0D0D0D" w:themeColor="text1" w:themeTint="F2"/>
            </w:rPr>
            <w:fldChar w:fldCharType="separate"/>
          </w:r>
          <w:hyperlink w:anchor="_Toc224238660" w:history="1">
            <w:r w:rsidR="00F8743D" w:rsidRPr="00F8743D">
              <w:rPr>
                <w:rStyle w:val="Hyperlink"/>
                <w:b w:val="0"/>
                <w:bCs w:val="0"/>
                <w:noProof/>
              </w:rPr>
              <w:t xml:space="preserve">1. Czy modele kategorii prezentowane podczas </w:t>
            </w:r>
            <w:r w:rsidR="00F8743D" w:rsidRPr="00F8743D">
              <w:rPr>
                <w:rStyle w:val="Hyperlink"/>
                <w:b w:val="0"/>
                <w:bCs w:val="0"/>
                <w:noProof/>
                <w:lang w:val="pl-PL"/>
              </w:rPr>
              <w:t>s</w:t>
            </w:r>
            <w:r w:rsidR="00F8743D" w:rsidRPr="00F8743D">
              <w:rPr>
                <w:rStyle w:val="Hyperlink"/>
                <w:b w:val="0"/>
                <w:bCs w:val="0"/>
                <w:noProof/>
              </w:rPr>
              <w:t xml:space="preserve">potkań demostracyjnych są finalnymi </w:t>
            </w:r>
            <w:r w:rsidR="00F8743D" w:rsidRPr="00F8743D">
              <w:rPr>
                <w:rStyle w:val="Hyperlink"/>
                <w:b w:val="0"/>
                <w:bCs w:val="0"/>
                <w:noProof/>
                <w:lang w:val="pl-PL"/>
              </w:rPr>
              <w:t>i</w:t>
            </w:r>
            <w:r w:rsidR="00F8743D" w:rsidRPr="00F8743D">
              <w:rPr>
                <w:rStyle w:val="Hyperlink"/>
                <w:b w:val="0"/>
                <w:bCs w:val="0"/>
                <w:noProof/>
              </w:rPr>
              <w:t xml:space="preserve"> ostatecznymi?</w:t>
            </w:r>
            <w:r w:rsidR="00F8743D" w:rsidRPr="00F8743D">
              <w:rPr>
                <w:b w:val="0"/>
                <w:bCs w:val="0"/>
                <w:noProof/>
                <w:webHidden/>
              </w:rPr>
              <w:tab/>
            </w:r>
            <w:r w:rsidR="00F8743D"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="00F8743D" w:rsidRPr="00F8743D">
              <w:rPr>
                <w:b w:val="0"/>
                <w:bCs w:val="0"/>
                <w:noProof/>
                <w:webHidden/>
              </w:rPr>
              <w:instrText xml:space="preserve"> PAGEREF _Toc224238660 \h </w:instrText>
            </w:r>
            <w:r w:rsidR="00F8743D" w:rsidRPr="00F8743D">
              <w:rPr>
                <w:b w:val="0"/>
                <w:bCs w:val="0"/>
                <w:noProof/>
                <w:webHidden/>
              </w:rPr>
            </w:r>
            <w:r w:rsidR="00F8743D"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="00F8743D" w:rsidRPr="00F8743D">
              <w:rPr>
                <w:b w:val="0"/>
                <w:bCs w:val="0"/>
                <w:noProof/>
                <w:webHidden/>
              </w:rPr>
              <w:t>2</w:t>
            </w:r>
            <w:r w:rsidR="00F8743D"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5818D74" w14:textId="7F3AB844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61" w:history="1">
            <w:r w:rsidRPr="00F8743D">
              <w:rPr>
                <w:rStyle w:val="Hyperlink"/>
                <w:b w:val="0"/>
                <w:bCs w:val="0"/>
                <w:noProof/>
              </w:rPr>
              <w:t>2. Jak bardzo można dopasować model kosztowy do specyfiki Qemetiki?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_Toc224238661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2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61C62ED" w14:textId="68B494CA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62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 xml:space="preserve">3. </w:t>
            </w:r>
            <w:r w:rsidRPr="00F8743D">
              <w:rPr>
                <w:rStyle w:val="Hyperlink"/>
                <w:b w:val="0"/>
                <w:bCs w:val="0"/>
                <w:noProof/>
              </w:rPr>
              <w:t>Czy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 xml:space="preserve"> da się pracować na różnych wariantach tej samej kategorii?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_Toc224238662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2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A0BE906" w14:textId="53D5EE56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63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 xml:space="preserve">4. </w:t>
            </w:r>
            <w:r w:rsidRPr="00F8743D">
              <w:rPr>
                <w:rStyle w:val="Hyperlink"/>
                <w:b w:val="0"/>
                <w:bCs w:val="0"/>
                <w:noProof/>
              </w:rPr>
              <w:t xml:space="preserve">SpendGuru nie ma możliwości połączenia i pobierania danych z naszych systemów </w:t>
            </w:r>
            <w:r w:rsidRPr="00F8743D">
              <w:rPr>
                <w:rStyle w:val="Hyperlink"/>
                <w:b w:val="0"/>
                <w:bCs w:val="0"/>
                <w:noProof/>
                <w:lang w:val="pl-PL"/>
              </w:rPr>
              <w:t xml:space="preserve">ERP </w:t>
            </w:r>
            <w:r w:rsidRPr="00F8743D">
              <w:rPr>
                <w:rStyle w:val="Hyperlink"/>
                <w:b w:val="0"/>
                <w:bCs w:val="0"/>
                <w:noProof/>
              </w:rPr>
              <w:t>(np. historycznych cen zakupów kategorii do porównania z kosztem zasadnym, wartości wydatków w kategorii itp.). Czy trzeba to wszystko ręcznie wpisywać?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_Toc224238663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2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5F77D99" w14:textId="1A004B7F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64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 xml:space="preserve">5. </w:t>
            </w:r>
            <w:r w:rsidRPr="00F8743D">
              <w:rPr>
                <w:rStyle w:val="Hyperlink"/>
                <w:b w:val="0"/>
                <w:bCs w:val="0"/>
                <w:noProof/>
              </w:rPr>
              <w:t xml:space="preserve">Mój Business Unit będzie korzystać tylko z jednej kategorii – </w:t>
            </w:r>
            <w:r w:rsidRPr="00F8743D">
              <w:rPr>
                <w:rStyle w:val="Hyperlink"/>
                <w:b w:val="0"/>
                <w:bCs w:val="0"/>
                <w:noProof/>
                <w:lang w:val="pl-PL"/>
              </w:rPr>
              <w:t>nie wiem czy zakup licencji będzie opłacalny z perspektywy mojego Business unitu</w:t>
            </w:r>
            <w:r w:rsidRPr="00F8743D">
              <w:rPr>
                <w:rStyle w:val="Hyperlink"/>
                <w:b w:val="0"/>
                <w:bCs w:val="0"/>
                <w:noProof/>
              </w:rPr>
              <w:t>.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_Toc224238664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3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29A1812" w14:textId="41B6AE54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65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 xml:space="preserve">6. </w:t>
            </w:r>
            <w:r w:rsidRPr="00F8743D">
              <w:rPr>
                <w:rStyle w:val="Hyperlink"/>
                <w:b w:val="0"/>
                <w:bCs w:val="0"/>
                <w:noProof/>
              </w:rPr>
              <w:t>Co w sytuacji, kiedy wybrany benchmark kategorii nie odpowiada naszym cenom zakupu (np. EUWID vs. papier testiner)?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_Toc224238665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3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C9A3AEF" w14:textId="02D702FE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66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7. Czy można porównać Wasz koszt zasadny z naszą ceną zakupu?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_Toc224238666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3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3D3DF35" w14:textId="7C01F2F9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67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8. Na ile transparentne są źródła danych?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_Toc224238667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4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226BBD0" w14:textId="4C22BDBC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68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 xml:space="preserve">9. Jak sprawdzana jest trafność prognoz w 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  <w:lang w:val="pl-PL"/>
              </w:rPr>
              <w:t xml:space="preserve">module 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Crystal Ball?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_Toc224238668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4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2FFDFF3" w14:textId="004D9C26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69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10. Czy prognozowanie nie jest po prostu kolejną zbędną informacją?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_Toc224238669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4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D3F2864" w14:textId="18BD4A62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70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 xml:space="preserve">11. Jakie scenariusze są dostępne w 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  <w:lang w:val="pl-PL"/>
              </w:rPr>
              <w:t xml:space="preserve">module 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Crystal Ball?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_Toc224238670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4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AFD9097" w14:textId="6AB5F6BE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71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 xml:space="preserve">12. Jak szeroki jest zakres danych o dostawcach w 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  <w:lang w:val="pl-PL"/>
              </w:rPr>
              <w:t xml:space="preserve">module 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X-Ray?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_Toc224238671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4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CA0F241" w14:textId="4579D8B7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72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13. Czy analiza dostawców obejmuje tylko Polskę?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_Toc224238672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5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57A9C20" w14:textId="1C18E346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73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 xml:space="preserve">14. Czy 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  <w:lang w:val="pl-PL"/>
              </w:rPr>
              <w:t xml:space="preserve">moduł 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Newsfeed to tylko zbiór linków do artykułów?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_Toc224238673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5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BC462D8" w14:textId="32B1A05D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74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 xml:space="preserve">15. Czy 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  <w:lang w:val="pl-PL"/>
              </w:rPr>
              <w:t xml:space="preserve">moduł 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Deal Maker to tylko generator slajdów?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_Toc224238674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5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810F5F9" w14:textId="3DD3CD3B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75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16. Czy zespół będzie realnie używał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  <w:lang w:val="pl-PL"/>
              </w:rPr>
              <w:t xml:space="preserve"> SpendGuru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_Toc224238675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5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DB934E2" w14:textId="08679FA5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76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18. Mamy własne analizy i Excela - po co nam dodatkowe narzędzie?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_Toc224238676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6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52EC3BA" w14:textId="436E15D8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77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19. Co jeśli dostawca powie, że benchmark jest nieporównywalny?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_Toc224238677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6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E1799B4" w14:textId="1099465D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78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20. Czy SpendGuru wspiera tylko oszczędności, czy także inne KPI zakupowe?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_Toc224238678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6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A704DC7" w14:textId="51301DB4" w:rsidR="00F8743D" w:rsidRPr="00F8743D" w:rsidRDefault="00F8743D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24238679" w:history="1"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21. Czy SpendGuru pomoże nam w negocjacjach z dostawcą, jeśli i tak nie da się już ob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  <w:lang w:val="pl-PL"/>
              </w:rPr>
              <w:t>n</w:t>
            </w:r>
            <w:r w:rsidRPr="00F8743D">
              <w:rPr>
                <w:rStyle w:val="Hyperlink"/>
                <w:rFonts w:cs="Poppins"/>
                <w:b w:val="0"/>
                <w:bCs w:val="0"/>
                <w:noProof/>
              </w:rPr>
              <w:t>iżyć ceny?</w:t>
            </w:r>
            <w:r w:rsidRPr="00F8743D">
              <w:rPr>
                <w:b w:val="0"/>
                <w:bCs w:val="0"/>
                <w:noProof/>
                <w:webHidden/>
              </w:rPr>
              <w:tab/>
            </w:r>
            <w:r w:rsidRPr="00F8743D">
              <w:rPr>
                <w:b w:val="0"/>
                <w:bCs w:val="0"/>
                <w:noProof/>
                <w:webHidden/>
              </w:rPr>
              <w:fldChar w:fldCharType="begin"/>
            </w:r>
            <w:r w:rsidRPr="00F8743D">
              <w:rPr>
                <w:b w:val="0"/>
                <w:bCs w:val="0"/>
                <w:noProof/>
                <w:webHidden/>
              </w:rPr>
              <w:instrText xml:space="preserve"> PAGEREF _Toc224238679 \h </w:instrText>
            </w:r>
            <w:r w:rsidRPr="00F8743D">
              <w:rPr>
                <w:b w:val="0"/>
                <w:bCs w:val="0"/>
                <w:noProof/>
                <w:webHidden/>
              </w:rPr>
            </w:r>
            <w:r w:rsidRPr="00F8743D">
              <w:rPr>
                <w:b w:val="0"/>
                <w:bCs w:val="0"/>
                <w:noProof/>
                <w:webHidden/>
              </w:rPr>
              <w:fldChar w:fldCharType="separate"/>
            </w:r>
            <w:r w:rsidRPr="00F8743D">
              <w:rPr>
                <w:b w:val="0"/>
                <w:bCs w:val="0"/>
                <w:noProof/>
                <w:webHidden/>
              </w:rPr>
              <w:t>7</w:t>
            </w:r>
            <w:r w:rsidRPr="00F8743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A0834AF" w14:textId="2164BEC2" w:rsidR="006C0E6D" w:rsidRPr="00F8743D" w:rsidRDefault="006C0E6D">
          <w:pPr>
            <w:rPr>
              <w:rFonts w:asciiTheme="minorHAnsi" w:hAnsiTheme="minorHAnsi"/>
              <w:color w:val="0D0D0D" w:themeColor="text1" w:themeTint="F2"/>
            </w:rPr>
          </w:pPr>
          <w:r w:rsidRPr="00F8743D">
            <w:rPr>
              <w:rFonts w:asciiTheme="minorHAnsi" w:hAnsiTheme="minorHAnsi"/>
              <w:noProof/>
              <w:color w:val="0D0D0D" w:themeColor="text1" w:themeTint="F2"/>
            </w:rPr>
            <w:fldChar w:fldCharType="end"/>
          </w:r>
        </w:p>
      </w:sdtContent>
    </w:sdt>
    <w:p w14:paraId="2BCBAF53" w14:textId="77777777" w:rsidR="006C0E6D" w:rsidRPr="00F8743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  <w:sz w:val="20"/>
          <w:szCs w:val="20"/>
          <w:lang w:val="pl-PL"/>
        </w:rPr>
      </w:pPr>
    </w:p>
    <w:p w14:paraId="5E943A7D" w14:textId="30F80EDD" w:rsidR="006C0E6D" w:rsidRPr="00F8743D" w:rsidRDefault="006C0E6D" w:rsidP="00A21765">
      <w:pPr>
        <w:spacing w:after="160" w:line="278" w:lineRule="auto"/>
        <w:rPr>
          <w:rFonts w:asciiTheme="minorHAnsi" w:hAnsiTheme="minorHAnsi" w:cs="Poppins"/>
          <w:color w:val="0D0D0D" w:themeColor="text1" w:themeTint="F2"/>
          <w:sz w:val="20"/>
          <w:szCs w:val="20"/>
        </w:rPr>
      </w:pPr>
      <w:r w:rsidRPr="00F8743D">
        <w:rPr>
          <w:rFonts w:asciiTheme="minorHAnsi" w:hAnsiTheme="minorHAnsi" w:cs="Poppins"/>
          <w:color w:val="0D0D0D" w:themeColor="text1" w:themeTint="F2"/>
          <w:sz w:val="20"/>
          <w:szCs w:val="20"/>
        </w:rPr>
        <w:br w:type="page"/>
      </w:r>
    </w:p>
    <w:p w14:paraId="292F6E65" w14:textId="58EBE5C1" w:rsidR="005C1063" w:rsidRPr="006C0E6D" w:rsidRDefault="005C1063" w:rsidP="005C1063">
      <w:pPr>
        <w:pStyle w:val="Heading2"/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</w:pPr>
      <w:bookmarkStart w:id="0" w:name="_Toc224238660"/>
      <w:r w:rsidRPr="006C0E6D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lastRenderedPageBreak/>
        <w:t xml:space="preserve">1. </w:t>
      </w:r>
      <w:r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 xml:space="preserve">Czy modele kategorii prezentowane podczas </w:t>
      </w:r>
      <w:r w:rsidR="006B4202">
        <w:rPr>
          <w:rFonts w:asciiTheme="minorHAnsi" w:hAnsiTheme="minorHAnsi"/>
          <w:b/>
          <w:bCs/>
          <w:color w:val="0D0D0D" w:themeColor="text1" w:themeTint="F2"/>
          <w:sz w:val="24"/>
          <w:szCs w:val="24"/>
          <w:lang w:val="pl-PL"/>
        </w:rPr>
        <w:t>s</w:t>
      </w:r>
      <w:r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 xml:space="preserve">potkań demostracyjnych są finalnymi </w:t>
      </w:r>
      <w:r w:rsidR="00346B8A">
        <w:rPr>
          <w:rFonts w:asciiTheme="minorHAnsi" w:hAnsiTheme="minorHAnsi"/>
          <w:b/>
          <w:bCs/>
          <w:color w:val="0D0D0D" w:themeColor="text1" w:themeTint="F2"/>
          <w:sz w:val="24"/>
          <w:szCs w:val="24"/>
          <w:lang w:val="pl-PL"/>
        </w:rPr>
        <w:t>i</w:t>
      </w:r>
      <w:r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 xml:space="preserve"> ostatecznymi</w:t>
      </w:r>
      <w:r w:rsidRPr="006C0E6D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>?</w:t>
      </w:r>
      <w:bookmarkEnd w:id="0"/>
      <w:r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 xml:space="preserve"> </w:t>
      </w:r>
    </w:p>
    <w:p w14:paraId="1BAAD3BD" w14:textId="77777777" w:rsidR="005C1063" w:rsidRPr="006C0E6D" w:rsidRDefault="005C1063" w:rsidP="005C1063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0389BDBD" w14:textId="6CD9F36E" w:rsidR="005C1063" w:rsidRPr="006C0E6D" w:rsidRDefault="005C1063" w:rsidP="005C1063">
      <w:pPr>
        <w:spacing w:after="120"/>
        <w:rPr>
          <w:rFonts w:asciiTheme="minorHAnsi" w:hAnsiTheme="minorHAnsi" w:cs="Poppins"/>
          <w:color w:val="0D0D0D" w:themeColor="text1" w:themeTint="F2"/>
        </w:rPr>
      </w:pPr>
      <w:r>
        <w:rPr>
          <w:rFonts w:asciiTheme="minorHAnsi" w:hAnsiTheme="minorHAnsi" w:cs="Poppins"/>
          <w:color w:val="0D0D0D" w:themeColor="text1" w:themeTint="F2"/>
        </w:rPr>
        <w:t xml:space="preserve">Podczas spotkań mieliście słuszne uwagi do adekwatności modeli </w:t>
      </w:r>
      <w:r w:rsidR="00346B8A">
        <w:rPr>
          <w:rFonts w:asciiTheme="minorHAnsi" w:hAnsiTheme="minorHAnsi" w:cs="Poppins"/>
          <w:color w:val="0D0D0D" w:themeColor="text1" w:themeTint="F2"/>
          <w:lang w:val="pl-PL"/>
        </w:rPr>
        <w:t>i</w:t>
      </w:r>
      <w:r w:rsidR="00346B8A">
        <w:rPr>
          <w:rFonts w:asciiTheme="minorHAnsi" w:hAnsiTheme="minorHAnsi" w:cs="Poppins"/>
          <w:color w:val="0D0D0D" w:themeColor="text1" w:themeTint="F2"/>
        </w:rPr>
        <w:t xml:space="preserve"> </w:t>
      </w:r>
      <w:r>
        <w:rPr>
          <w:rFonts w:asciiTheme="minorHAnsi" w:hAnsiTheme="minorHAnsi" w:cs="Poppins"/>
          <w:color w:val="0D0D0D" w:themeColor="text1" w:themeTint="F2"/>
        </w:rPr>
        <w:t xml:space="preserve">że nie </w:t>
      </w:r>
      <w:r w:rsidR="00346B8A">
        <w:rPr>
          <w:rFonts w:asciiTheme="minorHAnsi" w:hAnsiTheme="minorHAnsi" w:cs="Poppins"/>
          <w:color w:val="0D0D0D" w:themeColor="text1" w:themeTint="F2"/>
          <w:lang w:val="pl-PL"/>
        </w:rPr>
        <w:t xml:space="preserve">zawsze </w:t>
      </w:r>
      <w:r>
        <w:rPr>
          <w:rFonts w:asciiTheme="minorHAnsi" w:hAnsiTheme="minorHAnsi" w:cs="Poppins"/>
          <w:color w:val="0D0D0D" w:themeColor="text1" w:themeTint="F2"/>
        </w:rPr>
        <w:t>odpowi</w:t>
      </w:r>
      <w:r w:rsidR="00346B8A">
        <w:rPr>
          <w:rFonts w:asciiTheme="minorHAnsi" w:hAnsiTheme="minorHAnsi" w:cs="Poppins"/>
          <w:color w:val="0D0D0D" w:themeColor="text1" w:themeTint="F2"/>
          <w:lang w:val="pl-PL"/>
        </w:rPr>
        <w:t>a</w:t>
      </w:r>
      <w:r>
        <w:rPr>
          <w:rFonts w:asciiTheme="minorHAnsi" w:hAnsiTheme="minorHAnsi" w:cs="Poppins"/>
          <w:color w:val="0D0D0D" w:themeColor="text1" w:themeTint="F2"/>
        </w:rPr>
        <w:t>dają one Waszym realiom. Potwierdzamy – a wynikało to z tego, że modele były tworzone z myślą o prezentacji działania aplikacji SpendGuru. Dodatkowo, tworzyliśmy je na podstawie krótkich opisów kategorii, jakie zgłaszaliście – np. opakowania, transport, utrzymanie ruchu. W kolejnych krokac</w:t>
      </w:r>
      <w:r w:rsidR="00346B8A">
        <w:rPr>
          <w:rFonts w:asciiTheme="minorHAnsi" w:hAnsiTheme="minorHAnsi" w:cs="Poppins"/>
          <w:color w:val="0D0D0D" w:themeColor="text1" w:themeTint="F2"/>
          <w:lang w:val="pl-PL"/>
        </w:rPr>
        <w:t>h</w:t>
      </w:r>
      <w:r>
        <w:rPr>
          <w:rFonts w:asciiTheme="minorHAnsi" w:hAnsiTheme="minorHAnsi" w:cs="Poppins"/>
          <w:color w:val="0D0D0D" w:themeColor="text1" w:themeTint="F2"/>
        </w:rPr>
        <w:t xml:space="preserve"> podczas wdrożenia </w:t>
      </w:r>
      <w:r w:rsidR="00346B8A">
        <w:rPr>
          <w:rFonts w:asciiTheme="minorHAnsi" w:hAnsiTheme="minorHAnsi" w:cs="Poppins"/>
          <w:color w:val="0D0D0D" w:themeColor="text1" w:themeTint="F2"/>
          <w:lang w:val="pl-PL"/>
        </w:rPr>
        <w:t>prze</w:t>
      </w:r>
      <w:r>
        <w:rPr>
          <w:rFonts w:asciiTheme="minorHAnsi" w:hAnsiTheme="minorHAnsi" w:cs="Poppins"/>
          <w:color w:val="0D0D0D" w:themeColor="text1" w:themeTint="F2"/>
        </w:rPr>
        <w:t xml:space="preserve">prowadzimy pogłębioną analizę Waszcyh potrzeb </w:t>
      </w:r>
      <w:r w:rsidR="00346B8A">
        <w:rPr>
          <w:rFonts w:asciiTheme="minorHAnsi" w:hAnsiTheme="minorHAnsi" w:cs="Poppins"/>
          <w:color w:val="0D0D0D" w:themeColor="text1" w:themeTint="F2"/>
          <w:lang w:val="pl-PL"/>
        </w:rPr>
        <w:t>i</w:t>
      </w:r>
      <w:r w:rsidR="00346B8A">
        <w:rPr>
          <w:rFonts w:asciiTheme="minorHAnsi" w:hAnsiTheme="minorHAnsi" w:cs="Poppins"/>
          <w:color w:val="0D0D0D" w:themeColor="text1" w:themeTint="F2"/>
        </w:rPr>
        <w:t xml:space="preserve"> </w:t>
      </w:r>
      <w:r>
        <w:rPr>
          <w:rFonts w:asciiTheme="minorHAnsi" w:hAnsiTheme="minorHAnsi" w:cs="Poppins"/>
          <w:color w:val="0D0D0D" w:themeColor="text1" w:themeTint="F2"/>
        </w:rPr>
        <w:t>oczekiwań co do kategorii, zazwyczaj mamy kilka iteracji. Dla nas najważniejsze jest zbudowanie modeli, które obronią się podczas Waszch negocjacji – z uwzględnieniem specyfiki, lokalizacji itp. czynników. To co widzieliście do tej pory – to było demo SpendGuru jako narzędzia, a nie prezentacja gotowych I działachących W Qemetica kategorii.</w:t>
      </w:r>
    </w:p>
    <w:p w14:paraId="00AA87FC" w14:textId="77777777" w:rsidR="005C1063" w:rsidRDefault="005C1063" w:rsidP="006C0E6D">
      <w:pPr>
        <w:pStyle w:val="Heading2"/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</w:pPr>
    </w:p>
    <w:p w14:paraId="7794B6AE" w14:textId="0FE185D5" w:rsidR="006C0E6D" w:rsidRPr="006C0E6D" w:rsidRDefault="005C1063" w:rsidP="006C0E6D">
      <w:pPr>
        <w:pStyle w:val="Heading2"/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</w:pPr>
      <w:bookmarkStart w:id="1" w:name="_Toc224238661"/>
      <w:r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>2</w:t>
      </w:r>
      <w:r w:rsidR="006C0E6D" w:rsidRPr="006C0E6D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>. Jak bardzo można dopasować model kosztowy do specyfiki Qemetiki?</w:t>
      </w:r>
      <w:bookmarkEnd w:id="1"/>
    </w:p>
    <w:p w14:paraId="3E6F539A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6D68E7F5" w14:textId="74A58343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color w:val="0D0D0D" w:themeColor="text1" w:themeTint="F2"/>
        </w:rPr>
        <w:t>Model można dopasować do realiów Waszej kategorii. W Cost Scan da się modyfikować strukturę kosztu</w:t>
      </w:r>
      <w:r w:rsidR="00C944DF">
        <w:rPr>
          <w:rFonts w:asciiTheme="minorHAnsi" w:hAnsiTheme="minorHAnsi" w:cs="Poppins"/>
          <w:color w:val="0D0D0D" w:themeColor="text1" w:themeTint="F2"/>
          <w:lang w:val="pl-PL"/>
        </w:rPr>
        <w:t xml:space="preserve"> zasadnego</w:t>
      </w:r>
      <w:r w:rsidRPr="006C0E6D">
        <w:rPr>
          <w:rFonts w:asciiTheme="minorHAnsi" w:hAnsiTheme="minorHAnsi" w:cs="Poppins"/>
          <w:color w:val="0D0D0D" w:themeColor="text1" w:themeTint="F2"/>
        </w:rPr>
        <w:t>, na przykład udział surowców, transportu, energii czy pracy, tak żeby model lepiej odzwierciedlał Waszą rzeczywistość zakupową. Jeżeli dana kategoria wymaga większej szczegółowości, można też schodzić na niższy poziom</w:t>
      </w:r>
      <w:r w:rsidR="005C1063">
        <w:rPr>
          <w:rFonts w:asciiTheme="minorHAnsi" w:hAnsiTheme="minorHAnsi" w:cs="Poppins"/>
          <w:color w:val="0D0D0D" w:themeColor="text1" w:themeTint="F2"/>
        </w:rPr>
        <w:t xml:space="preserve">.  To my wspólnie budujemy modele kategorii – tak, żeby odzwierciedlały </w:t>
      </w:r>
      <w:r w:rsidR="00C62989">
        <w:rPr>
          <w:rFonts w:asciiTheme="minorHAnsi" w:hAnsiTheme="minorHAnsi" w:cs="Poppins"/>
          <w:color w:val="0D0D0D" w:themeColor="text1" w:themeTint="F2"/>
        </w:rPr>
        <w:t>Wasze kategorie.</w:t>
      </w:r>
    </w:p>
    <w:p w14:paraId="102DFD51" w14:textId="4ACC053B" w:rsidR="006C0E6D" w:rsidRPr="006C0E6D" w:rsidRDefault="005C1063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2" w:name="_Toc224238662"/>
      <w:r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3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 xml:space="preserve">. </w:t>
      </w:r>
      <w:r w:rsidR="006C0E6D" w:rsidRPr="006C0E6D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>Czy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 xml:space="preserve"> da się pracować na różnych wariantach tej samej kategorii?</w:t>
      </w:r>
      <w:bookmarkEnd w:id="2"/>
    </w:p>
    <w:p w14:paraId="4F5BCBE4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7DE6F2BF" w14:textId="579A9C79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color w:val="0D0D0D" w:themeColor="text1" w:themeTint="F2"/>
        </w:rPr>
        <w:t xml:space="preserve">Tak. Jeżeli w danej kategorii występują różne warianty, parametry lub specyfikacje, model można doprecyzować tak, żeby lepiej oddawał Wasz kontekst zakupowy. </w:t>
      </w:r>
      <w:r w:rsidR="00C944DF">
        <w:rPr>
          <w:rFonts w:asciiTheme="minorHAnsi" w:hAnsiTheme="minorHAnsi" w:cs="Poppins"/>
          <w:color w:val="0D0D0D" w:themeColor="text1" w:themeTint="F2"/>
          <w:lang w:val="pl-PL"/>
        </w:rPr>
        <w:t xml:space="preserve">Przykładowo, dla jednego z klientów w kategorii „pręt zbrojeniowy” mamy 5 różnych modeli kosztowych dla różnych indeksów (w zależności od grubości i składu danego indeksu). </w:t>
      </w:r>
      <w:r w:rsidRPr="006C0E6D">
        <w:rPr>
          <w:rFonts w:asciiTheme="minorHAnsi" w:hAnsiTheme="minorHAnsi" w:cs="Poppins"/>
          <w:color w:val="0D0D0D" w:themeColor="text1" w:themeTint="F2"/>
        </w:rPr>
        <w:t xml:space="preserve">Zakres szczegółowości zależy od dostępności benchmarków i jakości danych, ale sam model </w:t>
      </w:r>
      <w:r w:rsidR="001F78E7">
        <w:rPr>
          <w:rFonts w:asciiTheme="minorHAnsi" w:hAnsiTheme="minorHAnsi" w:cs="Poppins"/>
          <w:color w:val="0D0D0D" w:themeColor="text1" w:themeTint="F2"/>
        </w:rPr>
        <w:t>umożliwia</w:t>
      </w:r>
      <w:r w:rsidRPr="006C0E6D">
        <w:rPr>
          <w:rFonts w:asciiTheme="minorHAnsi" w:hAnsiTheme="minorHAnsi" w:cs="Poppins"/>
          <w:color w:val="0D0D0D" w:themeColor="text1" w:themeTint="F2"/>
        </w:rPr>
        <w:t xml:space="preserve"> takie dopasowanie.</w:t>
      </w:r>
    </w:p>
    <w:p w14:paraId="663CC4AD" w14:textId="204AF699" w:rsidR="001F78E7" w:rsidRPr="006C0E6D" w:rsidRDefault="005C1063" w:rsidP="001F78E7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3" w:name="_Toc224238663"/>
      <w:r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4</w:t>
      </w:r>
      <w:r w:rsidR="001F78E7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 xml:space="preserve">. </w:t>
      </w:r>
      <w:r w:rsidR="001F78E7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 xml:space="preserve">SpendGuru nie ma możliwości połączenia i pobierania danych z naszych systemów </w:t>
      </w:r>
      <w:r w:rsidR="00C944DF">
        <w:rPr>
          <w:rFonts w:asciiTheme="minorHAnsi" w:hAnsiTheme="minorHAnsi"/>
          <w:b/>
          <w:bCs/>
          <w:color w:val="0D0D0D" w:themeColor="text1" w:themeTint="F2"/>
          <w:sz w:val="24"/>
          <w:szCs w:val="24"/>
          <w:lang w:val="pl-PL"/>
        </w:rPr>
        <w:t xml:space="preserve">ERP </w:t>
      </w:r>
      <w:r w:rsidR="001F78E7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 xml:space="preserve">(np. historycznych cen zakupów kategorii do porównania z kosztem zasadnym, wartości </w:t>
      </w:r>
      <w:r w:rsidR="00A26EAE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>wydatków w</w:t>
      </w:r>
      <w:r w:rsidR="001F78E7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 xml:space="preserve"> kategorii itp.). Czy trzeba to wszystko ręcznie wpisywać?</w:t>
      </w:r>
      <w:bookmarkEnd w:id="3"/>
    </w:p>
    <w:p w14:paraId="44520554" w14:textId="77777777" w:rsidR="001F78E7" w:rsidRPr="006C0E6D" w:rsidRDefault="001F78E7" w:rsidP="001F78E7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15FFB1B0" w14:textId="005CA665" w:rsidR="001F78E7" w:rsidRDefault="001F78E7" w:rsidP="001F78E7">
      <w:pPr>
        <w:spacing w:after="120"/>
        <w:rPr>
          <w:rFonts w:asciiTheme="minorHAnsi" w:hAnsiTheme="minorHAnsi" w:cs="Poppins"/>
          <w:color w:val="0D0D0D" w:themeColor="text1" w:themeTint="F2"/>
        </w:rPr>
      </w:pPr>
      <w:r>
        <w:rPr>
          <w:rFonts w:asciiTheme="minorHAnsi" w:hAnsiTheme="minorHAnsi" w:cs="Poppins"/>
          <w:color w:val="0D0D0D" w:themeColor="text1" w:themeTint="F2"/>
        </w:rPr>
        <w:lastRenderedPageBreak/>
        <w:t xml:space="preserve">Oczywiście, że nie. SpendGuru został zaprojektowany w taki sposób, aby był mozliwy do wdrożenia w organizacji “od zaraz”, bez konieczności długotrwałych i kosztownych </w:t>
      </w:r>
      <w:r w:rsidR="00C944DF">
        <w:rPr>
          <w:rFonts w:asciiTheme="minorHAnsi" w:hAnsiTheme="minorHAnsi" w:cs="Poppins"/>
          <w:color w:val="0D0D0D" w:themeColor="text1" w:themeTint="F2"/>
          <w:lang w:val="pl-PL"/>
        </w:rPr>
        <w:t>i</w:t>
      </w:r>
      <w:r>
        <w:rPr>
          <w:rFonts w:asciiTheme="minorHAnsi" w:hAnsiTheme="minorHAnsi" w:cs="Poppins"/>
          <w:color w:val="0D0D0D" w:themeColor="text1" w:themeTint="F2"/>
        </w:rPr>
        <w:t xml:space="preserve">ntegracji. Jeśli chodzi o zasilanie SpendGuru </w:t>
      </w:r>
      <w:r w:rsidR="00456BC5">
        <w:rPr>
          <w:rFonts w:asciiTheme="minorHAnsi" w:hAnsiTheme="minorHAnsi" w:cs="Poppins"/>
          <w:color w:val="0D0D0D" w:themeColor="text1" w:themeTint="F2"/>
        </w:rPr>
        <w:t>W</w:t>
      </w:r>
      <w:r>
        <w:rPr>
          <w:rFonts w:asciiTheme="minorHAnsi" w:hAnsiTheme="minorHAnsi" w:cs="Poppins"/>
          <w:color w:val="0D0D0D" w:themeColor="text1" w:themeTint="F2"/>
        </w:rPr>
        <w:t xml:space="preserve">aszymi danymi </w:t>
      </w:r>
      <w:r w:rsidR="00A26EAE">
        <w:rPr>
          <w:rFonts w:asciiTheme="minorHAnsi" w:hAnsiTheme="minorHAnsi" w:cs="Poppins"/>
          <w:color w:val="0D0D0D" w:themeColor="text1" w:themeTint="F2"/>
        </w:rPr>
        <w:t>–</w:t>
      </w:r>
      <w:r>
        <w:rPr>
          <w:rFonts w:asciiTheme="minorHAnsi" w:hAnsiTheme="minorHAnsi" w:cs="Poppins"/>
          <w:color w:val="0D0D0D" w:themeColor="text1" w:themeTint="F2"/>
        </w:rPr>
        <w:t xml:space="preserve"> wystarczy przesłać nam plik z danymi danymi w dowolnej formie (np Excel, .html, .xml, .pdf), a my zasilimy modele wszystkimi danymi. Możemy to zrobić jednorazowo na początku współpracy, ale również możemy robić to cyklicznie – np. Co miesiąc lub co kwartał. </w:t>
      </w:r>
    </w:p>
    <w:p w14:paraId="12317AEC" w14:textId="203271E5" w:rsidR="00A26EAE" w:rsidRPr="006C0E6D" w:rsidRDefault="00C62989" w:rsidP="00A26EAE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4" w:name="_Toc224238664"/>
      <w:r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5</w:t>
      </w:r>
      <w:r w:rsidR="00A26EAE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 xml:space="preserve">. </w:t>
      </w:r>
      <w:r w:rsidR="00A26EAE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 xml:space="preserve">Mój Business Unit będzie korzystać tylko z jednej kategorii – </w:t>
      </w:r>
      <w:r w:rsidR="00C944DF">
        <w:rPr>
          <w:rFonts w:asciiTheme="minorHAnsi" w:hAnsiTheme="minorHAnsi"/>
          <w:b/>
          <w:bCs/>
          <w:color w:val="0D0D0D" w:themeColor="text1" w:themeTint="F2"/>
          <w:sz w:val="24"/>
          <w:szCs w:val="24"/>
          <w:lang w:val="pl-PL"/>
        </w:rPr>
        <w:t xml:space="preserve">nie wiem czy zakup licencji będzie opłacalny z perspektywy mojego Business </w:t>
      </w:r>
      <w:r w:rsidR="00456BC5">
        <w:rPr>
          <w:rFonts w:asciiTheme="minorHAnsi" w:hAnsiTheme="minorHAnsi"/>
          <w:b/>
          <w:bCs/>
          <w:color w:val="0D0D0D" w:themeColor="text1" w:themeTint="F2"/>
          <w:sz w:val="24"/>
          <w:szCs w:val="24"/>
          <w:lang w:val="pl-PL"/>
        </w:rPr>
        <w:t>U</w:t>
      </w:r>
      <w:r w:rsidR="00C944DF">
        <w:rPr>
          <w:rFonts w:asciiTheme="minorHAnsi" w:hAnsiTheme="minorHAnsi"/>
          <w:b/>
          <w:bCs/>
          <w:color w:val="0D0D0D" w:themeColor="text1" w:themeTint="F2"/>
          <w:sz w:val="24"/>
          <w:szCs w:val="24"/>
          <w:lang w:val="pl-PL"/>
        </w:rPr>
        <w:t>nitu</w:t>
      </w:r>
      <w:r w:rsidR="00A26EAE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>.</w:t>
      </w:r>
      <w:bookmarkEnd w:id="4"/>
    </w:p>
    <w:p w14:paraId="0F4561CA" w14:textId="77777777" w:rsidR="00A26EAE" w:rsidRPr="006C0E6D" w:rsidRDefault="00A26EAE" w:rsidP="00A26EAE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21A56D53" w14:textId="37BDB473" w:rsidR="00A26EAE" w:rsidRPr="00A21765" w:rsidRDefault="00A26EAE" w:rsidP="00A21765">
      <w:pPr>
        <w:spacing w:after="120"/>
        <w:rPr>
          <w:rFonts w:asciiTheme="minorHAnsi" w:hAnsiTheme="minorHAnsi" w:cs="Poppins"/>
          <w:color w:val="0D0D0D" w:themeColor="text1" w:themeTint="F2"/>
        </w:rPr>
      </w:pPr>
      <w:r>
        <w:rPr>
          <w:rFonts w:asciiTheme="minorHAnsi" w:hAnsiTheme="minorHAnsi" w:cs="Poppins"/>
          <w:color w:val="0D0D0D" w:themeColor="text1" w:themeTint="F2"/>
        </w:rPr>
        <w:t xml:space="preserve">SpendGuru, dzięki bardzo zindywidualizowanemu modelowi kategorii i prognozom ze sprawdzalnością nawet &gt;80% ma dawać </w:t>
      </w:r>
      <w:r w:rsidR="00C62989">
        <w:rPr>
          <w:rFonts w:asciiTheme="minorHAnsi" w:hAnsiTheme="minorHAnsi" w:cs="Poppins"/>
          <w:color w:val="0D0D0D" w:themeColor="text1" w:themeTint="F2"/>
        </w:rPr>
        <w:t xml:space="preserve">i daje – co potwierdzają nasi klienci - </w:t>
      </w:r>
      <w:r>
        <w:rPr>
          <w:rFonts w:asciiTheme="minorHAnsi" w:hAnsiTheme="minorHAnsi" w:cs="Poppins"/>
          <w:color w:val="0D0D0D" w:themeColor="text1" w:themeTint="F2"/>
        </w:rPr>
        <w:t xml:space="preserve">oszczędności. Nasi klienci to potwierdzają – np. możliwość kupienia większej ilości surowca lub kategorii “na dołku” – tuż przed wzrostem ceny, prognozowanej w Crystal Ball. Więc przy dużych wolumenach śledzenie trendów cenowych i wykorzystywanie rynkowych okazji pozwoli na osiągnięcie rentwoności z narzędzia. Dodatkowo, każdy Busieness Unit </w:t>
      </w:r>
      <w:r w:rsidR="00C944DF">
        <w:rPr>
          <w:rFonts w:asciiTheme="minorHAnsi" w:hAnsiTheme="minorHAnsi" w:cs="Poppins"/>
          <w:color w:val="0D0D0D" w:themeColor="text1" w:themeTint="F2"/>
          <w:lang w:val="pl-PL"/>
        </w:rPr>
        <w:t>będzie miał</w:t>
      </w:r>
      <w:r w:rsidR="00C944DF">
        <w:rPr>
          <w:rFonts w:asciiTheme="minorHAnsi" w:hAnsiTheme="minorHAnsi" w:cs="Poppins"/>
          <w:color w:val="0D0D0D" w:themeColor="text1" w:themeTint="F2"/>
        </w:rPr>
        <w:t xml:space="preserve"> </w:t>
      </w:r>
      <w:r>
        <w:rPr>
          <w:rFonts w:asciiTheme="minorHAnsi" w:hAnsiTheme="minorHAnsi" w:cs="Poppins"/>
          <w:color w:val="0D0D0D" w:themeColor="text1" w:themeTint="F2"/>
        </w:rPr>
        <w:t xml:space="preserve">dostęp do </w:t>
      </w:r>
      <w:r w:rsidR="00A21765">
        <w:rPr>
          <w:rFonts w:asciiTheme="minorHAnsi" w:hAnsiTheme="minorHAnsi" w:cs="Poppins"/>
          <w:color w:val="0D0D0D" w:themeColor="text1" w:themeTint="F2"/>
        </w:rPr>
        <w:t>kategorii pozostał</w:t>
      </w:r>
      <w:r w:rsidR="00C944DF">
        <w:rPr>
          <w:rFonts w:asciiTheme="minorHAnsi" w:hAnsiTheme="minorHAnsi" w:cs="Poppins"/>
          <w:color w:val="0D0D0D" w:themeColor="text1" w:themeTint="F2"/>
          <w:lang w:val="pl-PL"/>
        </w:rPr>
        <w:t>y</w:t>
      </w:r>
      <w:r w:rsidR="00A21765">
        <w:rPr>
          <w:rFonts w:asciiTheme="minorHAnsi" w:hAnsiTheme="minorHAnsi" w:cs="Poppins"/>
          <w:color w:val="0D0D0D" w:themeColor="text1" w:themeTint="F2"/>
        </w:rPr>
        <w:t>ch Unitów, więc prz</w:t>
      </w:r>
      <w:r w:rsidR="00C944DF">
        <w:rPr>
          <w:rFonts w:asciiTheme="minorHAnsi" w:hAnsiTheme="minorHAnsi" w:cs="Poppins"/>
          <w:color w:val="0D0D0D" w:themeColor="text1" w:themeTint="F2"/>
          <w:lang w:val="pl-PL"/>
        </w:rPr>
        <w:t>y</w:t>
      </w:r>
      <w:r w:rsidR="00A21765">
        <w:rPr>
          <w:rFonts w:asciiTheme="minorHAnsi" w:hAnsiTheme="minorHAnsi" w:cs="Poppins"/>
          <w:color w:val="0D0D0D" w:themeColor="text1" w:themeTint="F2"/>
        </w:rPr>
        <w:t xml:space="preserve"> założeniu, że ze SpendGuru będzie korzystać np. 5 Unitów dla 2 kategorii każdy z Was będzie miał dostęp do swoich kategorii oraz 8 kategorii pozostałych 4 Unitów. </w:t>
      </w:r>
    </w:p>
    <w:p w14:paraId="0EFFF2BF" w14:textId="03C06983" w:rsidR="001F78E7" w:rsidRPr="006C0E6D" w:rsidRDefault="00C62989" w:rsidP="001F78E7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5" w:name="_Toc224238665"/>
      <w:r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6</w:t>
      </w:r>
      <w:r w:rsidR="001F78E7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 xml:space="preserve">. </w:t>
      </w:r>
      <w:r w:rsidR="001F78E7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>Co w sytuacji, kiedy wybrany benchmark kategorii nie odpowiada naszym cenom zakupu (np. EUWI</w:t>
      </w:r>
      <w:r w:rsidR="00A26EAE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>D</w:t>
      </w:r>
      <w:r w:rsidR="001F78E7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 xml:space="preserve"> vs. </w:t>
      </w:r>
      <w:r w:rsidR="00E81ABA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>p</w:t>
      </w:r>
      <w:r w:rsidR="00A26EAE">
        <w:rPr>
          <w:rFonts w:asciiTheme="minorHAnsi" w:hAnsiTheme="minorHAnsi"/>
          <w:b/>
          <w:bCs/>
          <w:color w:val="0D0D0D" w:themeColor="text1" w:themeTint="F2"/>
          <w:sz w:val="24"/>
          <w:szCs w:val="24"/>
        </w:rPr>
        <w:t>apier testiner)?</w:t>
      </w:r>
      <w:bookmarkEnd w:id="5"/>
    </w:p>
    <w:p w14:paraId="0C10463B" w14:textId="77777777" w:rsidR="001F78E7" w:rsidRPr="006C0E6D" w:rsidRDefault="001F78E7" w:rsidP="001F78E7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40837A84" w14:textId="249D9243" w:rsidR="001F78E7" w:rsidRPr="001F78E7" w:rsidRDefault="00A26EAE" w:rsidP="001F78E7">
      <w:pPr>
        <w:spacing w:after="120"/>
        <w:rPr>
          <w:rFonts w:asciiTheme="minorHAnsi" w:hAnsiTheme="minorHAnsi" w:cs="Poppins"/>
          <w:color w:val="0D0D0D" w:themeColor="text1" w:themeTint="F2"/>
        </w:rPr>
      </w:pPr>
      <w:r>
        <w:rPr>
          <w:rFonts w:asciiTheme="minorHAnsi" w:hAnsiTheme="minorHAnsi" w:cs="Poppins"/>
          <w:color w:val="0D0D0D" w:themeColor="text1" w:themeTint="F2"/>
        </w:rPr>
        <w:t xml:space="preserve">To się czasem zdarza – kiedy ceny transakcyjne danego bencharku nie </w:t>
      </w:r>
      <w:r w:rsidR="00C944DF">
        <w:rPr>
          <w:rFonts w:asciiTheme="minorHAnsi" w:hAnsiTheme="minorHAnsi" w:cs="Poppins"/>
          <w:color w:val="0D0D0D" w:themeColor="text1" w:themeTint="F2"/>
          <w:lang w:val="pl-PL"/>
        </w:rPr>
        <w:t>muszą być</w:t>
      </w:r>
      <w:r w:rsidR="00C944DF">
        <w:rPr>
          <w:rFonts w:asciiTheme="minorHAnsi" w:hAnsiTheme="minorHAnsi" w:cs="Poppins"/>
          <w:color w:val="0D0D0D" w:themeColor="text1" w:themeTint="F2"/>
        </w:rPr>
        <w:t xml:space="preserve"> </w:t>
      </w:r>
      <w:r>
        <w:rPr>
          <w:rFonts w:asciiTheme="minorHAnsi" w:hAnsiTheme="minorHAnsi" w:cs="Poppins"/>
          <w:color w:val="0D0D0D" w:themeColor="text1" w:themeTint="F2"/>
        </w:rPr>
        <w:t xml:space="preserve">takie same </w:t>
      </w:r>
      <w:r w:rsidR="00C944DF">
        <w:rPr>
          <w:rFonts w:asciiTheme="minorHAnsi" w:hAnsiTheme="minorHAnsi" w:cs="Poppins"/>
          <w:color w:val="0D0D0D" w:themeColor="text1" w:themeTint="F2"/>
          <w:lang w:val="pl-PL"/>
        </w:rPr>
        <w:t>jak Wasze ceny zakupu</w:t>
      </w:r>
      <w:r>
        <w:rPr>
          <w:rFonts w:asciiTheme="minorHAnsi" w:hAnsiTheme="minorHAnsi" w:cs="Poppins"/>
          <w:color w:val="0D0D0D" w:themeColor="text1" w:themeTint="F2"/>
        </w:rPr>
        <w:t xml:space="preserve">. W takiej sytuacji samodzielnie </w:t>
      </w:r>
      <w:r w:rsidR="00C944DF">
        <w:rPr>
          <w:rFonts w:asciiTheme="minorHAnsi" w:hAnsiTheme="minorHAnsi" w:cs="Poppins"/>
          <w:color w:val="0D0D0D" w:themeColor="text1" w:themeTint="F2"/>
          <w:lang w:val="pl-PL"/>
        </w:rPr>
        <w:t>możecie</w:t>
      </w:r>
      <w:r>
        <w:rPr>
          <w:rFonts w:asciiTheme="minorHAnsi" w:hAnsiTheme="minorHAnsi" w:cs="Poppins"/>
          <w:color w:val="0D0D0D" w:themeColor="text1" w:themeTint="F2"/>
        </w:rPr>
        <w:t xml:space="preserve"> aktualizować model kategorii na podstawie Waszych danych</w:t>
      </w:r>
      <w:r w:rsidR="00C944DF">
        <w:rPr>
          <w:rFonts w:asciiTheme="minorHAnsi" w:hAnsiTheme="minorHAnsi" w:cs="Poppins"/>
          <w:color w:val="0D0D0D" w:themeColor="text1" w:themeTint="F2"/>
          <w:lang w:val="pl-PL"/>
        </w:rPr>
        <w:t>. SpendGuru pozwala śledzić zmiany kosztu zasadnego w czasie</w:t>
      </w:r>
      <w:r>
        <w:rPr>
          <w:rFonts w:asciiTheme="minorHAnsi" w:hAnsiTheme="minorHAnsi" w:cs="Poppins"/>
          <w:color w:val="0D0D0D" w:themeColor="text1" w:themeTint="F2"/>
        </w:rPr>
        <w:t xml:space="preserve"> </w:t>
      </w:r>
      <w:r w:rsidR="00C944DF">
        <w:rPr>
          <w:rFonts w:asciiTheme="minorHAnsi" w:hAnsiTheme="minorHAnsi" w:cs="Poppins"/>
          <w:color w:val="0D0D0D" w:themeColor="text1" w:themeTint="F2"/>
          <w:lang w:val="pl-PL"/>
        </w:rPr>
        <w:t>a koszty jednostkowe / ceny referencyjne możecie ustalić w danej kategorii sami</w:t>
      </w:r>
      <w:r>
        <w:rPr>
          <w:rFonts w:asciiTheme="minorHAnsi" w:hAnsiTheme="minorHAnsi" w:cs="Poppins"/>
          <w:color w:val="0D0D0D" w:themeColor="text1" w:themeTint="F2"/>
        </w:rPr>
        <w:t>. Dzięki temu zachwowujemy bardzo wysoki poziom indywidualizacji analizy kategorii I adekwatności do Waszcyh realiów współpracy z dostawcami.</w:t>
      </w:r>
    </w:p>
    <w:p w14:paraId="11588655" w14:textId="75152E3C" w:rsidR="006C0E6D" w:rsidRPr="006C0E6D" w:rsidRDefault="00C62989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6" w:name="_Toc224238666"/>
      <w:r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7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. Czy można porównać Wasz koszt zasadny z naszą ceną zakupu?</w:t>
      </w:r>
      <w:bookmarkEnd w:id="6"/>
    </w:p>
    <w:p w14:paraId="0C2612E5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08FB480E" w14:textId="55B66652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color w:val="0D0D0D" w:themeColor="text1" w:themeTint="F2"/>
        </w:rPr>
        <w:t>Tak. W Cost Scan można wprowadzać Wasze ceny zakupowe dla wybranych okresów i zestawiać je z modelem kosztu zasadnego. To pozwala zobaczyć, czy cena dostawcy ma uzasadnienie w real</w:t>
      </w:r>
      <w:proofErr w:type="spellStart"/>
      <w:r w:rsidR="00C944DF">
        <w:rPr>
          <w:rFonts w:asciiTheme="minorHAnsi" w:hAnsiTheme="minorHAnsi" w:cs="Poppins"/>
          <w:color w:val="0D0D0D" w:themeColor="text1" w:themeTint="F2"/>
          <w:lang w:val="pl-PL"/>
        </w:rPr>
        <w:t>ia</w:t>
      </w:r>
      <w:proofErr w:type="spellEnd"/>
      <w:r w:rsidRPr="006C0E6D">
        <w:rPr>
          <w:rFonts w:asciiTheme="minorHAnsi" w:hAnsiTheme="minorHAnsi" w:cs="Poppins"/>
          <w:color w:val="0D0D0D" w:themeColor="text1" w:themeTint="F2"/>
        </w:rPr>
        <w:t>ch rynkowych i daje mocniejszy punkt wyjścia do rozmowy o podwyżce albo renegocjacji.</w:t>
      </w:r>
    </w:p>
    <w:p w14:paraId="6C68FC88" w14:textId="16D6E6E0" w:rsidR="006C0E6D" w:rsidRPr="006C0E6D" w:rsidRDefault="00C62989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7" w:name="_Toc224238667"/>
      <w:r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lastRenderedPageBreak/>
        <w:t>8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. Na ile transparentne są źródła danych?</w:t>
      </w:r>
      <w:bookmarkEnd w:id="7"/>
    </w:p>
    <w:p w14:paraId="12ACE692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00934683" w14:textId="3643A697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color w:val="0D0D0D" w:themeColor="text1" w:themeTint="F2"/>
        </w:rPr>
        <w:t>Źródła danych są widoczne w narzędziu, więc Wasz zespół może sprawdzić, na czym opiera się analiza. To szczególnie ważne wtedy, gdy materiał trafia dalej - do CFO, controllingu czy zarządu. Transparentność zwiększa wiarygodność i ułatwia obronę przyjętych założeń.</w:t>
      </w:r>
    </w:p>
    <w:p w14:paraId="28D94A94" w14:textId="5AA87467" w:rsidR="006C0E6D" w:rsidRPr="006C0E6D" w:rsidRDefault="00C62989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8" w:name="_Toc224238668"/>
      <w:r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9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. Jak sprawdza</w:t>
      </w:r>
      <w:r w:rsidR="00A26EAE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na jest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 xml:space="preserve"> trafność prognoz w </w:t>
      </w:r>
      <w:r w:rsidR="006B4202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  <w:lang w:val="pl-PL"/>
        </w:rPr>
        <w:t xml:space="preserve">module 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Crystal Ball?</w:t>
      </w:r>
      <w:bookmarkEnd w:id="8"/>
    </w:p>
    <w:p w14:paraId="330ED018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13FE8ECE" w14:textId="004C2175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color w:val="0D0D0D" w:themeColor="text1" w:themeTint="F2"/>
        </w:rPr>
        <w:t>Prognozy są na bieżąco konfrontowane z rzeczywistymi danymi rynkowymi. Dzięki temu można ocenić, jak duże było odchylenie i jak model sprawdza się w czasie. To daje bardziej praktyczne podejście do forecastingu - nie jako „wróżenia”, tylko jako realnego wsparcia decyzji budżetowych i negocjacyjnych.</w:t>
      </w:r>
    </w:p>
    <w:p w14:paraId="07715E09" w14:textId="577FC7B4" w:rsidR="006C0E6D" w:rsidRPr="006C0E6D" w:rsidRDefault="00C62989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9" w:name="_Toc224238669"/>
      <w:r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10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 xml:space="preserve">. Czy prognozowanie nie jest po prostu </w:t>
      </w:r>
      <w:r w:rsidR="00A26EAE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kolejną zbędną informacją?</w:t>
      </w:r>
      <w:bookmarkEnd w:id="9"/>
    </w:p>
    <w:p w14:paraId="233144CE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31B7177D" w14:textId="5C5AD2BC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color w:val="0D0D0D" w:themeColor="text1" w:themeTint="F2"/>
        </w:rPr>
        <w:t>Prognoza nie ma zastąpić decyzji kupca. Ma pomóc podjąć ją wcześniej i na lepszych podstawach. Największa wartość zwykle nie polega na trafieniu jednej liczby co do grosza, ale na pokazaniu kierunku, scenariuszy i możliwych punktów zwrotnych. Przy zmiennych kategoriach to często robi dużą różnicę dla budżetu i momentu renegocjacji.</w:t>
      </w:r>
    </w:p>
    <w:p w14:paraId="03B45590" w14:textId="0238D846" w:rsidR="006C0E6D" w:rsidRPr="006C0E6D" w:rsidRDefault="00A21765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10" w:name="_Toc224238670"/>
      <w:r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1</w:t>
      </w:r>
      <w:r w:rsidR="00C62989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1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 xml:space="preserve">. Jakie scenariusze są dostępne w </w:t>
      </w:r>
      <w:r w:rsidR="00C944DF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  <w:lang w:val="pl-PL"/>
        </w:rPr>
        <w:t xml:space="preserve">module 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Crystal Ball?</w:t>
      </w:r>
      <w:bookmarkEnd w:id="10"/>
    </w:p>
    <w:p w14:paraId="38433048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0BE4128C" w14:textId="23535502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color w:val="0D0D0D" w:themeColor="text1" w:themeTint="F2"/>
        </w:rPr>
        <w:t>Crystal Ball pokazuje trzy scenariusze - najbardziej prawdopodobny, optymistyczny i pesymistyczny. Dzięki temu Wasz zespół nie pracuje na jednej prognozie, tylko może spojrzeć na temat szerzej i przygotować się na różne warianty rozwoju rynku.</w:t>
      </w:r>
    </w:p>
    <w:p w14:paraId="19A60284" w14:textId="55EC4F92" w:rsidR="006C0E6D" w:rsidRPr="006C0E6D" w:rsidRDefault="00A21765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11" w:name="_Toc224238671"/>
      <w:r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1</w:t>
      </w:r>
      <w:r w:rsidR="00C62989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2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 xml:space="preserve">. Jak szeroki jest zakres danych o dostawcach w </w:t>
      </w:r>
      <w:r w:rsidR="00C944DF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  <w:lang w:val="pl-PL"/>
        </w:rPr>
        <w:t xml:space="preserve">module 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X-Ray?</w:t>
      </w:r>
      <w:bookmarkEnd w:id="11"/>
    </w:p>
    <w:p w14:paraId="10BB32A9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42286849" w14:textId="6A436804" w:rsidR="006C0E6D" w:rsidRPr="00456BC5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  <w:lang w:val="pl-PL"/>
        </w:rPr>
      </w:pPr>
      <w:r w:rsidRPr="006C0E6D">
        <w:rPr>
          <w:rFonts w:asciiTheme="minorHAnsi" w:hAnsiTheme="minorHAnsi" w:cs="Poppins"/>
          <w:color w:val="0D0D0D" w:themeColor="text1" w:themeTint="F2"/>
        </w:rPr>
        <w:t>X-Ray pozwala spojrzeć na dostawcę szerzej niż tylko przez pryzmat ceny. Możecie analizować przychody, rentowność, dynamikę rozwoju, zadłużenie, płynność, standing finansowy czy ryzyko kontynuacji działalności</w:t>
      </w:r>
      <w:r w:rsidR="00C944DF">
        <w:rPr>
          <w:rFonts w:asciiTheme="minorHAnsi" w:hAnsiTheme="minorHAnsi" w:cs="Poppins"/>
          <w:color w:val="0D0D0D" w:themeColor="text1" w:themeTint="F2"/>
          <w:lang w:val="pl-PL"/>
        </w:rPr>
        <w:t xml:space="preserve"> danego podmiotu</w:t>
      </w:r>
      <w:r w:rsidRPr="006C0E6D">
        <w:rPr>
          <w:rFonts w:asciiTheme="minorHAnsi" w:hAnsiTheme="minorHAnsi" w:cs="Poppins"/>
          <w:color w:val="0D0D0D" w:themeColor="text1" w:themeTint="F2"/>
        </w:rPr>
        <w:t>. To pomaga nie tylko przy wyborze dostawcy, ale też przy przygotowaniu się do negocjacji i ocenie stabilności relacji.</w:t>
      </w:r>
      <w:r w:rsidR="00C944DF">
        <w:rPr>
          <w:rFonts w:asciiTheme="minorHAnsi" w:hAnsiTheme="minorHAnsi" w:cs="Poppins"/>
          <w:color w:val="0D0D0D" w:themeColor="text1" w:themeTint="F2"/>
          <w:lang w:val="pl-PL"/>
        </w:rPr>
        <w:t xml:space="preserve"> Zakupowa analiza finansowa pozwala Wam m.in. odpierać argumenty o konieczności podwyżki (</w:t>
      </w:r>
      <w:r w:rsidR="00B40844">
        <w:rPr>
          <w:rFonts w:asciiTheme="minorHAnsi" w:hAnsiTheme="minorHAnsi" w:cs="Poppins"/>
          <w:color w:val="0D0D0D" w:themeColor="text1" w:themeTint="F2"/>
          <w:lang w:val="pl-PL"/>
        </w:rPr>
        <w:t>gdy marża zysku dostawcy jest wysoka) albo proponować skonto w zamian za wysoki rabat (gdy płynność finansowa dostawcy jest niska).</w:t>
      </w:r>
    </w:p>
    <w:p w14:paraId="5B2B0ED9" w14:textId="7A71BA30" w:rsidR="006C0E6D" w:rsidRPr="006C0E6D" w:rsidRDefault="00A21765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12" w:name="_Toc224238672"/>
      <w:r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lastRenderedPageBreak/>
        <w:t>1</w:t>
      </w:r>
      <w:r w:rsidR="00C62989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3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. Czy analiza dostawców obejmuje tylko Polskę?</w:t>
      </w:r>
      <w:bookmarkEnd w:id="12"/>
    </w:p>
    <w:p w14:paraId="1DE5884E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7A848345" w14:textId="240781F5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color w:val="0D0D0D" w:themeColor="text1" w:themeTint="F2"/>
        </w:rPr>
        <w:t>Nie. Zakres obejmuje także dostawców z wielu innych krajów</w:t>
      </w:r>
      <w:r w:rsidR="00B40844">
        <w:rPr>
          <w:rFonts w:asciiTheme="minorHAnsi" w:hAnsiTheme="minorHAnsi" w:cs="Poppins"/>
          <w:color w:val="0D0D0D" w:themeColor="text1" w:themeTint="F2"/>
          <w:lang w:val="pl-PL"/>
        </w:rPr>
        <w:t xml:space="preserve"> (w szczególności cały Europejski Obszar Gospodarczy oraz – na żądanie  - dodatkowe kraje)</w:t>
      </w:r>
      <w:r w:rsidRPr="006C0E6D">
        <w:rPr>
          <w:rFonts w:asciiTheme="minorHAnsi" w:hAnsiTheme="minorHAnsi" w:cs="Poppins"/>
          <w:color w:val="0D0D0D" w:themeColor="text1" w:themeTint="F2"/>
        </w:rPr>
        <w:t>, o ile dostępne są ich sprawozdania finansowe i dane pozwalające na wiarygodną analizę. To ważne zwłaszcza wtedy, gdy Qemetica współpracuje z dostawcami międzynarodowymi albo porównuje kilka podmiotów działających na różnych rynkach.</w:t>
      </w:r>
    </w:p>
    <w:p w14:paraId="2EB62DCC" w14:textId="6ED62C40" w:rsidR="006C0E6D" w:rsidRPr="006C0E6D" w:rsidRDefault="006C0E6D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13" w:name="_Toc224238673"/>
      <w:r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1</w:t>
      </w:r>
      <w:r w:rsidR="00C62989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4</w:t>
      </w:r>
      <w:r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 xml:space="preserve">. Czy </w:t>
      </w:r>
      <w:r w:rsidR="00B40844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  <w:lang w:val="pl-PL"/>
        </w:rPr>
        <w:t xml:space="preserve">moduł </w:t>
      </w:r>
      <w:r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Newsfeed to tylko zbiór linków do artykułów?</w:t>
      </w:r>
      <w:bookmarkEnd w:id="13"/>
    </w:p>
    <w:p w14:paraId="1E07C1BB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50CECD5E" w14:textId="0A96D874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color w:val="0D0D0D" w:themeColor="text1" w:themeTint="F2"/>
        </w:rPr>
        <w:t>Nie. Newsfeed ma pomagać Waszemu zespołowi szybciej wychwytywać to, co naprawdę istotne dla danej kategorii. Zamiast przeszukiwać wiele źródeł, dostajecie wyselekcjonowane informacje</w:t>
      </w:r>
      <w:r w:rsidR="00B40844">
        <w:rPr>
          <w:rFonts w:asciiTheme="minorHAnsi" w:hAnsiTheme="minorHAnsi" w:cs="Poppins"/>
          <w:color w:val="0D0D0D" w:themeColor="text1" w:themeTint="F2"/>
          <w:lang w:val="pl-PL"/>
        </w:rPr>
        <w:t xml:space="preserve"> na temat aktualnej sytuacji rynkowej w danej kategorii</w:t>
      </w:r>
      <w:r w:rsidRPr="006C0E6D">
        <w:rPr>
          <w:rFonts w:asciiTheme="minorHAnsi" w:hAnsiTheme="minorHAnsi" w:cs="Poppins"/>
          <w:color w:val="0D0D0D" w:themeColor="text1" w:themeTint="F2"/>
        </w:rPr>
        <w:t>, krótkie streszczenia i możliwość przejścia do pełnego materiału. Do tego dochodzą newslettery i alerty, które pomagają być na bieżąco bez ręcznego researchu.</w:t>
      </w:r>
    </w:p>
    <w:p w14:paraId="07C5B139" w14:textId="533F08A1" w:rsidR="006C0E6D" w:rsidRPr="006C0E6D" w:rsidRDefault="006C0E6D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14" w:name="_Toc224238674"/>
      <w:r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1</w:t>
      </w:r>
      <w:r w:rsidR="00C62989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5</w:t>
      </w:r>
      <w:r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 xml:space="preserve">. Czy </w:t>
      </w:r>
      <w:r w:rsidR="00B40844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  <w:lang w:val="pl-PL"/>
        </w:rPr>
        <w:t xml:space="preserve">moduł </w:t>
      </w:r>
      <w:r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Deal Maker to tylko generator slajdów?</w:t>
      </w:r>
      <w:bookmarkEnd w:id="14"/>
    </w:p>
    <w:p w14:paraId="462C80FE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7F3846A4" w14:textId="20325EF2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color w:val="0D0D0D" w:themeColor="text1" w:themeTint="F2"/>
        </w:rPr>
        <w:t xml:space="preserve">Nie. Deal Maker pomaga </w:t>
      </w:r>
      <w:r w:rsidR="00E81ABA">
        <w:rPr>
          <w:rFonts w:asciiTheme="minorHAnsi" w:hAnsiTheme="minorHAnsi" w:cs="Poppins"/>
          <w:color w:val="0D0D0D" w:themeColor="text1" w:themeTint="F2"/>
        </w:rPr>
        <w:t xml:space="preserve">w zarządzaniu kategorią </w:t>
      </w:r>
      <w:r w:rsidR="00B40844">
        <w:rPr>
          <w:rFonts w:asciiTheme="minorHAnsi" w:hAnsiTheme="minorHAnsi" w:cs="Poppins"/>
          <w:color w:val="0D0D0D" w:themeColor="text1" w:themeTint="F2"/>
          <w:lang w:val="pl-PL"/>
        </w:rPr>
        <w:t>i</w:t>
      </w:r>
      <w:r w:rsidR="00B40844">
        <w:rPr>
          <w:rFonts w:asciiTheme="minorHAnsi" w:hAnsiTheme="minorHAnsi" w:cs="Poppins"/>
          <w:color w:val="0D0D0D" w:themeColor="text1" w:themeTint="F2"/>
        </w:rPr>
        <w:t xml:space="preserve"> </w:t>
      </w:r>
      <w:r w:rsidR="00E81ABA">
        <w:rPr>
          <w:rFonts w:asciiTheme="minorHAnsi" w:hAnsiTheme="minorHAnsi" w:cs="Poppins"/>
          <w:color w:val="0D0D0D" w:themeColor="text1" w:themeTint="F2"/>
        </w:rPr>
        <w:t xml:space="preserve">pozwala </w:t>
      </w:r>
      <w:r w:rsidRPr="006C0E6D">
        <w:rPr>
          <w:rFonts w:asciiTheme="minorHAnsi" w:hAnsiTheme="minorHAnsi" w:cs="Poppins"/>
          <w:color w:val="0D0D0D" w:themeColor="text1" w:themeTint="F2"/>
        </w:rPr>
        <w:t>złożyć w jedną całość analizę kosztów, prognozy, ocenę dostawcy i dodatkowe elementy strategiczne, takie jak SWOT czy macierz Kraljica. Dzięki temu Wasz zespół może szybciej przygotować spójny materiał do negocjacji, spotkania z interesariuszami albo uzasadnienia decyzji wewnętrznej.</w:t>
      </w:r>
      <w:r w:rsidR="00E81ABA">
        <w:rPr>
          <w:rFonts w:asciiTheme="minorHAnsi" w:hAnsiTheme="minorHAnsi" w:cs="Poppins"/>
          <w:color w:val="0D0D0D" w:themeColor="text1" w:themeTint="F2"/>
        </w:rPr>
        <w:t xml:space="preserve"> DealMaker sprawia, że otrzymujecie gotowy materiał do rozmowy z dostawcą, rozmawiacie i negocjujecie według konsekwetnej metodologii i w oparciu o wsytaddaryzowane dane. DealMaker oprócz </w:t>
      </w:r>
      <w:r w:rsidR="00B40844">
        <w:rPr>
          <w:rFonts w:asciiTheme="minorHAnsi" w:hAnsiTheme="minorHAnsi" w:cs="Poppins"/>
          <w:color w:val="0D0D0D" w:themeColor="text1" w:themeTint="F2"/>
          <w:lang w:val="pl-PL"/>
        </w:rPr>
        <w:t xml:space="preserve">wzmacniania </w:t>
      </w:r>
      <w:r w:rsidR="00E81ABA">
        <w:rPr>
          <w:rFonts w:asciiTheme="minorHAnsi" w:hAnsiTheme="minorHAnsi" w:cs="Poppins"/>
          <w:color w:val="0D0D0D" w:themeColor="text1" w:themeTint="F2"/>
        </w:rPr>
        <w:t>argumentów</w:t>
      </w:r>
      <w:r w:rsidR="00B40844">
        <w:rPr>
          <w:rFonts w:asciiTheme="minorHAnsi" w:hAnsiTheme="minorHAnsi" w:cs="Poppins"/>
          <w:color w:val="0D0D0D" w:themeColor="text1" w:themeTint="F2"/>
          <w:lang w:val="pl-PL"/>
        </w:rPr>
        <w:t xml:space="preserve"> pod negocjacje</w:t>
      </w:r>
      <w:r w:rsidR="00E81ABA">
        <w:rPr>
          <w:rFonts w:asciiTheme="minorHAnsi" w:hAnsiTheme="minorHAnsi" w:cs="Poppins"/>
          <w:color w:val="0D0D0D" w:themeColor="text1" w:themeTint="F2"/>
        </w:rPr>
        <w:t xml:space="preserve">, </w:t>
      </w:r>
      <w:r w:rsidR="00B40844">
        <w:rPr>
          <w:rFonts w:asciiTheme="minorHAnsi" w:hAnsiTheme="minorHAnsi" w:cs="Poppins"/>
          <w:color w:val="0D0D0D" w:themeColor="text1" w:themeTint="F2"/>
          <w:lang w:val="pl-PL"/>
        </w:rPr>
        <w:t xml:space="preserve">pomaga </w:t>
      </w:r>
      <w:r w:rsidR="00E81ABA">
        <w:rPr>
          <w:rFonts w:asciiTheme="minorHAnsi" w:hAnsiTheme="minorHAnsi" w:cs="Poppins"/>
          <w:color w:val="0D0D0D" w:themeColor="text1" w:themeTint="F2"/>
        </w:rPr>
        <w:t>bu</w:t>
      </w:r>
      <w:proofErr w:type="spellStart"/>
      <w:r w:rsidR="00B40844">
        <w:rPr>
          <w:rFonts w:asciiTheme="minorHAnsi" w:hAnsiTheme="minorHAnsi" w:cs="Poppins"/>
          <w:color w:val="0D0D0D" w:themeColor="text1" w:themeTint="F2"/>
          <w:lang w:val="pl-PL"/>
        </w:rPr>
        <w:t>dować</w:t>
      </w:r>
      <w:proofErr w:type="spellEnd"/>
      <w:r w:rsidR="00E81ABA">
        <w:rPr>
          <w:rFonts w:asciiTheme="minorHAnsi" w:hAnsiTheme="minorHAnsi" w:cs="Poppins"/>
          <w:color w:val="0D0D0D" w:themeColor="text1" w:themeTint="F2"/>
        </w:rPr>
        <w:t xml:space="preserve"> jeszcze większą kulturę organizacyjną Zakupów.</w:t>
      </w:r>
    </w:p>
    <w:p w14:paraId="2D0291F8" w14:textId="47712781" w:rsidR="006C0E6D" w:rsidRPr="006C0E6D" w:rsidRDefault="006C0E6D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15" w:name="_Toc224238675"/>
      <w:r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1</w:t>
      </w:r>
      <w:r w:rsidR="00E81ABA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6</w:t>
      </w:r>
      <w:r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. Czy zespół będzie realnie używał</w:t>
      </w:r>
      <w:r w:rsidR="00B40844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  <w:lang w:val="pl-PL"/>
        </w:rPr>
        <w:t xml:space="preserve"> SpendGuru</w:t>
      </w:r>
      <w:r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?</w:t>
      </w:r>
      <w:bookmarkEnd w:id="15"/>
    </w:p>
    <w:p w14:paraId="56A6B547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189AE930" w14:textId="19B8C51F" w:rsidR="006C0E6D" w:rsidRPr="00456BC5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  <w:lang w:val="pl-PL"/>
        </w:rPr>
      </w:pPr>
      <w:r w:rsidRPr="006C0E6D">
        <w:rPr>
          <w:rFonts w:asciiTheme="minorHAnsi" w:hAnsiTheme="minorHAnsi" w:cs="Poppins"/>
          <w:color w:val="0D0D0D" w:themeColor="text1" w:themeTint="F2"/>
        </w:rPr>
        <w:t xml:space="preserve">Adopcja pojawia się wtedy, gdy użytkownik widzi szybki efekt w codziennej pracy. Jeżeli SpendGuru skraca research, porządkuje analizę i pomaga szybciej przygotować materiał na spotkanie, to narzędzie naturalnie zaczyna być </w:t>
      </w:r>
      <w:r w:rsidR="00B40844">
        <w:rPr>
          <w:rFonts w:asciiTheme="minorHAnsi" w:hAnsiTheme="minorHAnsi" w:cs="Poppins"/>
          <w:color w:val="0D0D0D" w:themeColor="text1" w:themeTint="F2"/>
          <w:lang w:val="pl-PL"/>
        </w:rPr>
        <w:t xml:space="preserve">częściej </w:t>
      </w:r>
      <w:r w:rsidRPr="006C0E6D">
        <w:rPr>
          <w:rFonts w:asciiTheme="minorHAnsi" w:hAnsiTheme="minorHAnsi" w:cs="Poppins"/>
          <w:color w:val="0D0D0D" w:themeColor="text1" w:themeTint="F2"/>
        </w:rPr>
        <w:t>używane. Najlepsze efekty zwykle daje start od kilku osób, które pracują na realnych case’ach i szybko pokazują wartość reszcie zespołu.</w:t>
      </w:r>
      <w:r w:rsidR="00B40844">
        <w:rPr>
          <w:rFonts w:asciiTheme="minorHAnsi" w:hAnsiTheme="minorHAnsi" w:cs="Poppins"/>
          <w:color w:val="0D0D0D" w:themeColor="text1" w:themeTint="F2"/>
          <w:lang w:val="pl-PL"/>
        </w:rPr>
        <w:t xml:space="preserve"> Jako PROFITIA dedykujemy każdemu klientowi zespół wdrożeniowy odpowiedzialny za sukces wdrożenia – np. przez wsparcie przy kluczowych negocjacjach lub dedykowane raporty.</w:t>
      </w:r>
    </w:p>
    <w:p w14:paraId="26439F8E" w14:textId="77777777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</w:p>
    <w:p w14:paraId="44061F4C" w14:textId="0B369AF2" w:rsidR="006C0E6D" w:rsidRPr="00A21765" w:rsidRDefault="006C0E6D" w:rsidP="00A21765">
      <w:pPr>
        <w:spacing w:after="160" w:line="278" w:lineRule="auto"/>
        <w:rPr>
          <w:rFonts w:asciiTheme="minorHAnsi" w:eastAsiaTheme="majorEastAsia" w:hAnsiTheme="minorHAnsi" w:cstheme="majorBidi"/>
          <w:b/>
          <w:bCs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lastRenderedPageBreak/>
        <w:t>1</w:t>
      </w:r>
      <w:r w:rsidR="00E81ABA">
        <w:rPr>
          <w:rFonts w:asciiTheme="minorHAnsi" w:hAnsiTheme="minorHAnsi" w:cs="Poppins"/>
          <w:b/>
          <w:bCs/>
          <w:color w:val="0D0D0D" w:themeColor="text1" w:themeTint="F2"/>
        </w:rPr>
        <w:t>7</w:t>
      </w: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. Czy SpendGuru to bardziej baza danych, czy narzędzie do realnego wsparcia decyzji zakupowych?</w:t>
      </w:r>
    </w:p>
    <w:p w14:paraId="39EB701D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5A682200" w14:textId="79154BA0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color w:val="0D0D0D" w:themeColor="text1" w:themeTint="F2"/>
        </w:rPr>
        <w:t xml:space="preserve">SpendGuru nie jest tylko </w:t>
      </w:r>
      <w:r w:rsidR="00E81ABA">
        <w:rPr>
          <w:rFonts w:asciiTheme="minorHAnsi" w:hAnsiTheme="minorHAnsi" w:cs="Poppins"/>
          <w:color w:val="0D0D0D" w:themeColor="text1" w:themeTint="F2"/>
        </w:rPr>
        <w:t>aplikacją</w:t>
      </w:r>
      <w:r w:rsidRPr="006C0E6D">
        <w:rPr>
          <w:rFonts w:asciiTheme="minorHAnsi" w:hAnsiTheme="minorHAnsi" w:cs="Poppins"/>
          <w:color w:val="0D0D0D" w:themeColor="text1" w:themeTint="F2"/>
        </w:rPr>
        <w:t>, w któr</w:t>
      </w:r>
      <w:r w:rsidR="00E81ABA">
        <w:rPr>
          <w:rFonts w:asciiTheme="minorHAnsi" w:hAnsiTheme="minorHAnsi" w:cs="Poppins"/>
          <w:color w:val="0D0D0D" w:themeColor="text1" w:themeTint="F2"/>
        </w:rPr>
        <w:t>ej</w:t>
      </w:r>
      <w:r w:rsidRPr="006C0E6D">
        <w:rPr>
          <w:rFonts w:asciiTheme="minorHAnsi" w:hAnsiTheme="minorHAnsi" w:cs="Poppins"/>
          <w:color w:val="0D0D0D" w:themeColor="text1" w:themeTint="F2"/>
        </w:rPr>
        <w:t xml:space="preserve"> zbiera się dane. To narzędzie, które pomaga przejść od informacji do decyzji zakupow</w:t>
      </w:r>
      <w:proofErr w:type="spellStart"/>
      <w:r w:rsidR="00B40844">
        <w:rPr>
          <w:rFonts w:asciiTheme="minorHAnsi" w:hAnsiTheme="minorHAnsi" w:cs="Poppins"/>
          <w:color w:val="0D0D0D" w:themeColor="text1" w:themeTint="F2"/>
          <w:lang w:val="pl-PL"/>
        </w:rPr>
        <w:t>ych</w:t>
      </w:r>
      <w:proofErr w:type="spellEnd"/>
      <w:r w:rsidRPr="006C0E6D">
        <w:rPr>
          <w:rFonts w:asciiTheme="minorHAnsi" w:hAnsiTheme="minorHAnsi" w:cs="Poppins"/>
          <w:color w:val="0D0D0D" w:themeColor="text1" w:themeTint="F2"/>
        </w:rPr>
        <w:t>. Łączy benchmarki rynkowe, modele kosztowe, prognozy, analizę finansową dostawców i gotowe materiały do negocjacji. Dzięki temu Wasz zespół może szybciej ocenić sytuację rynkową, przygotować argumentację i lepiej uzasadnić decyzj</w:t>
      </w:r>
      <w:r w:rsidR="00B40844">
        <w:rPr>
          <w:rFonts w:asciiTheme="minorHAnsi" w:hAnsiTheme="minorHAnsi" w:cs="Poppins"/>
          <w:color w:val="0D0D0D" w:themeColor="text1" w:themeTint="F2"/>
          <w:lang w:val="pl-PL"/>
        </w:rPr>
        <w:t>e</w:t>
      </w:r>
      <w:r w:rsidRPr="006C0E6D">
        <w:rPr>
          <w:rFonts w:asciiTheme="minorHAnsi" w:hAnsiTheme="minorHAnsi" w:cs="Poppins"/>
          <w:color w:val="0D0D0D" w:themeColor="text1" w:themeTint="F2"/>
        </w:rPr>
        <w:t xml:space="preserve"> wewnątrz organizacji.</w:t>
      </w:r>
    </w:p>
    <w:p w14:paraId="152F0B25" w14:textId="471470FD" w:rsidR="006C0E6D" w:rsidRPr="006C0E6D" w:rsidRDefault="006C0E6D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16" w:name="_Toc224238676"/>
      <w:r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1</w:t>
      </w:r>
      <w:r w:rsidR="00E81ABA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8</w:t>
      </w:r>
      <w:r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. Mamy własne analizy i Excela - po co nam dodatkowe narzędzie?</w:t>
      </w:r>
      <w:bookmarkEnd w:id="16"/>
    </w:p>
    <w:p w14:paraId="48CB59DD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000BF29B" w14:textId="615AA34A" w:rsidR="006C0E6D" w:rsidRPr="00456BC5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  <w:lang w:val="pl-PL"/>
        </w:rPr>
      </w:pPr>
      <w:r w:rsidRPr="006C0E6D">
        <w:rPr>
          <w:rFonts w:asciiTheme="minorHAnsi" w:hAnsiTheme="minorHAnsi" w:cs="Poppins"/>
          <w:color w:val="0D0D0D" w:themeColor="text1" w:themeTint="F2"/>
        </w:rPr>
        <w:t xml:space="preserve">Excel sprawdza się dobrze, kiedy analiza jest robiona okazjonalnie. </w:t>
      </w:r>
      <w:r w:rsidR="00E81ABA">
        <w:rPr>
          <w:rFonts w:asciiTheme="minorHAnsi" w:hAnsiTheme="minorHAnsi" w:cs="Poppins"/>
          <w:color w:val="0D0D0D" w:themeColor="text1" w:themeTint="F2"/>
        </w:rPr>
        <w:t>Trudności I większe zaangazowanie czaseowe</w:t>
      </w:r>
      <w:r w:rsidRPr="006C0E6D">
        <w:rPr>
          <w:rFonts w:asciiTheme="minorHAnsi" w:hAnsiTheme="minorHAnsi" w:cs="Poppins"/>
          <w:color w:val="0D0D0D" w:themeColor="text1" w:themeTint="F2"/>
        </w:rPr>
        <w:t xml:space="preserve"> </w:t>
      </w:r>
      <w:r w:rsidR="00E81ABA">
        <w:rPr>
          <w:rFonts w:asciiTheme="minorHAnsi" w:hAnsiTheme="minorHAnsi" w:cs="Poppins"/>
          <w:color w:val="0D0D0D" w:themeColor="text1" w:themeTint="F2"/>
        </w:rPr>
        <w:t>pojawia</w:t>
      </w:r>
      <w:r w:rsidRPr="006C0E6D">
        <w:rPr>
          <w:rFonts w:asciiTheme="minorHAnsi" w:hAnsiTheme="minorHAnsi" w:cs="Poppins"/>
          <w:color w:val="0D0D0D" w:themeColor="text1" w:themeTint="F2"/>
        </w:rPr>
        <w:t xml:space="preserve"> się wtedy, gdy trzeba robić to regularnie, szybko i w spójny sposób w całym zespole. SpendGuru porządkuje to w jednym miejscu - dane, logikę modelu, źródła, porównania i eksport materiałów. Efekt jest prosty: mniej ręcznej pracy, mniej rozproszonych plików i szybsze przygotowanie do rozmów z dostawcami</w:t>
      </w:r>
      <w:r w:rsidR="00E81ABA">
        <w:rPr>
          <w:rFonts w:asciiTheme="minorHAnsi" w:hAnsiTheme="minorHAnsi" w:cs="Poppins"/>
          <w:color w:val="0D0D0D" w:themeColor="text1" w:themeTint="F2"/>
        </w:rPr>
        <w:t>, praca na standardach.</w:t>
      </w:r>
      <w:r w:rsidR="00B40844">
        <w:rPr>
          <w:rFonts w:asciiTheme="minorHAnsi" w:hAnsiTheme="minorHAnsi" w:cs="Poppins"/>
          <w:color w:val="0D0D0D" w:themeColor="text1" w:themeTint="F2"/>
          <w:lang w:val="pl-PL"/>
        </w:rPr>
        <w:t xml:space="preserve"> Dodatkowo pomagamy Wam wdrożyć system alertów i monitów – dzięki temu kupiec może np. zostać proaktywnie poinformowany przez </w:t>
      </w:r>
      <w:proofErr w:type="gramStart"/>
      <w:r w:rsidR="00B40844">
        <w:rPr>
          <w:rFonts w:asciiTheme="minorHAnsi" w:hAnsiTheme="minorHAnsi" w:cs="Poppins"/>
          <w:color w:val="0D0D0D" w:themeColor="text1" w:themeTint="F2"/>
          <w:lang w:val="pl-PL"/>
        </w:rPr>
        <w:t>SpendGuru</w:t>
      </w:r>
      <w:proofErr w:type="gramEnd"/>
      <w:r w:rsidR="00B40844">
        <w:rPr>
          <w:rFonts w:asciiTheme="minorHAnsi" w:hAnsiTheme="minorHAnsi" w:cs="Poppins"/>
          <w:color w:val="0D0D0D" w:themeColor="text1" w:themeTint="F2"/>
          <w:lang w:val="pl-PL"/>
        </w:rPr>
        <w:t xml:space="preserve"> że koszt zasadny w jednej z kategorii spadł znacząco i w związku z tym kupiec powinien poprosić dostawcę o obniżkę ceny w kategorii.</w:t>
      </w:r>
    </w:p>
    <w:p w14:paraId="37653531" w14:textId="61DD12EC" w:rsidR="006C0E6D" w:rsidRPr="006C0E6D" w:rsidRDefault="00E81ABA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17" w:name="_Toc224238677"/>
      <w:r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19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. Co jeśli dostawca powie, że benchmark jest nieporównywalny?</w:t>
      </w:r>
      <w:bookmarkEnd w:id="17"/>
    </w:p>
    <w:p w14:paraId="40B6654E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671E0319" w14:textId="7740FFFB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color w:val="0D0D0D" w:themeColor="text1" w:themeTint="F2"/>
        </w:rPr>
        <w:t>To jedna z najczęstszych sytuacji w negocjacjach. Dlatego ważne jest nie tylko pokazanie liczby, ale też źródeł, założeń, geografii, jakości i momentu odniesienia</w:t>
      </w:r>
      <w:r w:rsidR="00E81ABA">
        <w:rPr>
          <w:rFonts w:asciiTheme="minorHAnsi" w:hAnsiTheme="minorHAnsi" w:cs="Poppins"/>
          <w:color w:val="0D0D0D" w:themeColor="text1" w:themeTint="F2"/>
        </w:rPr>
        <w:t xml:space="preserve"> – i praca po stronie Profitii I naszego zespołu wdrażającego w celu zbudowania adekwatnych dla Was modeli</w:t>
      </w:r>
      <w:r w:rsidRPr="006C0E6D">
        <w:rPr>
          <w:rFonts w:asciiTheme="minorHAnsi" w:hAnsiTheme="minorHAnsi" w:cs="Poppins"/>
          <w:color w:val="0D0D0D" w:themeColor="text1" w:themeTint="F2"/>
        </w:rPr>
        <w:t>. SpendGuru nie sprowadza rozmowy do jednej „właściwej ceny”, tylko daje Wam logiczny punkt odniesienia - widełki, strukturę kosztu i główne drivery cenowe. Dzięki temu rozmowa z dostawcą staje się bardziej konkretna.</w:t>
      </w:r>
    </w:p>
    <w:p w14:paraId="481222E8" w14:textId="1F436F5A" w:rsidR="006C0E6D" w:rsidRPr="006C0E6D" w:rsidRDefault="00A21765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18" w:name="_Toc224238678"/>
      <w:r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2</w:t>
      </w:r>
      <w:r w:rsidR="00E81ABA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0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. Czy SpendGuru wspiera tylko oszczędności, czy także inne KPI zakupowe?</w:t>
      </w:r>
      <w:bookmarkEnd w:id="18"/>
    </w:p>
    <w:p w14:paraId="7AD2017C" w14:textId="77777777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5B61F49F" w14:textId="6FE4CD86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color w:val="0D0D0D" w:themeColor="text1" w:themeTint="F2"/>
        </w:rPr>
        <w:t>Nie chodzi tylko o oszczędności. SpendGuru wspiera też lepsze budżetowanie, większą przewidywalność, wcześniejsze wychwytywanie ryzyk i lepsze przygotowanie do decyzji zakupowych. W praktyce może pomóc Qemetice zarówno w obszarze ceny, jak i ciągłości dostaw, jakości, compliance czy governance</w:t>
      </w:r>
      <w:r w:rsidR="00E81ABA">
        <w:rPr>
          <w:rFonts w:asciiTheme="minorHAnsi" w:hAnsiTheme="minorHAnsi" w:cs="Poppins"/>
          <w:color w:val="0D0D0D" w:themeColor="text1" w:themeTint="F2"/>
        </w:rPr>
        <w:t xml:space="preserve"> i rozwoju kultury organizacyjnej procesów I zespołów zakupowych.</w:t>
      </w:r>
    </w:p>
    <w:p w14:paraId="06C3EC06" w14:textId="5F863DFD" w:rsidR="006C0E6D" w:rsidRPr="006C0E6D" w:rsidRDefault="00A21765" w:rsidP="006C0E6D">
      <w:pPr>
        <w:pStyle w:val="Heading2"/>
        <w:spacing w:before="480"/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</w:pPr>
      <w:bookmarkStart w:id="19" w:name="_Toc224238679"/>
      <w:r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lastRenderedPageBreak/>
        <w:t>2</w:t>
      </w:r>
      <w:r w:rsidR="00E81ABA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1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 xml:space="preserve">. Czy SpendGuru pomoże nam w negocjacjach z dostawcą, jeśli i tak nie da się już </w:t>
      </w:r>
      <w:r w:rsid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ob</w:t>
      </w:r>
      <w:r w:rsidR="00B40844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  <w:lang w:val="pl-PL"/>
        </w:rPr>
        <w:t>n</w:t>
      </w:r>
      <w:r w:rsid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>iżyć</w:t>
      </w:r>
      <w:r w:rsidR="006C0E6D" w:rsidRPr="006C0E6D">
        <w:rPr>
          <w:rFonts w:asciiTheme="minorHAnsi" w:hAnsiTheme="minorHAnsi" w:cs="Poppins"/>
          <w:b/>
          <w:bCs/>
          <w:color w:val="0D0D0D" w:themeColor="text1" w:themeTint="F2"/>
          <w:sz w:val="24"/>
          <w:szCs w:val="24"/>
        </w:rPr>
        <w:t xml:space="preserve"> ceny?</w:t>
      </w:r>
      <w:bookmarkEnd w:id="19"/>
    </w:p>
    <w:p w14:paraId="25426937" w14:textId="77777777" w:rsidR="006C0E6D" w:rsidRPr="006C0E6D" w:rsidRDefault="006C0E6D" w:rsidP="006C0E6D">
      <w:pPr>
        <w:spacing w:before="240"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b/>
          <w:bCs/>
          <w:color w:val="0D0D0D" w:themeColor="text1" w:themeTint="F2"/>
        </w:rPr>
        <w:t>Odpowiedź:</w:t>
      </w:r>
    </w:p>
    <w:p w14:paraId="2E48CB3F" w14:textId="1E91C2D3" w:rsidR="006C0E6D" w:rsidRPr="006C0E6D" w:rsidRDefault="006C0E6D" w:rsidP="006C0E6D">
      <w:pPr>
        <w:spacing w:after="120"/>
        <w:rPr>
          <w:rFonts w:asciiTheme="minorHAnsi" w:hAnsiTheme="minorHAnsi" w:cs="Poppins"/>
          <w:color w:val="0D0D0D" w:themeColor="text1" w:themeTint="F2"/>
        </w:rPr>
      </w:pPr>
      <w:r w:rsidRPr="006C0E6D">
        <w:rPr>
          <w:rFonts w:asciiTheme="minorHAnsi" w:hAnsiTheme="minorHAnsi" w:cs="Poppins"/>
          <w:color w:val="0D0D0D" w:themeColor="text1" w:themeTint="F2"/>
        </w:rPr>
        <w:t>Tak, bo dobr</w:t>
      </w:r>
      <w:r w:rsidR="00B40844">
        <w:rPr>
          <w:rFonts w:asciiTheme="minorHAnsi" w:hAnsiTheme="minorHAnsi" w:cs="Poppins"/>
          <w:color w:val="0D0D0D" w:themeColor="text1" w:themeTint="F2"/>
          <w:lang w:val="pl-PL"/>
        </w:rPr>
        <w:t>e</w:t>
      </w:r>
      <w:r w:rsidRPr="006C0E6D">
        <w:rPr>
          <w:rFonts w:asciiTheme="minorHAnsi" w:hAnsiTheme="minorHAnsi" w:cs="Poppins"/>
          <w:color w:val="0D0D0D" w:themeColor="text1" w:themeTint="F2"/>
        </w:rPr>
        <w:t xml:space="preserve"> negocjacj</w:t>
      </w:r>
      <w:r w:rsidR="00B40844">
        <w:rPr>
          <w:rFonts w:asciiTheme="minorHAnsi" w:hAnsiTheme="minorHAnsi" w:cs="Poppins"/>
          <w:color w:val="0D0D0D" w:themeColor="text1" w:themeTint="F2"/>
          <w:lang w:val="pl-PL"/>
        </w:rPr>
        <w:t>e</w:t>
      </w:r>
      <w:r w:rsidRPr="006C0E6D">
        <w:rPr>
          <w:rFonts w:asciiTheme="minorHAnsi" w:hAnsiTheme="minorHAnsi" w:cs="Poppins"/>
          <w:color w:val="0D0D0D" w:themeColor="text1" w:themeTint="F2"/>
        </w:rPr>
        <w:t xml:space="preserve"> nie kończ</w:t>
      </w:r>
      <w:r w:rsidR="00B40844">
        <w:rPr>
          <w:rFonts w:asciiTheme="minorHAnsi" w:hAnsiTheme="minorHAnsi" w:cs="Poppins"/>
          <w:color w:val="0D0D0D" w:themeColor="text1" w:themeTint="F2"/>
          <w:lang w:val="pl-PL"/>
        </w:rPr>
        <w:t>ą</w:t>
      </w:r>
      <w:r w:rsidRPr="006C0E6D">
        <w:rPr>
          <w:rFonts w:asciiTheme="minorHAnsi" w:hAnsiTheme="minorHAnsi" w:cs="Poppins"/>
          <w:color w:val="0D0D0D" w:themeColor="text1" w:themeTint="F2"/>
        </w:rPr>
        <w:t xml:space="preserve"> się na samej cenie. Często największą wartość da się osiągnąć przez zmianę indeksacji, zasad dopłat, warunków logistycznych, lead time, zapisów open book albo elementów TCO. SpendGuru pomaga prowadzić rozmowę szerzej - nie tylko o cenie, ale o całej konstrukcji oferty i kontraktu.</w:t>
      </w:r>
    </w:p>
    <w:p w14:paraId="26DAF7E0" w14:textId="77777777" w:rsidR="00A21765" w:rsidRDefault="00A21765" w:rsidP="00BA70F5">
      <w:pPr>
        <w:spacing w:after="120"/>
        <w:rPr>
          <w:rFonts w:asciiTheme="minorHAnsi" w:hAnsiTheme="minorHAnsi" w:cs="Poppins"/>
          <w:color w:val="0D0D0D" w:themeColor="text1" w:themeTint="F2"/>
          <w:lang w:val="pl-PL"/>
        </w:rPr>
      </w:pPr>
    </w:p>
    <w:p w14:paraId="32806952" w14:textId="184EECB1" w:rsidR="006C0E6D" w:rsidRPr="006C0E6D" w:rsidRDefault="006C0E6D" w:rsidP="00BA70F5">
      <w:pPr>
        <w:spacing w:after="120"/>
        <w:rPr>
          <w:rFonts w:asciiTheme="minorHAnsi" w:hAnsiTheme="minorHAnsi" w:cs="Poppins"/>
          <w:color w:val="0D0D0D" w:themeColor="text1" w:themeTint="F2"/>
          <w:lang w:val="pl-PL"/>
        </w:rPr>
      </w:pPr>
      <w:r>
        <w:rPr>
          <w:rFonts w:asciiTheme="minorHAnsi" w:hAnsiTheme="minorHAnsi" w:cs="Poppins"/>
          <w:color w:val="0D0D0D" w:themeColor="text1" w:themeTint="F2"/>
          <w:lang w:val="pl-PL"/>
        </w:rPr>
        <w:t>------------------------------------------------------------------------------------------------------------</w:t>
      </w:r>
    </w:p>
    <w:p w14:paraId="321919E3" w14:textId="0802D543" w:rsidR="006C0E6D" w:rsidRPr="006C0E6D" w:rsidRDefault="006C0E6D" w:rsidP="00BA70F5">
      <w:pPr>
        <w:spacing w:after="120"/>
        <w:rPr>
          <w:rFonts w:asciiTheme="minorHAnsi" w:hAnsiTheme="minorHAnsi" w:cs="Poppins"/>
          <w:color w:val="0D0D0D" w:themeColor="text1" w:themeTint="F2"/>
          <w:lang w:val="pl-PL"/>
        </w:rPr>
      </w:pPr>
      <w:r w:rsidRPr="006C0E6D">
        <w:rPr>
          <w:rFonts w:asciiTheme="minorHAnsi" w:hAnsiTheme="minorHAnsi" w:cs="Poppins"/>
          <w:color w:val="0D0D0D" w:themeColor="text1" w:themeTint="F2"/>
          <w:lang w:val="pl-PL"/>
        </w:rPr>
        <w:t xml:space="preserve">W przypadku pytań – bardzo proszę o </w:t>
      </w:r>
      <w:proofErr w:type="gramStart"/>
      <w:r w:rsidRPr="006C0E6D">
        <w:rPr>
          <w:rFonts w:asciiTheme="minorHAnsi" w:hAnsiTheme="minorHAnsi" w:cs="Poppins"/>
          <w:color w:val="0D0D0D" w:themeColor="text1" w:themeTint="F2"/>
          <w:lang w:val="pl-PL"/>
        </w:rPr>
        <w:t>kontakt:  Tomasz</w:t>
      </w:r>
      <w:proofErr w:type="gramEnd"/>
      <w:r w:rsidRPr="006C0E6D">
        <w:rPr>
          <w:rFonts w:asciiTheme="minorHAnsi" w:hAnsiTheme="minorHAnsi" w:cs="Poppins"/>
          <w:color w:val="0D0D0D" w:themeColor="text1" w:themeTint="F2"/>
          <w:lang w:val="pl-PL"/>
        </w:rPr>
        <w:t xml:space="preserve"> Uściński tel.: +48 787 417 293 | email: tomasz.uscinski@profitia.pl</w:t>
      </w:r>
    </w:p>
    <w:sectPr w:rsidR="006C0E6D" w:rsidRPr="006C0E6D" w:rsidSect="00A26EAE">
      <w:headerReference w:type="default" r:id="rId8"/>
      <w:footerReference w:type="default" r:id="rId9"/>
      <w:pgSz w:w="11906" w:h="16838"/>
      <w:pgMar w:top="1836" w:right="1440" w:bottom="1529" w:left="1440" w:header="737" w:footer="5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E54EB" w14:textId="77777777" w:rsidR="00405175" w:rsidRDefault="00405175" w:rsidP="00B94F26">
      <w:r>
        <w:separator/>
      </w:r>
    </w:p>
  </w:endnote>
  <w:endnote w:type="continuationSeparator" w:id="0">
    <w:p w14:paraId="5B13867F" w14:textId="77777777" w:rsidR="00405175" w:rsidRDefault="00405175" w:rsidP="00B94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ACC8A" w14:textId="0BA6F127" w:rsidR="00B94F26" w:rsidRPr="00B94F26" w:rsidRDefault="00CC45DD" w:rsidP="00B94F26">
    <w:pPr>
      <w:pStyle w:val="Footer"/>
      <w:spacing w:line="235" w:lineRule="auto"/>
      <w:ind w:left="3119"/>
      <w:rPr>
        <w:rFonts w:ascii="Poppins" w:hAnsi="Poppins" w:cs="Poppins"/>
      </w:rPr>
    </w:pPr>
    <w:r w:rsidRPr="002F4992">
      <w:rPr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2EB68247" wp14:editId="18F0789F">
          <wp:simplePos x="0" y="0"/>
          <wp:positionH relativeFrom="column">
            <wp:posOffset>40005</wp:posOffset>
          </wp:positionH>
          <wp:positionV relativeFrom="paragraph">
            <wp:posOffset>18181</wp:posOffset>
          </wp:positionV>
          <wp:extent cx="930275" cy="266065"/>
          <wp:effectExtent l="0" t="0" r="0" b="635"/>
          <wp:wrapSquare wrapText="bothSides"/>
          <wp:docPr id="988643433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8643433" name="Graphic 988643433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5642" t="26708" r="17666" b="21626"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660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94F26" w:rsidRPr="002F4992">
      <w:rPr>
        <w:rFonts w:ascii="Poppins" w:eastAsiaTheme="minorEastAsia" w:hAnsi="Poppins" w:cs="Poppins"/>
        <w:color w:val="747474" w:themeColor="background2" w:themeShade="80"/>
        <w:sz w:val="13"/>
        <w:szCs w:val="13"/>
      </w:rPr>
      <w:t xml:space="preserve">PROFITIA Management Consultants Mazurowski i Wspólnicy Spółka Jawna </w:t>
    </w:r>
    <w:r w:rsidR="00B94F26" w:rsidRPr="002F4992">
      <w:rPr>
        <w:rFonts w:ascii="Poppins" w:hAnsi="Poppins" w:cs="Poppins"/>
        <w:color w:val="747474" w:themeColor="background2" w:themeShade="80"/>
        <w:sz w:val="13"/>
        <w:szCs w:val="13"/>
      </w:rPr>
      <w:br/>
    </w:r>
    <w:r w:rsidR="00B94F26" w:rsidRPr="002F4992">
      <w:rPr>
        <w:rFonts w:ascii="Poppins" w:eastAsiaTheme="minorEastAsia" w:hAnsi="Poppins" w:cs="Poppins"/>
        <w:color w:val="747474" w:themeColor="background2" w:themeShade="80"/>
        <w:sz w:val="13"/>
        <w:szCs w:val="13"/>
      </w:rPr>
      <w:t xml:space="preserve">z siedzibą w Warszawie, ul. Puławska 145, kod pocztowy: 02-715 Warszawa, </w:t>
    </w:r>
    <w:r w:rsidR="00B94F26" w:rsidRPr="002F4992">
      <w:rPr>
        <w:rFonts w:ascii="Poppins" w:hAnsi="Poppins" w:cs="Poppins"/>
        <w:color w:val="747474" w:themeColor="background2" w:themeShade="80"/>
        <w:sz w:val="13"/>
        <w:szCs w:val="13"/>
      </w:rPr>
      <w:br/>
    </w:r>
    <w:r w:rsidR="00B94F26" w:rsidRPr="002F4992">
      <w:rPr>
        <w:rFonts w:ascii="Poppins" w:eastAsiaTheme="minorEastAsia" w:hAnsi="Poppins" w:cs="Poppins"/>
        <w:color w:val="747474" w:themeColor="background2" w:themeShade="80"/>
        <w:sz w:val="13"/>
        <w:szCs w:val="13"/>
      </w:rPr>
      <w:t>KRS 0000360364, NIP: 5213573099.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F7CFE" w14:textId="77777777" w:rsidR="00405175" w:rsidRDefault="00405175" w:rsidP="00B94F26">
      <w:r>
        <w:separator/>
      </w:r>
    </w:p>
  </w:footnote>
  <w:footnote w:type="continuationSeparator" w:id="0">
    <w:p w14:paraId="7C99597A" w14:textId="77777777" w:rsidR="00405175" w:rsidRDefault="00405175" w:rsidP="00B94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D4D78" w14:textId="55336764" w:rsidR="00B94F26" w:rsidRDefault="00B94F2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BCDC68" wp14:editId="1EEFB4A4">
          <wp:simplePos x="0" y="0"/>
          <wp:positionH relativeFrom="column">
            <wp:posOffset>37465</wp:posOffset>
          </wp:positionH>
          <wp:positionV relativeFrom="paragraph">
            <wp:posOffset>-3810</wp:posOffset>
          </wp:positionV>
          <wp:extent cx="1316990" cy="421005"/>
          <wp:effectExtent l="0" t="0" r="3810" b="0"/>
          <wp:wrapThrough wrapText="bothSides">
            <wp:wrapPolygon edited="0">
              <wp:start x="1041" y="0"/>
              <wp:lineTo x="0" y="1303"/>
              <wp:lineTo x="0" y="13683"/>
              <wp:lineTo x="833" y="20851"/>
              <wp:lineTo x="1250" y="20851"/>
              <wp:lineTo x="2500" y="20851"/>
              <wp:lineTo x="21454" y="14335"/>
              <wp:lineTo x="21454" y="7819"/>
              <wp:lineTo x="3124" y="0"/>
              <wp:lineTo x="1041" y="0"/>
            </wp:wrapPolygon>
          </wp:wrapThrough>
          <wp:docPr id="156211180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2111800" name="Graphic 156211180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990" cy="421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1F69"/>
    <w:multiLevelType w:val="multilevel"/>
    <w:tmpl w:val="DBA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4131BE"/>
    <w:multiLevelType w:val="hybridMultilevel"/>
    <w:tmpl w:val="2230D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057E1"/>
    <w:multiLevelType w:val="multilevel"/>
    <w:tmpl w:val="21C4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88042C"/>
    <w:multiLevelType w:val="hybridMultilevel"/>
    <w:tmpl w:val="6B7C10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0C6052"/>
    <w:multiLevelType w:val="multilevel"/>
    <w:tmpl w:val="D8EE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AC467A"/>
    <w:multiLevelType w:val="multilevel"/>
    <w:tmpl w:val="0998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2F62CD"/>
    <w:multiLevelType w:val="hybridMultilevel"/>
    <w:tmpl w:val="435C8A5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E03DBE"/>
    <w:multiLevelType w:val="hybridMultilevel"/>
    <w:tmpl w:val="971A2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9321ED"/>
    <w:multiLevelType w:val="multilevel"/>
    <w:tmpl w:val="6966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D6301C"/>
    <w:multiLevelType w:val="hybridMultilevel"/>
    <w:tmpl w:val="4AF62A5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997533">
    <w:abstractNumId w:val="8"/>
  </w:num>
  <w:num w:numId="2" w16cid:durableId="1084910637">
    <w:abstractNumId w:val="5"/>
  </w:num>
  <w:num w:numId="3" w16cid:durableId="924607032">
    <w:abstractNumId w:val="4"/>
  </w:num>
  <w:num w:numId="4" w16cid:durableId="331297014">
    <w:abstractNumId w:val="1"/>
  </w:num>
  <w:num w:numId="5" w16cid:durableId="2040009330">
    <w:abstractNumId w:val="6"/>
  </w:num>
  <w:num w:numId="6" w16cid:durableId="1476022714">
    <w:abstractNumId w:val="9"/>
  </w:num>
  <w:num w:numId="7" w16cid:durableId="1418598146">
    <w:abstractNumId w:val="7"/>
  </w:num>
  <w:num w:numId="8" w16cid:durableId="137109399">
    <w:abstractNumId w:val="2"/>
  </w:num>
  <w:num w:numId="9" w16cid:durableId="527257960">
    <w:abstractNumId w:val="3"/>
  </w:num>
  <w:num w:numId="10" w16cid:durableId="70171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F26"/>
    <w:rsid w:val="000132A9"/>
    <w:rsid w:val="000234EF"/>
    <w:rsid w:val="00026088"/>
    <w:rsid w:val="00084FE9"/>
    <w:rsid w:val="0008565D"/>
    <w:rsid w:val="000E4441"/>
    <w:rsid w:val="00161BE9"/>
    <w:rsid w:val="001722E3"/>
    <w:rsid w:val="00185E05"/>
    <w:rsid w:val="001B34EF"/>
    <w:rsid w:val="001D599A"/>
    <w:rsid w:val="001F78E7"/>
    <w:rsid w:val="0022750A"/>
    <w:rsid w:val="00260DDD"/>
    <w:rsid w:val="002C1568"/>
    <w:rsid w:val="002F4992"/>
    <w:rsid w:val="0031516A"/>
    <w:rsid w:val="00346B8A"/>
    <w:rsid w:val="003972CD"/>
    <w:rsid w:val="003B76E3"/>
    <w:rsid w:val="003F4624"/>
    <w:rsid w:val="00405175"/>
    <w:rsid w:val="004257D6"/>
    <w:rsid w:val="00433956"/>
    <w:rsid w:val="00443EF5"/>
    <w:rsid w:val="00454788"/>
    <w:rsid w:val="00456BC5"/>
    <w:rsid w:val="00483BBF"/>
    <w:rsid w:val="004969F2"/>
    <w:rsid w:val="0055014A"/>
    <w:rsid w:val="00565CE1"/>
    <w:rsid w:val="0056669D"/>
    <w:rsid w:val="005C1063"/>
    <w:rsid w:val="00612F87"/>
    <w:rsid w:val="006B4202"/>
    <w:rsid w:val="006B539D"/>
    <w:rsid w:val="006C0E6D"/>
    <w:rsid w:val="006C1D5A"/>
    <w:rsid w:val="00707FF0"/>
    <w:rsid w:val="00744DF6"/>
    <w:rsid w:val="00794404"/>
    <w:rsid w:val="007D70D1"/>
    <w:rsid w:val="007E1E02"/>
    <w:rsid w:val="00855506"/>
    <w:rsid w:val="00873CD8"/>
    <w:rsid w:val="00887CEC"/>
    <w:rsid w:val="00925075"/>
    <w:rsid w:val="00926D78"/>
    <w:rsid w:val="0097272D"/>
    <w:rsid w:val="00A17E0B"/>
    <w:rsid w:val="00A21765"/>
    <w:rsid w:val="00A26EAE"/>
    <w:rsid w:val="00A806F0"/>
    <w:rsid w:val="00B40844"/>
    <w:rsid w:val="00B94F26"/>
    <w:rsid w:val="00BA70F5"/>
    <w:rsid w:val="00BA7375"/>
    <w:rsid w:val="00C241FC"/>
    <w:rsid w:val="00C26CE4"/>
    <w:rsid w:val="00C34304"/>
    <w:rsid w:val="00C62989"/>
    <w:rsid w:val="00C70DE7"/>
    <w:rsid w:val="00C914D5"/>
    <w:rsid w:val="00C944DF"/>
    <w:rsid w:val="00CC45DD"/>
    <w:rsid w:val="00CF5B0E"/>
    <w:rsid w:val="00D34379"/>
    <w:rsid w:val="00D46E80"/>
    <w:rsid w:val="00E44893"/>
    <w:rsid w:val="00E77B5F"/>
    <w:rsid w:val="00E81ABA"/>
    <w:rsid w:val="00E87717"/>
    <w:rsid w:val="00F312AC"/>
    <w:rsid w:val="00F610EB"/>
    <w:rsid w:val="00F8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47469B"/>
  <w15:chartTrackingRefBased/>
  <w15:docId w15:val="{846DD644-AA77-0445-A828-361EA3EE2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89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4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F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F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F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F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4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F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F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4F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F26"/>
  </w:style>
  <w:style w:type="paragraph" w:styleId="Footer">
    <w:name w:val="footer"/>
    <w:basedOn w:val="Normal"/>
    <w:link w:val="FooterChar"/>
    <w:uiPriority w:val="99"/>
    <w:unhideWhenUsed/>
    <w:rsid w:val="00B94F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F26"/>
  </w:style>
  <w:style w:type="character" w:customStyle="1" w:styleId="apple-converted-space">
    <w:name w:val="apple-converted-space"/>
    <w:basedOn w:val="DefaultParagraphFont"/>
    <w:rsid w:val="00454788"/>
  </w:style>
  <w:style w:type="table" w:styleId="TableGrid">
    <w:name w:val="Table Grid"/>
    <w:basedOn w:val="TableNormal"/>
    <w:uiPriority w:val="39"/>
    <w:rsid w:val="00F61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7F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F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4992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C0E6D"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C0E6D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C0E6D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C0E6D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C0E6D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C0E6D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C0E6D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C0E6D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C0E6D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C0E6D"/>
    <w:pPr>
      <w:ind w:left="1920"/>
    </w:pPr>
    <w:rPr>
      <w:rFonts w:asciiTheme="minorHAnsi" w:hAnsiTheme="minorHAnsi"/>
      <w:sz w:val="20"/>
      <w:szCs w:val="20"/>
    </w:rPr>
  </w:style>
  <w:style w:type="paragraph" w:styleId="Revision">
    <w:name w:val="Revision"/>
    <w:hidden/>
    <w:uiPriority w:val="99"/>
    <w:semiHidden/>
    <w:rsid w:val="006B420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275DC0-0E49-5E45-AC28-60C77AC47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2237</Words>
  <Characters>12751</Characters>
  <Application>Microsoft Office Word</Application>
  <DocSecurity>0</DocSecurity>
  <Lines>106</Lines>
  <Paragraphs>29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Uściński</dc:creator>
  <cp:keywords/>
  <dc:description/>
  <cp:lastModifiedBy>Tomasz Uściński</cp:lastModifiedBy>
  <cp:revision>3</cp:revision>
  <cp:lastPrinted>2025-12-17T18:34:00Z</cp:lastPrinted>
  <dcterms:created xsi:type="dcterms:W3CDTF">2026-03-12T20:08:00Z</dcterms:created>
  <dcterms:modified xsi:type="dcterms:W3CDTF">2026-03-12T20:12:00Z</dcterms:modified>
</cp:coreProperties>
</file>