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80C8"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7E6169" w14:textId="77777777" w:rsidR="00853339" w:rsidRPr="00853339" w:rsidRDefault="00853339" w:rsidP="008533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53339">
        <w:rPr>
          <w:rFonts w:ascii="Times New Roman" w:eastAsia="Times New Roman" w:hAnsi="Times New Roman" w:cs="Times New Roman"/>
          <w:b/>
          <w:bCs/>
          <w:kern w:val="0"/>
          <w:sz w:val="36"/>
          <w:szCs w:val="36"/>
          <w:lang w:eastAsia="en-GB"/>
          <w14:ligatures w14:val="none"/>
        </w:rPr>
        <w:t>Opis funkcjonalności SpendGuru</w:t>
      </w:r>
    </w:p>
    <w:p w14:paraId="216BAA13"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A6865D5"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kern w:val="0"/>
          <w:lang w:eastAsia="en-GB"/>
          <w14:ligatures w14:val="none"/>
        </w:rPr>
        <w:t xml:space="preserve">SpendGuru to rozwiązanie B2B SaaS stworzone przez Profitię dla zespołów zakupowych. Jego celem nie jest wyłącznie dostarczenie danych czy raportów, ale wsparcie skuteczniejszego przygotowania negocjacji zakupowych poprzez połączenie analizy kosztów, prognoz rynkowych, oceny dostawcy, monitoringu otoczenia rynkowego oraz narzędzi AI. SpendGuru pomaga przejść od intuicyjnego sposobu prowadzenia negocjacji do modelu opartego na danych, benchmarkach, scenariuszach i uporządkowanym procesie pracy. W praktyce oznacza to lepsze przygotowanie do rozmów z dostawcami, większą kontrolę nad marżą i budżetem oraz możliwość budowy powtarzalnego standardu pracy negocjacyjnej w całym zespole.  </w:t>
      </w:r>
    </w:p>
    <w:p w14:paraId="5217686E"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0E2BCF"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kern w:val="0"/>
          <w:lang w:eastAsia="en-GB"/>
          <w14:ligatures w14:val="none"/>
        </w:rPr>
        <w:t xml:space="preserve">Funkcjonalnie SpendGuru obejmuje sześć głównych obszarów wsparcia: Cost Scan, Crystal Ball, X-Ray, Newsfeed, AI Assistant oraz Deal Maker. Każdy z tych modułów odpowiada innemu etapowi przygotowania negocjacji, ale ich największa wartość polega na tym, że razem tworzą spójny workflow: od zrozumienia kosztu i rynku, przez ocenę dostawcy, aż po zbudowanie argumentacji i materiału do rozmowy.  </w:t>
      </w:r>
    </w:p>
    <w:p w14:paraId="25B39AF6"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4CA562" w14:textId="3CAE7A33"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b/>
          <w:bCs/>
          <w:kern w:val="0"/>
          <w:lang w:eastAsia="en-GB"/>
          <w14:ligatures w14:val="none"/>
        </w:rPr>
        <w:t>Cost Scan</w:t>
      </w:r>
      <w:r w:rsidRPr="00853339">
        <w:rPr>
          <w:rFonts w:ascii="Times New Roman" w:eastAsia="Times New Roman" w:hAnsi="Times New Roman" w:cs="Times New Roman"/>
          <w:kern w:val="0"/>
          <w:lang w:eastAsia="en-GB"/>
          <w14:ligatures w14:val="none"/>
        </w:rPr>
        <w:t xml:space="preserve"> odpowiada za transparentność kosztów i zrozumienie ekonomiki kategorii zakupowej. Moduł ten pozwala analizować </w:t>
      </w:r>
      <w:r>
        <w:rPr>
          <w:rFonts w:ascii="Times New Roman" w:eastAsia="Times New Roman" w:hAnsi="Times New Roman" w:cs="Times New Roman"/>
          <w:kern w:val="0"/>
          <w:lang w:eastAsia="en-GB"/>
          <w14:ligatures w14:val="none"/>
        </w:rPr>
        <w:t xml:space="preserve">koszt zasadny (Should-cost) </w:t>
      </w:r>
      <w:r w:rsidRPr="00853339">
        <w:rPr>
          <w:rFonts w:ascii="Times New Roman" w:eastAsia="Times New Roman" w:hAnsi="Times New Roman" w:cs="Times New Roman"/>
          <w:kern w:val="0"/>
          <w:lang w:eastAsia="en-GB"/>
          <w14:ligatures w14:val="none"/>
        </w:rPr>
        <w:t xml:space="preserve">cost drivers, benchmarki, poziom should-cost, historię cen oraz zmiany rynkowe wpływające na koszt kategorii. Wspiera porównywanie cen zakupu z trendami rynkowymi, monitorowanie składowych całkowitego kosztu posiadania oraz ocenę, czy cena lub podwyżka proponowana przez dostawcę ma realne uzasadnienie kosztowe. Cost Scan pomaga kupcom i liderom zakupów budować twardy punkt odniesienia do rozmowy z dostawcą, dzięki czemu negocjacje nie opierają się wyłącznie na deklaracjach drugiej strony, ale na danych i logice kosztowej. Moduł ten wspiera również codzienny monitoring zmian cen rynkowych oraz analizę historyczną kategorii.  </w:t>
      </w:r>
    </w:p>
    <w:p w14:paraId="75718E85"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757024" w14:textId="24FF17F0"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b/>
          <w:bCs/>
          <w:kern w:val="0"/>
          <w:lang w:eastAsia="en-GB"/>
          <w14:ligatures w14:val="none"/>
        </w:rPr>
        <w:t>Crystal Ball</w:t>
      </w:r>
      <w:r w:rsidRPr="00853339">
        <w:rPr>
          <w:rFonts w:ascii="Times New Roman" w:eastAsia="Times New Roman" w:hAnsi="Times New Roman" w:cs="Times New Roman"/>
          <w:kern w:val="0"/>
          <w:lang w:eastAsia="en-GB"/>
          <w14:ligatures w14:val="none"/>
        </w:rPr>
        <w:t xml:space="preserve"> odpowiada za prognozowanie kierunku zmian kosztów </w:t>
      </w:r>
      <w:r>
        <w:rPr>
          <w:rFonts w:ascii="Times New Roman" w:eastAsia="Times New Roman" w:hAnsi="Times New Roman" w:cs="Times New Roman"/>
          <w:kern w:val="0"/>
          <w:lang w:eastAsia="en-GB"/>
          <w14:ligatures w14:val="none"/>
        </w:rPr>
        <w:t xml:space="preserve">zasadnych (Should-cost) </w:t>
      </w:r>
      <w:r w:rsidRPr="00853339">
        <w:rPr>
          <w:rFonts w:ascii="Times New Roman" w:eastAsia="Times New Roman" w:hAnsi="Times New Roman" w:cs="Times New Roman"/>
          <w:kern w:val="0"/>
          <w:lang w:eastAsia="en-GB"/>
          <w14:ligatures w14:val="none"/>
        </w:rPr>
        <w:t xml:space="preserve">i wsparcie decyzji zakupowych w czasie. Moduł ten dostarcza predykcje przyszłych trendów cenowych, scenariusze rozwoju sytuacji rynkowej oraz pogłębione analizy trendów, które mogą wpływać na koszty kategorii. Jego rolą jest nie tylko pokazanie, co dzieje się na rynku dziś, ale także wsparcie decyzji typu: kupić teraz czy później, zakontraktować dłużej czy krócej, zastosować stałą cenę czy indeksację, wrócić do negocjacji już teraz czy poczekać. Crystal Ball wspiera budżetowanie, planowanie działań zakupowych i identyfikowanie ryzyk z wyprzedzeniem. Wykorzystuje modele machine learning, modele ekonometryczne oraz rozwiązania LLM i GenAI do łączenia wiedzy o kategorii z sygnałami z rynku. Dzięki temu pomaga przekładać prognozę na konkretną decyzję biznesową i negocjacyjną.  </w:t>
      </w:r>
    </w:p>
    <w:p w14:paraId="545BD73D"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25D27E8"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b/>
          <w:bCs/>
          <w:kern w:val="0"/>
          <w:lang w:eastAsia="en-GB"/>
          <w14:ligatures w14:val="none"/>
        </w:rPr>
        <w:t>X-Ray</w:t>
      </w:r>
      <w:r w:rsidRPr="00853339">
        <w:rPr>
          <w:rFonts w:ascii="Times New Roman" w:eastAsia="Times New Roman" w:hAnsi="Times New Roman" w:cs="Times New Roman"/>
          <w:kern w:val="0"/>
          <w:lang w:eastAsia="en-GB"/>
          <w14:ligatures w14:val="none"/>
        </w:rPr>
        <w:t xml:space="preserve"> odpowiada za analizę dostawcy i ocenę ryzyka współpracy. Moduł ten umożliwia wgląd w aktualne dane finansowe dostawców, ich standing finansowy, płynność, zadłużenie, dynamikę wyników oraz ryzyko kontynuacji działalności. Wspiera porównywanie kilku dostawców jednocześnie i pozwala wykorzystywać dane finansowe nie tylko do oceny bezpieczeństwa współpracy, ale także do budowania strategii negocjacyjnej. Dzięki X-Ray można lepiej ocenić, czy dostawca jest pod presją przychodową, czy może mieć napiętą płynność, czy wzrost ceny może służyć poprawie jego marży i jakie dźwignie negocjacyjne mogą z tego wynikać. To ważne, ponieważ dane o dostawcy stają się tu nie tylko elementem risk managementu, ale także częścią przygotowania argumentacji negocjacyjnej. Moduł korzysta z danych Dun &amp; Bradstreet i wspiera analizę dostawców z Polski, UE i wybranych rynków Eurazji.  </w:t>
      </w:r>
    </w:p>
    <w:p w14:paraId="2AD0ECF0"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1E7E1E"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b/>
          <w:bCs/>
          <w:kern w:val="0"/>
          <w:lang w:eastAsia="en-GB"/>
          <w14:ligatures w14:val="none"/>
        </w:rPr>
        <w:t>Newsfeed</w:t>
      </w:r>
      <w:r w:rsidRPr="00853339">
        <w:rPr>
          <w:rFonts w:ascii="Times New Roman" w:eastAsia="Times New Roman" w:hAnsi="Times New Roman" w:cs="Times New Roman"/>
          <w:kern w:val="0"/>
          <w:lang w:eastAsia="en-GB"/>
          <w14:ligatures w14:val="none"/>
        </w:rPr>
        <w:t xml:space="preserve"> odpowiada za monitoring sygnałów rynkowych i informacji zewnętrznych, które mogą wpływać na kategorię zakupową, dostawcę lub samą pozycję negocjacyjną kupca. Jego rola polega na dostarczaniu kontekstu jakościowego: zmian regulacyjnych, nowych graczy na rynku, informacji o nadpodaży, spadkach lub wzrostach cen surowców, zmianach technologicznych, wydarzeniach geopolitycznych czy sygnałach dotyczących branży dostawcy. Newsfeed pomaga budować narrację negocjacyjną również wtedy, gdy klasyczne benchmarki lub analiza ceny nie dają jeszcze oczywistej przewagi. Dzięki temu kupiec może szybciej identyfikować sygnały, które warto przełożyć na rozmowę z dostawcą lub na zmianę decyzji zakupowej.  </w:t>
      </w:r>
    </w:p>
    <w:p w14:paraId="28D910F4"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6C2221"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b/>
          <w:bCs/>
          <w:kern w:val="0"/>
          <w:lang w:eastAsia="en-GB"/>
          <w14:ligatures w14:val="none"/>
        </w:rPr>
        <w:t>AI Assistant</w:t>
      </w:r>
      <w:r w:rsidRPr="00853339">
        <w:rPr>
          <w:rFonts w:ascii="Times New Roman" w:eastAsia="Times New Roman" w:hAnsi="Times New Roman" w:cs="Times New Roman"/>
          <w:kern w:val="0"/>
          <w:lang w:eastAsia="en-GB"/>
          <w14:ligatures w14:val="none"/>
        </w:rPr>
        <w:t xml:space="preserve"> odpowiada za szybszą interpretację danych i wsparcie użytkownika w codziennej pracy analityczno-negocjacyjnej. Jest to wyspecjalizowany chat oparty o model językowy pracujący na danych kategorii, benchmarkach i wiedzy rynkowej. Umożliwia zadawanie pytań dotyczących kategorii, trendów, prognoz czy sytuacji dostawcy, a następnie szybkie uzyskanie odpowiedzi syntetyzujących najważniejsze wnioski. Rolą AI Assistant nie jest zastąpienie kupca, lecz przyspieszenie analizy, porządkowanie wiedzy i ułatwienie przejścia od danych do decyzji. Dzięki temu użytkownik może szybciej dotrzeć do istotnych informacji, skrócić czas ręcznego researchu i pracować bardziej konsekwentnie według jednego standardu przygotowania negocjacji.    </w:t>
      </w:r>
    </w:p>
    <w:p w14:paraId="11661C64"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55BD7FC"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b/>
          <w:bCs/>
          <w:kern w:val="0"/>
          <w:lang w:eastAsia="en-GB"/>
          <w14:ligatures w14:val="none"/>
        </w:rPr>
        <w:t>Deal Maker</w:t>
      </w:r>
      <w:r w:rsidRPr="00853339">
        <w:rPr>
          <w:rFonts w:ascii="Times New Roman" w:eastAsia="Times New Roman" w:hAnsi="Times New Roman" w:cs="Times New Roman"/>
          <w:kern w:val="0"/>
          <w:lang w:eastAsia="en-GB"/>
          <w14:ligatures w14:val="none"/>
        </w:rPr>
        <w:t xml:space="preserve"> odpowiada za przełożenie analityki na działanie negocjacyjne. To moduł generujący uporządkowany materiał do rozmowy z dostawcą: rekomendacje, scenariusze, poziomy docelowe, argumentację, dźwignie negocjacyjne oraz gotowe prezentacje negocjacyjne. W praktyce Deal Maker spina w jedną całość dane z Cost Scan, Crystal Ball, X-Ray i innych źródeł, aby przygotować materiał roboczy, który kupiec lub lider zakupów może realnie wykorzystać przed spotkaniem z dostawcą. Moduł wspiera automatyzację przygotowania materiałów oraz porządkowanie logiki rozmowy: co negocjować, na czym oprzeć argumenty, jakie scenariusze przyjąć i które elementy oferty są najważniejsze z punktu widzenia klienta. Dzięki temu SpendGuru nie kończy się na dostarczeniu insightów, ale pomaga przejść do gotowej strategii działania.  </w:t>
      </w:r>
    </w:p>
    <w:p w14:paraId="7F79A61A"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8E61F30"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kern w:val="0"/>
          <w:lang w:eastAsia="en-GB"/>
          <w14:ligatures w14:val="none"/>
        </w:rPr>
        <w:t xml:space="preserve">Łącznie SpendGuru wspiera pełny proces przygotowania negocjacji zakupowych. Najpierw pomaga zrozumieć, z czego wynika cena dostawcy i jaki jest koszt zasadny kategorii. Następnie pokazuje, dokąd zmierza rynek i jakie zmiany kosztowe mogą wystąpić w kolejnych tygodniach lub miesiącach. Kolejnym krokiem jest ocena dostawcy: jego kondycji, ryzyka i możliwych słabości lub potrzeb. Równolegle możliwe jest monitorowanie sygnałów rynkowych i informacji zewnętrznych, które wpływają na kategorię lub układ sił w rozmowie. Na końcu system pomaga przełożyć te wszystkie informacje na argumentację, plan rozmowy i materiał negocjacyjny. Taka logika odpowiada nowemu pozycjonowaniu SpendGuru jako rozwiązania negotiation-first, a nie tylko analytics-first.  </w:t>
      </w:r>
    </w:p>
    <w:p w14:paraId="2F477C49"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77BC22"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kern w:val="0"/>
          <w:lang w:eastAsia="en-GB"/>
          <w14:ligatures w14:val="none"/>
        </w:rPr>
        <w:t xml:space="preserve">Z perspektywy biznesowej SpendGuru wspiera organizacje w kilku kluczowych obszarach. Pomaga bronić się przed nieuzasadnionymi podwyżkami, lepiej przygotowywać ważne negocjacje z dostawcami, budować wspólny standard przygotowania negocjacji w zespole, poprawiać jakość budżetowania kategorii, prowadzić negocjacje w oparciu o dane i benchmarki oraz lepiej oceniać ryzyko i siłę negocjacyjną dostawcy. Nie jest więc tylko narzędziem dla pojedynczego kupca, ale rozwiązaniem, z którego korzystać mogą także dyrektorzy zakupów, category managerowie, finanse, zarząd, logistyka czy zespoły odpowiedzialne za zarządzanie ryzykiem.    </w:t>
      </w:r>
    </w:p>
    <w:p w14:paraId="6079465B"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8D0161"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kern w:val="0"/>
          <w:lang w:eastAsia="en-GB"/>
          <w14:ligatures w14:val="none"/>
        </w:rPr>
        <w:t xml:space="preserve">Technologicznie SpendGuru korzysta z szerokiej bazy danych kosztowych i finansowych. Materiały referencyjne wskazują na ponad 100 kategorii kosztowych, ponad 300 milionów rekordów i serii danych zasilających modele kosztowe oraz dane finansowe dla ponad 300 milionów dostawców. System umożliwia eksport materiałów do formatów PDF, PPTX i XLSX, co jest istotne z perspektywy codziennej pracy zakupowej i przygotowania prezentacji negocjacyjnych lub materiałów dla zarządu.    </w:t>
      </w:r>
    </w:p>
    <w:p w14:paraId="677AA46D"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02E0A8"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kern w:val="0"/>
          <w:lang w:eastAsia="en-GB"/>
          <w14:ligatures w14:val="none"/>
        </w:rPr>
        <w:t xml:space="preserve">Najważniejsze jest jednak to, że SpendGuru nie powinien być opisywany jako zbiór luźnych modułów. Jego wartość polega na tym, że łączy analizę kosztów, predykcję rynku, ocenę dostawcy, monitoring otoczenia i wsparcie AI w jeden spójny proces przygotowania negocjacji. Dzięki temu wspiera zarówno codzienną pracę kupca, jak i zarządczy cel dyrektora zakupów: zwiększenie jakości przygotowania negocjacji, poprawę przewidywalności wyników i budowę powtarzalnego standardu pracy w całym zespole.  </w:t>
      </w:r>
    </w:p>
    <w:p w14:paraId="74717EEB"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1F012C" w14:textId="77777777" w:rsidR="00853339" w:rsidRPr="00853339" w:rsidRDefault="00853339" w:rsidP="008533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3339">
        <w:rPr>
          <w:rFonts w:ascii="Times New Roman" w:eastAsia="Times New Roman" w:hAnsi="Times New Roman" w:cs="Times New Roman"/>
          <w:kern w:val="0"/>
          <w:lang w:eastAsia="en-GB"/>
          <w14:ligatures w14:val="none"/>
        </w:rPr>
        <w:t xml:space="preserve">Jeśli chcesz, mogę teraz przygotować Ci jeszcze drugą sekcję do tego samego dokumentu: </w:t>
      </w:r>
      <w:r w:rsidRPr="00853339">
        <w:rPr>
          <w:rFonts w:ascii="Times New Roman" w:eastAsia="Times New Roman" w:hAnsi="Times New Roman" w:cs="Times New Roman"/>
          <w:b/>
          <w:bCs/>
          <w:kern w:val="0"/>
          <w:lang w:eastAsia="en-GB"/>
          <w14:ligatures w14:val="none"/>
        </w:rPr>
        <w:t>„standardowy opis POC: zakres, czas, deliverables i CTA”</w:t>
      </w:r>
      <w:r w:rsidRPr="00853339">
        <w:rPr>
          <w:rFonts w:ascii="Times New Roman" w:eastAsia="Times New Roman" w:hAnsi="Times New Roman" w:cs="Times New Roman"/>
          <w:kern w:val="0"/>
          <w:lang w:eastAsia="en-GB"/>
          <w14:ligatures w14:val="none"/>
        </w:rPr>
        <w:t xml:space="preserve"> — w formie gotowej do wklejenia 1:1.</w:t>
      </w:r>
    </w:p>
    <w:p w14:paraId="55A5FF6F" w14:textId="77777777" w:rsidR="00185E05" w:rsidRDefault="00185E05"/>
    <w:sectPr w:rsidR="00185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39"/>
    <w:rsid w:val="00012194"/>
    <w:rsid w:val="00185E05"/>
    <w:rsid w:val="004969F2"/>
    <w:rsid w:val="0055014A"/>
    <w:rsid w:val="00853339"/>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4F6A2F88"/>
  <w15:chartTrackingRefBased/>
  <w15:docId w15:val="{929A2973-47C6-8046-80D6-72A44DA03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3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3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339"/>
    <w:rPr>
      <w:rFonts w:eastAsiaTheme="majorEastAsia" w:cstheme="majorBidi"/>
      <w:color w:val="272727" w:themeColor="text1" w:themeTint="D8"/>
    </w:rPr>
  </w:style>
  <w:style w:type="paragraph" w:styleId="Title">
    <w:name w:val="Title"/>
    <w:basedOn w:val="Normal"/>
    <w:next w:val="Normal"/>
    <w:link w:val="TitleChar"/>
    <w:uiPriority w:val="10"/>
    <w:qFormat/>
    <w:rsid w:val="00853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339"/>
    <w:pPr>
      <w:spacing w:before="160"/>
      <w:jc w:val="center"/>
    </w:pPr>
    <w:rPr>
      <w:i/>
      <w:iCs/>
      <w:color w:val="404040" w:themeColor="text1" w:themeTint="BF"/>
    </w:rPr>
  </w:style>
  <w:style w:type="character" w:customStyle="1" w:styleId="QuoteChar">
    <w:name w:val="Quote Char"/>
    <w:basedOn w:val="DefaultParagraphFont"/>
    <w:link w:val="Quote"/>
    <w:uiPriority w:val="29"/>
    <w:rsid w:val="00853339"/>
    <w:rPr>
      <w:i/>
      <w:iCs/>
      <w:color w:val="404040" w:themeColor="text1" w:themeTint="BF"/>
    </w:rPr>
  </w:style>
  <w:style w:type="paragraph" w:styleId="ListParagraph">
    <w:name w:val="List Paragraph"/>
    <w:basedOn w:val="Normal"/>
    <w:uiPriority w:val="34"/>
    <w:qFormat/>
    <w:rsid w:val="00853339"/>
    <w:pPr>
      <w:ind w:left="720"/>
      <w:contextualSpacing/>
    </w:pPr>
  </w:style>
  <w:style w:type="character" w:styleId="IntenseEmphasis">
    <w:name w:val="Intense Emphasis"/>
    <w:basedOn w:val="DefaultParagraphFont"/>
    <w:uiPriority w:val="21"/>
    <w:qFormat/>
    <w:rsid w:val="00853339"/>
    <w:rPr>
      <w:i/>
      <w:iCs/>
      <w:color w:val="0F4761" w:themeColor="accent1" w:themeShade="BF"/>
    </w:rPr>
  </w:style>
  <w:style w:type="paragraph" w:styleId="IntenseQuote">
    <w:name w:val="Intense Quote"/>
    <w:basedOn w:val="Normal"/>
    <w:next w:val="Normal"/>
    <w:link w:val="IntenseQuoteChar"/>
    <w:uiPriority w:val="30"/>
    <w:qFormat/>
    <w:rsid w:val="00853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339"/>
    <w:rPr>
      <w:i/>
      <w:iCs/>
      <w:color w:val="0F4761" w:themeColor="accent1" w:themeShade="BF"/>
    </w:rPr>
  </w:style>
  <w:style w:type="character" w:styleId="IntenseReference">
    <w:name w:val="Intense Reference"/>
    <w:basedOn w:val="DefaultParagraphFont"/>
    <w:uiPriority w:val="32"/>
    <w:qFormat/>
    <w:rsid w:val="00853339"/>
    <w:rPr>
      <w:b/>
      <w:bCs/>
      <w:smallCaps/>
      <w:color w:val="0F4761" w:themeColor="accent1" w:themeShade="BF"/>
      <w:spacing w:val="5"/>
    </w:rPr>
  </w:style>
  <w:style w:type="paragraph" w:customStyle="1" w:styleId="p1">
    <w:name w:val="p1"/>
    <w:basedOn w:val="Normal"/>
    <w:rsid w:val="008533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853339"/>
  </w:style>
  <w:style w:type="character" w:customStyle="1" w:styleId="apple-converted-space">
    <w:name w:val="apple-converted-space"/>
    <w:basedOn w:val="DefaultParagraphFont"/>
    <w:rsid w:val="00853339"/>
  </w:style>
  <w:style w:type="paragraph" w:customStyle="1" w:styleId="p2">
    <w:name w:val="p2"/>
    <w:basedOn w:val="Normal"/>
    <w:rsid w:val="008533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1100</Words>
  <Characters>7352</Characters>
  <Application>Microsoft Office Word</Application>
  <DocSecurity>0</DocSecurity>
  <Lines>120</Lines>
  <Paragraphs>16</Paragraphs>
  <ScaleCrop>false</ScaleCrop>
  <Company>Profitia</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Uściński</dc:creator>
  <cp:keywords/>
  <dc:description/>
  <cp:lastModifiedBy>Tomasz Uściński</cp:lastModifiedBy>
  <cp:revision>1</cp:revision>
  <dcterms:created xsi:type="dcterms:W3CDTF">2026-04-10T08:46:00Z</dcterms:created>
  <dcterms:modified xsi:type="dcterms:W3CDTF">2026-04-10T08:47:00Z</dcterms:modified>
</cp:coreProperties>
</file>