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766E"/>
          <w:spacing w:val="60"/>
          <w:sz w:val="22"/>
          <w:szCs w:val="22"/>
        </w:rPr>
        <w:t xml:space="preserve">CHIPGPT</w:t>
      </w:r>
    </w:p>
    <w:p>
      <w:pPr>
        <w:spacing w:after="60"/>
      </w:pPr>
      <w:r>
        <w:rPr>
          <w:b/>
          <w:bCs/>
          <w:color w:val="0A0E1A"/>
          <w:sz w:val="44"/>
          <w:szCs w:val="44"/>
        </w:rPr>
        <w:t xml:space="preserve">Website Revision Brief</w:t>
      </w:r>
    </w:p>
    <w:p>
      <w:pPr>
        <w:spacing w:after="30"/>
      </w:pPr>
      <w:r>
        <w:rPr>
          <w:color w:val="475569"/>
          <w:sz w:val="20"/>
          <w:szCs w:val="20"/>
        </w:rPr>
        <w:t xml:space="preserve">For: web designer  ·  Target: chip-gpt-ai.vercel.app  ·  Confidential</w:t>
      </w:r>
    </w:p>
    <w:p>
      <w:pPr>
        <w:pBdr>
          <w:bottom w:val="single" w:color="B8860B" w:sz="8" w:space="6"/>
        </w:pBdr>
        <w:spacing w:after="200"/>
      </w:pPr>
    </w:p>
    <w:p>
      <w:pPr>
        <w:spacing w:after="140"/>
      </w:pPr>
      <w:r>
        <w:t xml:space="preserve">This brief lists targeted edits to the </w:t>
      </w:r>
      <w:r>
        <w:t xml:space="preserve">existing</w:t>
      </w:r>
      <w:r>
        <w:t xml:space="preserve"> live site — not a rebuild. The goal is to remove a small number of claims that don't hold up under customer or investor scrutiny, add an explicit data-ownership message, and otherwise </w:t>
      </w:r>
      <w:r>
        <w:rPr>
          <w:b/>
          <w:bCs/>
        </w:rPr>
        <w:t xml:space="preserve">preserve the current breadth on purpose</w:t>
      </w:r>
      <w:r>
        <w:t xml:space="preserve">. The lifecycle scope (including yield and test) stays as-is as positioning cover; we are only removing falsifiable specifics inside it. Do not add new product detail beyond what is listed here.</w:t>
      </w:r>
    </w:p>
    <w:p>
      <w:pPr>
        <w:pStyle w:val="Heading1"/>
      </w:pPr>
      <w:r>
        <w:t xml:space="preserve">Changes to make</w:t>
      </w:r>
    </w:p>
    <w:p>
      <w:pPr>
        <w:spacing w:after="80" w:before="220"/>
      </w:pPr>
      <w:r>
        <w:rPr>
          <w:b/>
          <w:bCs/>
          <w:color w:val="0F766E"/>
          <w:sz w:val="24"/>
          <w:szCs w:val="24"/>
        </w:rPr>
        <w:t xml:space="preserve">1.  </w:t>
      </w:r>
      <w:r>
        <w:rPr>
          <w:b/>
          <w:bCs/>
          <w:color w:val="0A0E1A"/>
          <w:sz w:val="24"/>
          <w:szCs w:val="24"/>
        </w:rPr>
        <w:t xml:space="preserve">Hero subhead — replace the capability list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Current:  </w:t>
      </w:r>
      <w:r>
        <w:t xml:space="preserve">“ChipGPT gives semiconductor teams specialized AI agents for RTL, verification, silicon bring-up, yield learning, test optimization, and FAE support.”</w:t>
      </w:r>
    </w:p>
    <w:p>
      <w:pPr>
        <w:spacing w:after="70"/>
        <w:ind w:left="360"/>
      </w:pPr>
      <w:r>
        <w:rPr>
          <w:b/>
          <w:bCs/>
          <w:color w:val="0F766E"/>
        </w:rPr>
        <w:t xml:space="preserve">Change to:  </w:t>
      </w:r>
      <w:r>
        <w:t xml:space="preserve">“The biggest chipmakers built private AI to move faster on every node. ChipGPT brings that leverage to everyone else — co-workers that produce silicon-grade work, validated by the tools your teams already run.”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Why:  </w:t>
      </w:r>
      <w:r>
        <w:t xml:space="preserve">The current line reads as a feature checklist that broadcasts our scope. Keep it vivid on outcome, vague on mechanism.</w:t>
      </w:r>
    </w:p>
    <w:p>
      <w:pPr>
        <w:spacing w:after="80" w:before="220"/>
      </w:pPr>
      <w:r>
        <w:rPr>
          <w:b/>
          <w:bCs/>
          <w:color w:val="0F766E"/>
          <w:sz w:val="24"/>
          <w:szCs w:val="24"/>
        </w:rPr>
        <w:t xml:space="preserve">2.  </w:t>
      </w:r>
      <w:r>
        <w:rPr>
          <w:b/>
          <w:bCs/>
          <w:color w:val="0A0E1A"/>
          <w:sz w:val="24"/>
          <w:szCs w:val="24"/>
        </w:rPr>
        <w:t xml:space="preserve">Meta description / Open Graph description — same swap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Current:  </w:t>
      </w:r>
      <w:r>
        <w:t xml:space="preserve">Repeats the “RTL, verification, bring-up, yield, test, FAE” list in the page metadata.</w:t>
      </w:r>
    </w:p>
    <w:p>
      <w:pPr>
        <w:spacing w:after="70"/>
        <w:ind w:left="360"/>
      </w:pPr>
      <w:r>
        <w:rPr>
          <w:b/>
          <w:bCs/>
          <w:color w:val="0F766E"/>
        </w:rPr>
        <w:t xml:space="preserve">Change to:  </w:t>
      </w:r>
      <w:r>
        <w:t xml:space="preserve">Use the same outcome line from item 1 so search and social previews don’t publish the module taxonomy.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Why:  </w:t>
      </w:r>
      <w:r>
        <w:t xml:space="preserve">Metadata is scraped and indexed; it shouldn’t hand out the capability inventory.</w:t>
      </w:r>
    </w:p>
    <w:p>
      <w:pPr>
        <w:spacing w:after="80" w:before="220"/>
      </w:pPr>
      <w:r>
        <w:rPr>
          <w:b/>
          <w:bCs/>
          <w:color w:val="0F766E"/>
          <w:sz w:val="24"/>
          <w:szCs w:val="24"/>
        </w:rPr>
        <w:t xml:space="preserve">3.  </w:t>
      </w:r>
      <w:r>
        <w:rPr>
          <w:b/>
          <w:bCs/>
          <w:color w:val="0A0E1A"/>
          <w:sz w:val="24"/>
          <w:szCs w:val="24"/>
        </w:rPr>
        <w:t xml:space="preserve">Dashboard mock — repoint the content (keep the dashboard; keep ONE soft yield mention)</w:t>
      </w:r>
    </w:p>
    <w:p>
      <w:pPr>
        <w:spacing w:after="70"/>
        <w:ind w:left="360"/>
      </w:pPr>
      <w:r>
        <w:rPr>
          <w:b/>
          <w:bCs/>
          <w:color w:val="B8860B"/>
        </w:rPr>
        <w:t xml:space="preserve">Remove:  </w:t>
      </w:r>
      <w:r>
        <w:t xml:space="preserve">the “Yield Risk: Low” headline metric, and the activity line “Yield agent correlated Lot #A-4412 excursion to etch chamber drift.”</w:t>
      </w:r>
    </w:p>
    <w:p>
      <w:pPr>
        <w:spacing w:after="70"/>
        <w:ind w:left="360"/>
      </w:pPr>
      <w:r>
        <w:rPr>
          <w:b/>
          <w:bCs/>
          <w:color w:val="0F766E"/>
        </w:rPr>
        <w:t xml:space="preserve">Replace metrics with:  </w:t>
      </w:r>
      <w:r>
        <w:t xml:space="preserve">Open derivative programs · Verification threads tracked · Recurring patterns flagged · Engineer-hours returned.</w:t>
      </w:r>
    </w:p>
    <w:p>
      <w:pPr>
        <w:spacing w:after="70"/>
        <w:ind w:left="360"/>
      </w:pPr>
      <w:r>
        <w:rPr>
          <w:b/>
          <w:bCs/>
          <w:color w:val="0F766E"/>
        </w:rPr>
        <w:t xml:space="preserve">Replace activity stream with:  </w:t>
      </w:r>
      <w:r>
        <w:t xml:space="preserve">cross-program / lifecycle events (a pattern matching a prior tapeout; spec &amp; RTL re-synced after an interface change; traceability matrix updated against latest FMEDA entries). One softer field-or-yield line may remain as cover — but delete the specific “Lot # / etch chamber drift” fab-floor detail.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Why:  </w:t>
      </w:r>
      <w:r>
        <w:t xml:space="preserve">The specific lot-excursion detail is falsifiable and points at a capability we don’t demo. The repointed version hints at the real differentiator without exposing it.</w:t>
      </w:r>
    </w:p>
    <w:p>
      <w:pPr>
        <w:spacing w:after="80" w:before="220"/>
      </w:pPr>
      <w:r>
        <w:rPr>
          <w:b/>
          <w:bCs/>
          <w:color w:val="0F766E"/>
          <w:sz w:val="24"/>
          <w:szCs w:val="24"/>
        </w:rPr>
        <w:t xml:space="preserve">4.  </w:t>
      </w:r>
      <w:r>
        <w:rPr>
          <w:b/>
          <w:bCs/>
          <w:color w:val="0A0E1A"/>
          <w:sz w:val="24"/>
          <w:szCs w:val="24"/>
        </w:rPr>
        <w:t xml:space="preserve">“Highest ROI” section — remove ALL percentages</w:t>
      </w:r>
    </w:p>
    <w:p>
      <w:pPr>
        <w:spacing w:after="70"/>
        <w:ind w:left="360"/>
      </w:pPr>
      <w:r>
        <w:rPr>
          <w:b/>
          <w:bCs/>
          <w:color w:val="B8860B"/>
        </w:rPr>
        <w:t xml:space="preserve">Remove:  </w:t>
      </w:r>
      <w:r>
        <w:t xml:space="preserve">every figure: −38% excursion time-to-root-cause, −42% mean time to first-pass debug, +31% coverage closure velocity, −55% time-to-answer, −28% lab characterization cycles, −19% production test time.</w:t>
      </w:r>
    </w:p>
    <w:p>
      <w:pPr>
        <w:spacing w:after="70"/>
        <w:ind w:left="360"/>
      </w:pPr>
      <w:r>
        <w:rPr>
          <w:b/>
          <w:bCs/>
          <w:color w:val="0F766E"/>
        </w:rPr>
        <w:t xml:space="preserve">Change to:  </w:t>
      </w:r>
      <w:r>
        <w:t xml:space="preserve">either cut the section entirely, OR keep an ordered “where teams see the fastest payback” list with NO numbers attached.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Why:  </w:t>
      </w:r>
      <w:r>
        <w:rPr>
          <w:b/>
          <w:bCs/>
        </w:rPr>
        <w:t xml:space="preserve">This is the single most important change. </w:t>
      </w:r>
      <w:r>
        <w:t xml:space="preserve">These are specific, unsourced, falsifiable numbers — the biggest credibility liability on the site. Vague outcomes are free; fabricated percentages get challenged in diligence and make a buyer doubt everything else on the page.</w:t>
      </w:r>
    </w:p>
    <w:p>
      <w:pPr>
        <w:spacing w:after="80" w:before="220"/>
      </w:pPr>
      <w:r>
        <w:rPr>
          <w:b/>
          <w:bCs/>
          <w:color w:val="0F766E"/>
          <w:sz w:val="24"/>
          <w:szCs w:val="24"/>
        </w:rPr>
        <w:t xml:space="preserve">5.  </w:t>
      </w:r>
      <w:r>
        <w:rPr>
          <w:b/>
          <w:bCs/>
          <w:color w:val="0A0E1A"/>
          <w:sz w:val="24"/>
          <w:szCs w:val="24"/>
        </w:rPr>
        <w:t xml:space="preserve">Competitive Moat → “Proprietary semiconductor workflow data” card — rewrite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Current:  </w:t>
      </w:r>
      <w:r>
        <w:t xml:space="preserve">“Trained on anonymized tapeout, verification, and yield datasets — not generic web corpora.”</w:t>
      </w:r>
    </w:p>
    <w:p>
      <w:pPr>
        <w:spacing w:after="70"/>
        <w:ind w:left="360"/>
      </w:pPr>
      <w:r>
        <w:rPr>
          <w:b/>
          <w:bCs/>
          <w:color w:val="0F766E"/>
        </w:rPr>
        <w:t xml:space="preserve">Change to:  </w:t>
      </w:r>
      <w:r>
        <w:t xml:space="preserve">“ChipGPT learns from your program’s own history. Your data stays yours and private — we never train shared models on it.”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Why:  </w:t>
      </w:r>
      <w:r>
        <w:t xml:space="preserve">The current line implies we train on pooled customer data, which is not accurate and frightens customers who must trust that their RTL and FMEDAs stay theirs. Flip it from a (false) capability claim into a (true) trust guarantee.</w:t>
      </w:r>
    </w:p>
    <w:p>
      <w:pPr>
        <w:spacing w:after="80" w:before="220"/>
      </w:pPr>
      <w:r>
        <w:rPr>
          <w:b/>
          <w:bCs/>
          <w:color w:val="0F766E"/>
          <w:sz w:val="24"/>
          <w:szCs w:val="24"/>
        </w:rPr>
        <w:t xml:space="preserve">6.  </w:t>
      </w:r>
      <w:r>
        <w:rPr>
          <w:b/>
          <w:bCs/>
          <w:color w:val="0A0E1A"/>
          <w:sz w:val="24"/>
          <w:szCs w:val="24"/>
        </w:rPr>
        <w:t xml:space="preserve">Add an explicit data-ownership statement</w:t>
      </w:r>
    </w:p>
    <w:p>
      <w:pPr>
        <w:spacing w:after="70"/>
        <w:ind w:left="360"/>
      </w:pPr>
      <w:r>
        <w:rPr>
          <w:b/>
          <w:bCs/>
          <w:color w:val="0F766E"/>
        </w:rPr>
        <w:t xml:space="preserve">Add near architecture or moat:  </w:t>
      </w:r>
      <w:r>
        <w:t xml:space="preserve">“Your data stays in your environment. You own it, you can export it anytime, and we don’t train models on it — ever.”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Why:  </w:t>
      </w:r>
      <w:r>
        <w:t xml:space="preserve">This is the reassurance a technical buyer evaluating IP risk needs to see. It has become the expected statement for any product that touches sensitive customer data.</w:t>
      </w:r>
    </w:p>
    <w:p>
      <w:pPr>
        <w:spacing w:after="80" w:before="220"/>
      </w:pPr>
      <w:r>
        <w:rPr>
          <w:b/>
          <w:bCs/>
          <w:color w:val="0F766E"/>
          <w:sz w:val="24"/>
          <w:szCs w:val="24"/>
        </w:rPr>
        <w:t xml:space="preserve">7.  </w:t>
      </w:r>
      <w:r>
        <w:rPr>
          <w:b/>
          <w:bCs/>
          <w:color w:val="0A0E1A"/>
          <w:sz w:val="24"/>
          <w:szCs w:val="24"/>
        </w:rPr>
        <w:t xml:space="preserve">“Agent memory across the lifecycle” card — keep, and elevate it</w:t>
      </w:r>
    </w:p>
    <w:p>
      <w:pPr>
        <w:spacing w:after="70"/>
        <w:ind w:left="360"/>
      </w:pPr>
      <w:r>
        <w:rPr>
          <w:b/>
          <w:bCs/>
          <w:color w:val="0F766E"/>
        </w:rPr>
        <w:t xml:space="preserve">Keep verbatim:  </w:t>
      </w:r>
      <w:r>
        <w:t xml:space="preserve">“agents learn your program, not just your prompt” — this is the best sentence on the site.</w:t>
      </w:r>
    </w:p>
    <w:p>
      <w:pPr>
        <w:spacing w:after="70"/>
        <w:ind w:left="360"/>
      </w:pPr>
      <w:r>
        <w:rPr>
          <w:b/>
          <w:bCs/>
          <w:color w:val="0F766E"/>
        </w:rPr>
        <w:t xml:space="preserve">Add as the header:  </w:t>
      </w:r>
      <w:r>
        <w:t xml:space="preserve">“Institutional memory for silicon.”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Why:  </w:t>
      </w:r>
      <w:r>
        <w:t xml:space="preserve">This is our one sticky, memorable line. It signals a real differentiator and is true, while revealing nothing about how it works. Lean into it.</w:t>
      </w:r>
    </w:p>
    <w:p>
      <w:pPr>
        <w:spacing w:after="80" w:before="220"/>
      </w:pPr>
      <w:r>
        <w:rPr>
          <w:b/>
          <w:bCs/>
          <w:color w:val="0F766E"/>
          <w:sz w:val="24"/>
          <w:szCs w:val="24"/>
        </w:rPr>
        <w:t xml:space="preserve">8.  </w:t>
      </w:r>
      <w:r>
        <w:rPr>
          <w:b/>
          <w:bCs/>
          <w:color w:val="0A0E1A"/>
          <w:sz w:val="24"/>
          <w:szCs w:val="24"/>
        </w:rPr>
        <w:t xml:space="preserve">“Generic LLMs cannot replicate domain depth” — rewrite the framing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Current:  </w:t>
      </w:r>
      <w:r>
        <w:t xml:space="preserve">“Generic LLMs cannot replicate domain depth, lifecycle memory, and EDA-native integrations at tapeout scale.”</w:t>
      </w:r>
    </w:p>
    <w:p>
      <w:pPr>
        <w:spacing w:after="70"/>
        <w:ind w:left="360"/>
      </w:pPr>
      <w:r>
        <w:rPr>
          <w:b/>
          <w:bCs/>
          <w:color w:val="0F766E"/>
        </w:rPr>
        <w:t xml:space="preserve">Change to:  </w:t>
      </w:r>
      <w:r>
        <w:t xml:space="preserve">“Purpose-built for silicon teams — not a general-purpose tool adapted after the fact.”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Why:  </w:t>
      </w:r>
      <w:r>
        <w:t xml:space="preserve">Framing the competitor as “generic LLMs” signals to a sophisticated reader that we don’t know our real competitive set. Stay vague about how we differ, but stop naming ChatGPT as the rival.</w:t>
      </w:r>
    </w:p>
    <w:p>
      <w:pPr>
        <w:spacing w:after="80" w:before="220"/>
      </w:pPr>
      <w:r>
        <w:rPr>
          <w:b/>
          <w:bCs/>
          <w:color w:val="0F766E"/>
          <w:sz w:val="24"/>
          <w:szCs w:val="24"/>
        </w:rPr>
        <w:t xml:space="preserve">9.  </w:t>
      </w:r>
      <w:r>
        <w:rPr>
          <w:b/>
          <w:bCs/>
          <w:color w:val="0A0E1A"/>
          <w:sz w:val="24"/>
          <w:szCs w:val="24"/>
        </w:rPr>
        <w:t xml:space="preserve">Use Cases by Role — trim two personas; keep the rest as cover</w:t>
      </w:r>
    </w:p>
    <w:p>
      <w:pPr>
        <w:spacing w:after="70"/>
        <w:ind w:left="360"/>
      </w:pPr>
      <w:r>
        <w:rPr>
          <w:b/>
          <w:bCs/>
          <w:color w:val="B8860B"/>
        </w:rPr>
        <w:t xml:space="preserve">Remove:  </w:t>
      </w:r>
      <w:r>
        <w:t xml:space="preserve">the “Executives” persona block (portfolio dashboards / ROI dashboards / compliance trails) — it reads as a CFO pitch and signals selling to non-buyers.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Soften:  </w:t>
      </w:r>
      <w:r>
        <w:t xml:space="preserve">Yield Engineers and Test Engineers may stay for breadth, but generalize their bullets to lifecycle-continuity language. Remove falsifiable specifics like “detect spatial defect excursions across lots and reticles.”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Why:  </w:t>
      </w:r>
      <w:r>
        <w:t xml:space="preserve">The exec persona weakens us with investors; the yield/test personas are fine as cover but must not make checkable capability promises.</w:t>
      </w:r>
    </w:p>
    <w:p>
      <w:pPr>
        <w:spacing w:after="80" w:before="220"/>
      </w:pPr>
      <w:r>
        <w:rPr>
          <w:b/>
          <w:bCs/>
          <w:color w:val="0F766E"/>
          <w:sz w:val="24"/>
          <w:szCs w:val="24"/>
        </w:rPr>
        <w:t xml:space="preserve">10.  </w:t>
      </w:r>
      <w:r>
        <w:rPr>
          <w:b/>
          <w:bCs/>
          <w:color w:val="0A0E1A"/>
          <w:sz w:val="24"/>
          <w:szCs w:val="24"/>
        </w:rPr>
        <w:t xml:space="preserve">“Early Access” CTA — rename and make it a real offer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Current:  </w:t>
      </w:r>
      <w:r>
        <w:t xml:space="preserve">“Request Early Access” / “Join leading fabless and IDM programs deploying…”</w:t>
      </w:r>
    </w:p>
    <w:p>
      <w:pPr>
        <w:spacing w:after="70"/>
        <w:ind w:left="360"/>
      </w:pPr>
      <w:r>
        <w:rPr>
          <w:b/>
          <w:bCs/>
          <w:color w:val="0F766E"/>
        </w:rPr>
        <w:t xml:space="preserve">Change to:  </w:t>
      </w:r>
      <w:r>
        <w:t xml:space="preserve">“Request a Briefing,” framed as a selective design-partner engagement (“we work with a small number of programs each cycle”). Avoid “deploying at leading programs,” which implies live customers.</w:t>
      </w:r>
    </w:p>
    <w:p>
      <w:pPr>
        <w:spacing w:after="70"/>
        <w:ind w:left="360"/>
      </w:pPr>
      <w:r>
        <w:rPr>
          <w:b/>
          <w:bCs/>
          <w:color w:val="475569"/>
        </w:rPr>
        <w:t xml:space="preserve">Why:  </w:t>
      </w:r>
      <w:r>
        <w:t xml:space="preserve">“Deploying” implies existing deployments — another claim that may not hold up. “Request a Briefing” reads as serious B2B and makes no claim we can’t back.</w:t>
      </w:r>
    </w:p>
    <w:p>
      <w:pPr>
        <w:pStyle w:val="Heading1"/>
      </w:pPr>
      <w:r>
        <w:t xml:space="preserve">What to KEEP (do not over-correct)</w:t>
      </w:r>
    </w:p>
    <w:p>
      <w:pPr>
        <w:spacing w:after="140"/>
      </w:pPr>
      <w:r>
        <w:t xml:space="preserve">These elements are intentional. Please leave them in place: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All nine lifecycle modules, including Yield Learning and Wafer Map Defect Analyzer</w:t>
      </w:r>
      <w:r>
        <w:t xml:space="preserve"> — kept as breadth. Only remove the falsifiable specifics inside them (precise percentages, the “Lot # / etch chamber” detail). The breadth is deliberate.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four-layer architecture section</w:t>
      </w:r>
      <w:r>
        <w:t xml:space="preserve"> — generic enough to reveal nothing, and signals competence.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lifecycle framing in the nav and headers</w:t>
      </w:r>
      <w:r>
        <w:t xml:space="preserve"> (Design / Verification / Bring-Up / Yield / Test / Support).</w:t>
      </w:r>
    </w:p>
    <w:p>
      <w:pPr>
        <w:spacing w:after="140"/>
      </w:pPr>
      <w:r>
        <w:rPr>
          <w:b/>
          <w:bCs/>
          <w:color w:val="B8860B"/>
        </w:rPr>
        <w:t xml:space="preserve">Do NOT add: </w:t>
      </w:r>
      <w:r>
        <w:t xml:space="preserve">a numbered “five co-workers” product list, a “services-led / labor-not-tools” model, per-program pricing, an “EDA-as-validator” architecture diagram, or any infrastructure/partner detail. Those belong in the investor materials, not on the public page.</w:t>
      </w:r>
    </w:p>
    <w:p>
      <w:pPr>
        <w:pStyle w:val="Heading1"/>
      </w:pPr>
      <w:r>
        <w:t xml:space="preserve">One-line summary</w:t>
      </w:r>
    </w:p>
    <w:p>
      <w:pPr>
        <w:pBdr>
          <w:left w:val="single" w:color="0F766E" w:sz="18" w:space="10"/>
        </w:pBdr>
        <w:shd w:fill="F2F6F5" w:val="clear"/>
        <w:spacing w:after="60" w:before="60"/>
      </w:pPr>
      <w:r>
        <w:rPr>
          <w:color w:val="0A0E1A"/>
          <w:sz w:val="22"/>
          <w:szCs w:val="22"/>
        </w:rPr>
        <w:t xml:space="preserve">Remove the four falsifiable claims (the ROI percentages, the “trained on anonymized datasets” line, the specific yield-lot dashboard detail, and the “deploying at leading programs” implication). Add an explicit “you own your data / we don’t train on it” statement. Lead with “Institutional memory for silicon.” Otherwise keep the broad lifecycle breadth intact.</w:t>
      </w:r>
    </w:p>
    <w:p>
      <w:pPr>
        <w:pBdr>
          <w:top w:val="single" w:color="D8DEE9" w:sz="4" w:space="6"/>
        </w:pBdr>
        <w:spacing w:before="200"/>
      </w:pPr>
      <w:r>
        <w:rPr>
          <w:color w:val="475569"/>
          <w:sz w:val="18"/>
          <w:szCs w:val="18"/>
        </w:rPr>
        <w:t xml:space="preserve">A fully rebuilt reference page (chipgpt_site.html) is provided alongside this brief. The designer can mirror its hero copy, dashboard content, data-ownership line, and “institutional memory” framing directly, or apply the edits above to the current harness.</w:t>
      </w:r>
    </w:p>
    <w:sectPr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8DEE9" w:sz="4" w:space="6"/>
      </w:pBdr>
      <w:spacing w:after="160" w:before="320"/>
      <w:outlineLvl w:val="0"/>
    </w:pPr>
    <w:rPr>
      <w:rFonts w:ascii="Georgia" w:cs="Georgia" w:eastAsia="Georgia" w:hAnsi="Georgia"/>
      <w:b/>
      <w:bCs/>
      <w:color w:val="0A0E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2026-05-24T22:07:29.005Z</dcterms:created>
  <dcterms:modified xsi:type="dcterms:W3CDTF">2026-05-24T22:07:29.006Z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