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8"/>
      </w:tblGrid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 xml:space="preserve">Least Important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i/>
                <w:i/>
                <w:sz w:val="32"/>
                <w:szCs w:val="32"/>
              </w:rPr>
            </w:pPr>
            <w:r>
              <w:rPr>
                <w:rFonts w:ascii="Garamond" w:hAnsi="Garamond"/>
                <w:i/>
                <w:sz w:val="32"/>
                <w:szCs w:val="32"/>
              </w:rPr>
              <w:t>Place 4 cards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 xml:space="preserve">Less Important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bCs/>
                <w:iCs/>
                <w:sz w:val="32"/>
                <w:szCs w:val="32"/>
              </w:rPr>
            </w:pPr>
            <w:r>
              <w:rPr>
                <w:rFonts w:ascii="Garamond" w:hAnsi="Garamond"/>
                <w:i/>
                <w:sz w:val="32"/>
                <w:szCs w:val="32"/>
              </w:rPr>
              <w:t>Place 6 cards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 xml:space="preserve">Neutral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i/>
                <w:i/>
                <w:sz w:val="32"/>
                <w:szCs w:val="32"/>
              </w:rPr>
            </w:pPr>
            <w:r>
              <w:rPr>
                <w:rFonts w:ascii="Garamond" w:hAnsi="Garamond"/>
                <w:i/>
                <w:sz w:val="32"/>
                <w:szCs w:val="32"/>
              </w:rPr>
              <w:t>Place 10 cards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 xml:space="preserve">More Important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i/>
                <w:i/>
                <w:sz w:val="32"/>
                <w:szCs w:val="32"/>
              </w:rPr>
            </w:pPr>
            <w:r>
              <w:rPr>
                <w:rFonts w:ascii="Garamond" w:hAnsi="Garamond"/>
                <w:i/>
                <w:sz w:val="32"/>
                <w:szCs w:val="32"/>
              </w:rPr>
              <w:t>Place 6 cards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 xml:space="preserve">Most Important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i/>
                <w:i/>
                <w:sz w:val="32"/>
                <w:szCs w:val="32"/>
              </w:rPr>
            </w:pPr>
            <w:r>
              <w:rPr>
                <w:rFonts w:ascii="Garamond" w:hAnsi="Garamond"/>
                <w:i/>
                <w:sz w:val="32"/>
                <w:szCs w:val="32"/>
              </w:rPr>
              <w:t>Place 4 cards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Broad Interests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Challenge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Creating Balance in One’s Life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Curiosity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Courage, Risk Taking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Enjoyment of the Activity Itself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Creativity, Pioneering (originality, imaginativeness)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Fame, Success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Efficient Work Habits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Faith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Hard Work and Commitment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Honesty and Integrity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Independence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Openness (being receptive to new ideas or multiple perspectives)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Personal Growth and Learning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Power, Influence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Professional Accomplishment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Professional Conduct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Quality (excellent, thorough, accurate, or careful work)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Recognition from One’s Field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Rewarding and Supportive Relationships (with family, friends, colleagues)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Searching for Knowledge, Uncovering What is True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Self-Examination, Self-Criticism, Self-Understanding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Social Concerns (pursuing the common good, avoiding harm, caring about future generations)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Solitude, Contemplation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Spirituality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Teaching, Mentoring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Understanding, Helping, or Serving Others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Vision (anticipating future directions, seeing the big picture)</w:t>
            </w:r>
          </w:p>
        </w:tc>
      </w:tr>
      <w:tr>
        <w:trPr>
          <w:trHeight w:val="2880" w:hRule="atLeast"/>
        </w:trPr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Wealth, Material Well-Being</w:t>
            </w:r>
          </w:p>
        </w:tc>
        <w:tc>
          <w:tcPr>
            <w:tcW w:w="47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b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Instructions</w:t>
      </w:r>
    </w:p>
    <w:p>
      <w:pPr>
        <w:pStyle w:val="Normal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With a set of thirty Good Work Toolkit Value Sort Cards:</w:t>
        <w:br/>
        <w:t xml:space="preserve">1. Think of an activity or profession that is important to you, something that you consider your “work. 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Sort the cards in terms of relative importance to you while involved in this work.</w:t>
      </w:r>
    </w:p>
    <w:p>
      <w:pPr>
        <w:pStyle w:val="Normal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2. Sort the cards in terms of relative importance to you as a person, not necessarily in relation to your work.</w:t>
      </w:r>
    </w:p>
    <w:p>
      <w:pPr>
        <w:pStyle w:val="Normal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 Sort the cards in terms of how important you perceive to be to a peer or colleague; to what extent do the values guide them?</w:t>
      </w:r>
    </w:p>
    <w:p>
      <w:pPr>
        <w:pStyle w:val="Normal"/>
        <w:spacing w:before="0" w:after="200"/>
        <w:rPr>
          <w:rFonts w:ascii="Garamond" w:hAnsi="Garamond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Garamond" w:hAnsi="Garamond"/>
      </w:rPr>
    </w:pPr>
    <w:r>
      <w:rPr>
        <w:rFonts w:ascii="Garamond" w:hAnsi="Garamond"/>
      </w:rPr>
      <w:t>The Good Project – Value Sort Printable Cards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e6a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6a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6a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6ab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05b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5</Pages>
  <Words>239</Words>
  <Characters>1424</Characters>
  <CharactersWithSpaces>1624</CharactersWithSpaces>
  <Paragraphs>45</Paragraphs>
  <Company>HGSE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2020-01-24T16:12:00Z</dcterms:created>
  <dc:creator>Windows User</dc:creator>
  <dc:description/>
  <dc:language>en-CA</dc:language>
  <cp:lastModifiedBy>McHugh, Kirsten</cp:lastModifiedBy>
  <dcterms:modified xsi:type="dcterms:W3CDTF">2020-01-24T16:24:00Z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HGSE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