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166978DD" w:rsidR="00543EE7" w:rsidRDefault="00322194" w:rsidP="00543EE7">
      <w:r w:rsidRPr="00322194">
        <w:t xml:space="preserve">Of these options, Platform as a Service (PaaS) emerges as the central focus for DDD. PaaS provides a framework that enables users to conceptualize, implement, and oversee applications, therefore removing the complexities involved with developing and maintaining the underlying infrastructure. The framework has an innate capability to effectively handle a wide range of complex components, including networking, storage, servers, virtualization,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Pr="00322194">
        <w:t xml:space="preserve"> components, </w:t>
      </w:r>
      <w:r w:rsidRPr="00322194">
        <w:lastRenderedPageBreak/>
        <w:t xml:space="preserve">enhancing the effectiveness of cloud-based solutions and strengthening the relationship between DDD and </w:t>
      </w:r>
      <w:r w:rsidR="004365B0">
        <w:t>cloud</w:t>
      </w:r>
      <w:r w:rsidRPr="00322194">
        <w:t xml:space="preserve"> paradigms.</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12A01FB9" w14:textId="0988278E" w:rsidR="00771A6E" w:rsidRDefault="00771A6E" w:rsidP="00771A6E">
      <w:r w:rsidRPr="00252343">
        <w:t>Descri</w:t>
      </w:r>
      <w:r>
        <w:t>btion of</w:t>
      </w:r>
      <w:r w:rsidRPr="00252343">
        <w:t xml:space="preserve"> .NET and Azure, specifying why they were chosen for this study.</w:t>
      </w:r>
    </w:p>
    <w:p w14:paraId="4762392B" w14:textId="2A35C7F8" w:rsidR="00E616DC" w:rsidRDefault="00E616DC" w:rsidP="00771A6E">
      <w:r w:rsidRPr="00E616DC">
        <w:t>This research has chosen the .NET and Azure as the core technologies in order to conduct a thorough analysis of the application of DDD within a particular technical environment.</w:t>
      </w:r>
    </w:p>
    <w:p w14:paraId="6C45505B" w14:textId="3A28960A" w:rsidR="00346AB7" w:rsidRDefault="00346AB7" w:rsidP="00771A6E"/>
    <w:p w14:paraId="4210D586" w14:textId="216BF4B3" w:rsidR="00346AB7"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C# has emerged as a prominent programming language used by microservices developers on a global scale.</w:t>
      </w:r>
      <w:r w:rsidR="00F141C4" w:rsidRPr="00F141C4">
        <w:t xml:space="preserve"> </w:t>
      </w:r>
      <w:r w:rsidRPr="00346AB7">
        <w:t>This interoperability further enhances the esteemed status of .NET.</w:t>
      </w:r>
    </w:p>
    <w:p w14:paraId="6A95D9B0" w14:textId="11CD35D1" w:rsidR="00E6662D" w:rsidRDefault="00E6662D" w:rsidP="00771A6E"/>
    <w:p w14:paraId="08965697" w14:textId="0AFC275E" w:rsidR="00E6662D" w:rsidRDefault="00E6662D" w:rsidP="00771A6E">
      <w:r w:rsidRPr="00E6662D">
        <w:t>All this make it a favorable choice for businesses of diverse scales.</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41A9EEC3" w:rsidR="00771A6E" w:rsidRDefault="00771A6E" w:rsidP="00771A6E">
      <w:r>
        <w:t xml:space="preserve"> Model of BC, UL, CQRS, ES, TDD</w:t>
      </w:r>
    </w:p>
    <w:p w14:paraId="2F39817D" w14:textId="533620C7" w:rsidR="00173FF1" w:rsidRPr="00771A6E" w:rsidRDefault="00173FF1" w:rsidP="00771A6E">
      <w:r>
        <w:rPr>
          <w:noProof/>
        </w:rPr>
        <w:lastRenderedPageBreak/>
        <w:drawing>
          <wp:inline distT="0" distB="0" distL="0" distR="0" wp14:anchorId="27D1E7E5" wp14:editId="19662C1C">
            <wp:extent cx="2373398" cy="306383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2564" cy="3075666"/>
                    </a:xfrm>
                    <a:prstGeom prst="rect">
                      <a:avLst/>
                    </a:prstGeom>
                    <a:noFill/>
                    <a:ln>
                      <a:noFill/>
                    </a:ln>
                  </pic:spPr>
                </pic:pic>
              </a:graphicData>
            </a:graphic>
          </wp:inline>
        </w:drawing>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23540022" w14:textId="4ECF1E0A" w:rsidR="00825B77" w:rsidRPr="00825B77" w:rsidRDefault="00825B77" w:rsidP="00825B77">
      <w:r>
        <w:t>text</w:t>
      </w:r>
    </w:p>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lastRenderedPageBreak/>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7011"/>
    <w:rsid w:val="00086132"/>
    <w:rsid w:val="000F47B8"/>
    <w:rsid w:val="00173FF1"/>
    <w:rsid w:val="001F0F94"/>
    <w:rsid w:val="001F1AD5"/>
    <w:rsid w:val="002166DA"/>
    <w:rsid w:val="002429FC"/>
    <w:rsid w:val="00252343"/>
    <w:rsid w:val="00260D62"/>
    <w:rsid w:val="002C456C"/>
    <w:rsid w:val="00303996"/>
    <w:rsid w:val="00322194"/>
    <w:rsid w:val="00341C85"/>
    <w:rsid w:val="00346AB7"/>
    <w:rsid w:val="0039266D"/>
    <w:rsid w:val="00393360"/>
    <w:rsid w:val="003947A4"/>
    <w:rsid w:val="004365B0"/>
    <w:rsid w:val="0047390E"/>
    <w:rsid w:val="004B7E41"/>
    <w:rsid w:val="00543EE7"/>
    <w:rsid w:val="0055112D"/>
    <w:rsid w:val="00582417"/>
    <w:rsid w:val="005C3423"/>
    <w:rsid w:val="00607A4B"/>
    <w:rsid w:val="00734E60"/>
    <w:rsid w:val="00742B5A"/>
    <w:rsid w:val="00771A6E"/>
    <w:rsid w:val="00777939"/>
    <w:rsid w:val="007966FA"/>
    <w:rsid w:val="007B0495"/>
    <w:rsid w:val="007D5641"/>
    <w:rsid w:val="007D7FC4"/>
    <w:rsid w:val="00825B77"/>
    <w:rsid w:val="00854550"/>
    <w:rsid w:val="00861603"/>
    <w:rsid w:val="0088606B"/>
    <w:rsid w:val="00891C10"/>
    <w:rsid w:val="008A74E5"/>
    <w:rsid w:val="008C2348"/>
    <w:rsid w:val="008E652B"/>
    <w:rsid w:val="009164B0"/>
    <w:rsid w:val="009164ED"/>
    <w:rsid w:val="009322EE"/>
    <w:rsid w:val="00980F2D"/>
    <w:rsid w:val="00986760"/>
    <w:rsid w:val="00987EA8"/>
    <w:rsid w:val="009A24AD"/>
    <w:rsid w:val="009D715A"/>
    <w:rsid w:val="00B67674"/>
    <w:rsid w:val="00BB01D8"/>
    <w:rsid w:val="00C5666A"/>
    <w:rsid w:val="00C6318C"/>
    <w:rsid w:val="00CA1F37"/>
    <w:rsid w:val="00D736DB"/>
    <w:rsid w:val="00D85524"/>
    <w:rsid w:val="00E064F3"/>
    <w:rsid w:val="00E137FF"/>
    <w:rsid w:val="00E208B6"/>
    <w:rsid w:val="00E50703"/>
    <w:rsid w:val="00E616DC"/>
    <w:rsid w:val="00E6662D"/>
    <w:rsid w:val="00ED4C0F"/>
    <w:rsid w:val="00F141C4"/>
    <w:rsid w:val="00F234BE"/>
    <w:rsid w:val="00F5675C"/>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63</cp:revision>
  <dcterms:created xsi:type="dcterms:W3CDTF">2023-10-16T12:02:00Z</dcterms:created>
  <dcterms:modified xsi:type="dcterms:W3CDTF">2023-10-18T06:56:00Z</dcterms:modified>
</cp:coreProperties>
</file>