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 xml:space="preserve">This interoperability further enhances the </w:t>
      </w:r>
      <w:r w:rsidRPr="00346AB7">
        <w:lastRenderedPageBreak/>
        <w:t>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lastRenderedPageBreak/>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w:t>
      </w:r>
      <w:r w:rsidRPr="006A2BE8">
        <w:lastRenderedPageBreak/>
        <w:t xml:space="preserve">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lastRenderedPageBreak/>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259AA0EE" w14:textId="126DE69A" w:rsidR="007707EC" w:rsidRDefault="008C226C" w:rsidP="00825B77">
      <w:r w:rsidRPr="008C226C">
        <w:t>The architectural pattern known as Command and Query Responsibility Segregation (CQRS) addresses the separation of command operations, which involve writing data, from query operations, which involve reading data. This pattern is designed to enhance the performance and efficiency of distributed data architectures in systems that are built on microservices.</w:t>
      </w:r>
    </w:p>
    <w:p w14:paraId="1D346323" w14:textId="051E99D0" w:rsidR="008C226C" w:rsidRDefault="008C226C" w:rsidP="00825B77">
      <w:r w:rsidRPr="008C226C">
        <w:t xml:space="preserve">As seen in </w:t>
      </w:r>
      <w:r w:rsidRPr="008C226C">
        <w:rPr>
          <w:highlight w:val="yellow"/>
        </w:rPr>
        <w:t>Figure</w:t>
      </w:r>
      <w:r w:rsidRPr="008C226C">
        <w:t xml:space="preserve"> 1, the implementation </w:t>
      </w:r>
      <w:r>
        <w:t xml:space="preserve">of </w:t>
      </w:r>
      <w:r w:rsidRPr="008C226C">
        <w:t>CQRS involves the division of a conceptual microservice into two distinct physical microservices, with one dedicated to write operations and the other focused on read operations.</w:t>
      </w:r>
      <w:r w:rsidR="001F7104">
        <w:t xml:space="preserve"> It also e</w:t>
      </w:r>
      <w:r w:rsidR="001F7104" w:rsidRPr="001F7104">
        <w:t>nables the use</w:t>
      </w:r>
      <w:r w:rsidR="001F7104">
        <w:t xml:space="preserve"> of</w:t>
      </w:r>
      <w:r w:rsidR="001F7104" w:rsidRPr="001F7104">
        <w:t xml:space="preserve"> different API styles for</w:t>
      </w:r>
      <w:r w:rsidR="001F7104">
        <w:t xml:space="preserve"> the</w:t>
      </w:r>
      <w:r w:rsidR="001F7104" w:rsidRPr="001F7104">
        <w:t xml:space="preserve"> different microservices.</w:t>
      </w:r>
      <w:r w:rsidRPr="008C226C">
        <w:t xml:space="preserve"> This architectural approach enables the achievement of efficient and scalable data reporting on a wide scale, while maintaining optimal performance levels. </w:t>
      </w:r>
      <w:r w:rsidR="001F7104" w:rsidRPr="001F7104">
        <w:t>An essential component of this architecture is the synchronization mechanism, which guarantees the maintenance of data consistency across the two distinct datastores. This process is facilitated by using the advantages of cloud infrastructure.</w:t>
      </w:r>
    </w:p>
    <w:p w14:paraId="68F8349B" w14:textId="592593D5" w:rsidR="00F22305" w:rsidRDefault="00072C18" w:rsidP="00825B77">
      <w:r w:rsidRPr="00072C18">
        <w:t>This differentiation of commands and queries is based on the "separation of concerns" principle. Commands, which modify the data state of an application, are task-based operations such as "register a new order item"</w:t>
      </w:r>
      <w:r>
        <w:t>. These w</w:t>
      </w:r>
      <w:r w:rsidRPr="00072C18">
        <w:t>rite operations preserve ACID transactions and reliable information consistency. In contrast, queries concentrate on intricate join operations and return results without modifying the data state of the application. They retrieve information from highly denormalized materialized views, thereby avoiding expensive repetitive table joins and table locking. Notably, queries always return data in standardized format</w:t>
      </w:r>
      <w:r w:rsidRPr="00072C18">
        <w:t xml:space="preserve"> </w:t>
      </w:r>
      <w:r w:rsidRPr="00072C18">
        <w:t>using Data Transfer Objects (DTO).</w:t>
      </w:r>
    </w:p>
    <w:p w14:paraId="63E629AB" w14:textId="4A9DE808" w:rsidR="00F22305" w:rsidRDefault="00F22305" w:rsidP="00825B77">
      <w:r w:rsidRPr="00F22305">
        <w:t>The Mediator design pattern is used to organize the architecture in accordance with the principles of CQRS</w:t>
      </w:r>
      <w:r>
        <w:t xml:space="preserve">. It </w:t>
      </w:r>
      <w:r w:rsidRPr="00F22305">
        <w:t>functions as the only means via which communication is facilitated between the user interface and the data repository.</w:t>
      </w:r>
      <w:r w:rsidR="00C332FA">
        <w:t xml:space="preserve"> </w:t>
      </w:r>
      <w:r w:rsidR="00C332FA" w:rsidRPr="00C332FA">
        <w:t>The notion entails the use of an intermediary entity, known as the 'mediator', to promote communication across various objects, hence encapsulating their interactions. This specific approach facilitates the reduction of direct interactions between objects, hence supporting the principle</w:t>
      </w:r>
      <w:r w:rsidR="00C332FA">
        <w:t>s</w:t>
      </w:r>
      <w:r w:rsidR="00C332FA" w:rsidRPr="00C332FA">
        <w:t xml:space="preserve"> of "loose coupling" and "Inversion of Control</w:t>
      </w:r>
      <w:r w:rsidR="00C332FA">
        <w:t>“</w:t>
      </w:r>
      <w:r w:rsidR="00C332FA" w:rsidRPr="00C332FA">
        <w:t>.</w:t>
      </w:r>
    </w:p>
    <w:p w14:paraId="141799E6" w14:textId="2ACF2CD8" w:rsidR="003920E1" w:rsidRDefault="00FF3ACD" w:rsidP="00825B77">
      <w:r w:rsidRPr="00FF3ACD">
        <w:t>The use of Mediat</w:t>
      </w:r>
      <w:r>
        <w:t xml:space="preserve">or </w:t>
      </w:r>
      <w:r w:rsidRPr="00FF3ACD">
        <w:t xml:space="preserve">pattern in conjunction with the CQRS is characterized by its simplicity. In the system, a unique </w:t>
      </w:r>
      <w:r>
        <w:t>input</w:t>
      </w:r>
      <w:r w:rsidRPr="00FF3ACD">
        <w:t xml:space="preserve"> class is created for each </w:t>
      </w:r>
      <w:r>
        <w:t>command or query</w:t>
      </w:r>
      <w:r w:rsidRPr="00FF3ACD">
        <w:t>, which is mapped to the corresponding user action</w:t>
      </w:r>
      <w:r>
        <w:t xml:space="preserve"> and allinged with the </w:t>
      </w:r>
      <w:r w:rsidRPr="00FF3ACD">
        <w:t xml:space="preserve">ubiquitous language. </w:t>
      </w:r>
      <w:r w:rsidR="0067724A" w:rsidRPr="0067724A">
        <w:t>In addition, an individual message handler is created for each, shown in the following diagram.</w:t>
      </w:r>
    </w:p>
    <w:p w14:paraId="4BE15A63" w14:textId="757F6DE3" w:rsidR="0067724A" w:rsidRDefault="0067724A" w:rsidP="00825B77">
      <w:r>
        <w:rPr>
          <w:noProof/>
        </w:rPr>
        <w:lastRenderedPageBreak/>
        <w:drawing>
          <wp:inline distT="0" distB="0" distL="0" distR="0" wp14:anchorId="7AA67F4D" wp14:editId="2346CE43">
            <wp:extent cx="5725160" cy="85280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852805"/>
                    </a:xfrm>
                    <a:prstGeom prst="rect">
                      <a:avLst/>
                    </a:prstGeom>
                    <a:noFill/>
                    <a:ln>
                      <a:noFill/>
                    </a:ln>
                  </pic:spPr>
                </pic:pic>
              </a:graphicData>
            </a:graphic>
          </wp:inline>
        </w:drawing>
      </w:r>
    </w:p>
    <w:p w14:paraId="7E514F91" w14:textId="77777777" w:rsidR="00DF0239" w:rsidRDefault="00DF0239" w:rsidP="00825B77">
      <w:r w:rsidRPr="00DF0239">
        <w:t xml:space="preserve">The mediator message handlers demonstrate a diverse range of operating capabilities inside a single application. </w:t>
      </w:r>
    </w:p>
    <w:p w14:paraId="33FE9D7E" w14:textId="77777777" w:rsidR="006B3B76" w:rsidRDefault="00DF0239" w:rsidP="00825B77">
      <w:r w:rsidRPr="00DF0239">
        <w:t>The handlers demonstrate proficient management of validation</w:t>
      </w:r>
      <w:r>
        <w:t>,</w:t>
      </w:r>
      <w:r w:rsidRPr="00DF0239">
        <w:t xml:space="preserve"> </w:t>
      </w:r>
      <w:r>
        <w:t>u</w:t>
      </w:r>
      <w:r w:rsidRPr="00DF0239">
        <w:t xml:space="preserve">tilizing tools like Fluent Validation </w:t>
      </w:r>
      <w:r>
        <w:t xml:space="preserve">which </w:t>
      </w:r>
      <w:r w:rsidRPr="00DF0239">
        <w:t xml:space="preserve">allows the creation of validator handlers specific to message types, as exemplified by the IMessageValidator&lt;T&gt; interface. An intriguing aspect of this interface is its contravariant nature, enabling the </w:t>
      </w:r>
      <w:r w:rsidR="006B3B76">
        <w:t>adoption</w:t>
      </w:r>
      <w:r w:rsidRPr="00DF0239">
        <w:t xml:space="preserve"> of a base type validator</w:t>
      </w:r>
      <w:r>
        <w:t>.</w:t>
      </w:r>
      <w:r w:rsidRPr="00DF0239">
        <w:t xml:space="preserve"> In addition, they effectively mitigate risks pertaining to data redundancy via efficient </w:t>
      </w:r>
      <w:r w:rsidRPr="00A61BAD">
        <w:rPr>
          <w:highlight w:val="yellow"/>
        </w:rPr>
        <w:t>duplicate management</w:t>
      </w:r>
      <w:r w:rsidRPr="00DF0239">
        <w:t xml:space="preserve">. </w:t>
      </w:r>
    </w:p>
    <w:p w14:paraId="15F13E66" w14:textId="1B2A18C1" w:rsidR="00FF3ACD" w:rsidRDefault="00DF0239" w:rsidP="00825B77">
      <w:r w:rsidRPr="00DF0239">
        <w:t xml:space="preserve">The primary objective of these </w:t>
      </w:r>
      <w:r w:rsidR="005276B1" w:rsidRPr="005276B1">
        <w:t>algorithms</w:t>
      </w:r>
      <w:r w:rsidR="005276B1" w:rsidRPr="005276B1">
        <w:t xml:space="preserve"> </w:t>
      </w:r>
      <w:r w:rsidRPr="00DF0239">
        <w:t xml:space="preserve">is to effectively </w:t>
      </w:r>
      <w:r>
        <w:t>t</w:t>
      </w:r>
      <w:r w:rsidRPr="00DF0239">
        <w:t>ackling</w:t>
      </w:r>
      <w:r>
        <w:t xml:space="preserve"> the</w:t>
      </w:r>
      <w:r w:rsidRPr="00DF0239">
        <w:t xml:space="preserve"> </w:t>
      </w:r>
      <w:r>
        <w:t>b</w:t>
      </w:r>
      <w:r w:rsidRPr="00DF0239">
        <w:t xml:space="preserve">usiness </w:t>
      </w:r>
      <w:r>
        <w:t>c</w:t>
      </w:r>
      <w:r w:rsidRPr="00DF0239">
        <w:t>omplexity</w:t>
      </w:r>
      <w:r w:rsidR="00D869C0">
        <w:t>, by</w:t>
      </w:r>
      <w:r w:rsidRPr="00DF0239">
        <w:t xml:space="preserve"> </w:t>
      </w:r>
      <w:r w:rsidR="00AF0137" w:rsidRPr="00DF0239">
        <w:t>provid</w:t>
      </w:r>
      <w:r w:rsidR="00D869C0">
        <w:t>ing</w:t>
      </w:r>
      <w:r w:rsidR="00AF0137" w:rsidRPr="00DF0239">
        <w:t xml:space="preserve"> expertise in managing </w:t>
      </w:r>
      <w:r w:rsidRPr="00DF0239">
        <w:t>domain models</w:t>
      </w:r>
      <w:r w:rsidR="00D869C0">
        <w:t xml:space="preserve"> like value objects, entities and </w:t>
      </w:r>
      <w:r w:rsidRPr="00DF0239">
        <w:t>event-sourced aggregates</w:t>
      </w:r>
      <w:r w:rsidR="00A61BAD">
        <w:t xml:space="preserve">, which is </w:t>
      </w:r>
      <w:r w:rsidR="009F06BC" w:rsidRPr="009F06BC">
        <w:t>will be examined in the subsequent section.</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E6079DF" w14:textId="65AF4B76" w:rsidR="00FF70D9" w:rsidRDefault="00A516F9" w:rsidP="00825B77">
      <w:r w:rsidRPr="00A516F9">
        <w:t>The functional approach, characterized by the Map function, offers a streamlined method of chaining operations, making the code more readable and maintainable.</w:t>
      </w:r>
      <w:r w:rsidR="00FF70D9">
        <w:t xml:space="preserve"> </w:t>
      </w:r>
      <w:r w:rsidR="00FF70D9" w:rsidRPr="00FF70D9">
        <w:t xml:space="preserve">The article particularly in scenarios involving </w:t>
      </w:r>
      <w:r w:rsidR="00FF70D9">
        <w:t>order</w:t>
      </w:r>
      <w:r w:rsidR="00FF70D9" w:rsidRPr="00FF70D9">
        <w:t xml:space="preserve"> requests</w:t>
      </w:r>
      <w:r w:rsidR="00FF70D9">
        <w:t xml:space="preserve"> and results</w:t>
      </w:r>
      <w:r w:rsidR="00FF70D9" w:rsidRPr="00FF70D9">
        <w:t>.</w:t>
      </w:r>
    </w:p>
    <w:p w14:paraId="4F85C79C" w14:textId="7B7525A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Courier New"/>
          <w:color w:val="000000"/>
          <w:sz w:val="21"/>
          <w:szCs w:val="21"/>
          <w:bdr w:val="none" w:sz="0" w:space="0" w:color="auto" w:frame="1"/>
          <w:lang w:val="en-US"/>
        </w:rPr>
        <w:t>Order</w:t>
      </w:r>
      <w:r w:rsidR="00846E51" w:rsidRPr="00846E51">
        <w:rPr>
          <w:rFonts w:ascii="Consolas" w:eastAsia="Times New Roman" w:hAnsi="Consolas" w:cs="Courier New"/>
          <w:color w:val="000000"/>
          <w:sz w:val="21"/>
          <w:szCs w:val="21"/>
          <w:bdr w:val="none" w:sz="0" w:space="0" w:color="auto" w:frame="1"/>
          <w:lang w:val="en-US"/>
        </w:rPr>
        <w:t>Request(...).Map(response =&gt;</w:t>
      </w:r>
    </w:p>
    <w:p w14:paraId="5A478B81" w14:textId="265ACEE1"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PublishEvent</w:t>
      </w:r>
      <w:r w:rsidR="00846E51" w:rsidRPr="00846E51">
        <w:rPr>
          <w:rFonts w:ascii="Consolas" w:eastAsia="Times New Roman" w:hAnsi="Consolas" w:cs="Courier New"/>
          <w:color w:val="000000"/>
          <w:sz w:val="21"/>
          <w:szCs w:val="21"/>
          <w:bdr w:val="none" w:sz="0" w:space="0" w:color="auto" w:frame="1"/>
          <w:lang w:val="en-US"/>
        </w:rPr>
        <w:t>(... response.Data).Map(anotherResponse =&gt;</w:t>
      </w:r>
    </w:p>
    <w:p w14:paraId="05BFB9EB" w14:textId="1874EFD2"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 xml:space="preserve">IntoTheCloud </w:t>
      </w:r>
      <w:r w:rsidR="00846E51" w:rsidRPr="00846E51">
        <w:rPr>
          <w:rFonts w:ascii="Consolas" w:eastAsia="Times New Roman" w:hAnsi="Consolas" w:cs="Courier New"/>
          <w:color w:val="000000"/>
          <w:sz w:val="21"/>
          <w:szCs w:val="21"/>
          <w:bdr w:val="none" w:sz="0" w:space="0" w:color="auto" w:frame="1"/>
          <w:lang w:val="en-US"/>
        </w:rPr>
        <w:t>(... anotherResponse.Data).Map(thirdResponse =&gt;</w:t>
      </w:r>
    </w:p>
    <w:p w14:paraId="274C2EFC" w14:textId="7FBE4DD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 xml:space="preserve">SendToExternalService </w:t>
      </w:r>
      <w:r w:rsidR="00846E51" w:rsidRPr="00846E51">
        <w:rPr>
          <w:rFonts w:ascii="Consolas" w:eastAsia="Times New Roman" w:hAnsi="Consolas" w:cs="Courier New"/>
          <w:color w:val="000000"/>
          <w:sz w:val="21"/>
          <w:szCs w:val="21"/>
          <w:bdr w:val="none" w:sz="0" w:space="0" w:color="auto" w:frame="1"/>
          <w:lang w:val="en-US"/>
        </w:rPr>
        <w:t>(... thirdResponse.Data))));</w:t>
      </w: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291141A3" w:rsidR="00C5666A" w:rsidRDefault="00B345F2" w:rsidP="00C5666A">
      <w:r>
        <w:t>After the presentation of the findings from the case study, the following chapter will consolidate the observations to draw a complete picture of the implementaion of DDD.</w:t>
      </w:r>
    </w:p>
    <w:p w14:paraId="70EBD392" w14:textId="668708A0" w:rsidR="00C5666A" w:rsidRDefault="00C5666A" w:rsidP="00C5666A">
      <w:pPr>
        <w:pStyle w:val="Heading3"/>
      </w:pPr>
      <w:r>
        <w:t xml:space="preserve">6.1. </w:t>
      </w:r>
      <w:r w:rsidRPr="00C5666A">
        <w:t>Interpretation of Results</w:t>
      </w:r>
    </w:p>
    <w:p w14:paraId="6562E134" w14:textId="167D1FC8" w:rsidR="00C5666A" w:rsidRDefault="00C5666A" w:rsidP="00C5666A">
      <w:r w:rsidRPr="00C5666A">
        <w:t>Analyz</w:t>
      </w:r>
      <w:r>
        <w:t>ing</w:t>
      </w:r>
      <w:r w:rsidRPr="00C5666A">
        <w:t xml:space="preserve"> the results.</w:t>
      </w:r>
    </w:p>
    <w:p w14:paraId="4BCB2644" w14:textId="54E7E06B" w:rsidR="000F47B8" w:rsidRDefault="000F47B8" w:rsidP="000F47B8">
      <w:pPr>
        <w:pStyle w:val="Heading3"/>
      </w:pPr>
      <w:r>
        <w:lastRenderedPageBreak/>
        <w:t>6.</w:t>
      </w:r>
      <w:r w:rsidR="00B345F2">
        <w:t>2.</w:t>
      </w:r>
      <w:r>
        <w:t xml:space="preserve"> Implications and Recommendations</w:t>
      </w:r>
    </w:p>
    <w:p w14:paraId="24897811" w14:textId="611CB4C5" w:rsidR="000F47B8" w:rsidRPr="001911C0" w:rsidRDefault="001911C0" w:rsidP="000F47B8">
      <w:pPr>
        <w:rPr>
          <w:lang w:val="en-US"/>
        </w:rPr>
      </w:pPr>
      <w:r>
        <w:rPr>
          <w:lang w:val="en-US"/>
        </w:rPr>
        <w:t xml:space="preserve">The study is among the first to </w:t>
      </w:r>
      <w:r w:rsidR="00F10F2C">
        <w:rPr>
          <w:lang w:val="en-US"/>
        </w:rPr>
        <w:t>develop an in-depth understanding of how</w:t>
      </w:r>
      <w:r>
        <w:rPr>
          <w:lang w:val="en-US"/>
        </w:rPr>
        <w:t xml:space="preserve"> the </w:t>
      </w:r>
      <w:r w:rsidR="00F10F2C">
        <w:rPr>
          <w:lang w:val="en-US"/>
        </w:rPr>
        <w:t xml:space="preserve">adoption </w:t>
      </w:r>
      <w:r>
        <w:rPr>
          <w:lang w:val="en-US"/>
        </w:rPr>
        <w:t xml:space="preserve">of DDD </w:t>
      </w:r>
      <w:r w:rsidR="00F10F2C">
        <w:rPr>
          <w:lang w:val="en-US"/>
        </w:rPr>
        <w:t xml:space="preserve">influences the cloud-native Azure and .NET services. </w:t>
      </w:r>
      <w:r w:rsidR="0081060B">
        <w:rPr>
          <w:lang w:val="en-US"/>
        </w:rPr>
        <w:t xml:space="preserve">As outlined, previous studies have provided initial indications for potential implications. Motivated by this and the growing </w:t>
      </w:r>
      <w:r w:rsidR="0081060B" w:rsidRPr="0081060B">
        <w:rPr>
          <w:lang w:val="en-US"/>
        </w:rPr>
        <w:t>popularity of the modern software design</w:t>
      </w:r>
      <w:r w:rsidR="0081060B">
        <w:rPr>
          <w:lang w:val="en-US"/>
        </w:rPr>
        <w:t>, this study has set out to explore the DDD concepts and</w:t>
      </w:r>
      <w:r w:rsidR="00651233">
        <w:rPr>
          <w:lang w:val="en-US"/>
        </w:rPr>
        <w:t xml:space="preserve"> to</w:t>
      </w:r>
      <w:r w:rsidR="0081060B">
        <w:rPr>
          <w:lang w:val="en-US"/>
        </w:rPr>
        <w:t xml:space="preserve"> </w:t>
      </w:r>
      <w:r w:rsidR="00AD1FFF">
        <w:rPr>
          <w:lang w:val="en-US"/>
        </w:rPr>
        <w:t>embed</w:t>
      </w:r>
      <w:r w:rsidR="0081060B">
        <w:rPr>
          <w:lang w:val="en-US"/>
        </w:rPr>
        <w:t xml:space="preserve"> them into Microsoft ecosystem.</w:t>
      </w:r>
      <w:r w:rsidR="00651233">
        <w:rPr>
          <w:lang w:val="en-US"/>
        </w:rPr>
        <w:t xml:space="preserve"> </w:t>
      </w:r>
      <w:r w:rsidR="00AD1FFF">
        <w:rPr>
          <w:lang w:val="en-US"/>
        </w:rPr>
        <w:t>It also draws on extant theory and incorporates implications into a theoretically deduced framework.</w:t>
      </w:r>
    </w:p>
    <w:p w14:paraId="6B40B93C" w14:textId="3CD4216C" w:rsidR="00B345F2" w:rsidRDefault="00B345F2" w:rsidP="00B345F2">
      <w:pPr>
        <w:pStyle w:val="Heading3"/>
      </w:pPr>
      <w:r>
        <w:t xml:space="preserve">6.3. </w:t>
      </w:r>
      <w:r w:rsidRPr="000F47B8">
        <w:t>Challenges and Limitations</w:t>
      </w:r>
    </w:p>
    <w:p w14:paraId="2D0F2211" w14:textId="77777777" w:rsidR="00B345F2" w:rsidRDefault="00B345F2" w:rsidP="00B345F2">
      <w:r w:rsidRPr="000F47B8">
        <w:t>Discuss</w:t>
      </w:r>
      <w:r>
        <w:t>ing</w:t>
      </w:r>
      <w:r w:rsidRPr="000F47B8">
        <w:t xml:space="preserve"> the challenges encountered and what lessons can be drawn for future DDD implementations.</w:t>
      </w:r>
    </w:p>
    <w:p w14:paraId="61FABD65" w14:textId="77777777" w:rsidR="00B345F2" w:rsidRPr="000F47B8" w:rsidRDefault="00B345F2" w:rsidP="000F47B8"/>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2C18"/>
    <w:rsid w:val="0007618C"/>
    <w:rsid w:val="00086132"/>
    <w:rsid w:val="000A4C55"/>
    <w:rsid w:val="000A7565"/>
    <w:rsid w:val="000F47B8"/>
    <w:rsid w:val="0013658B"/>
    <w:rsid w:val="00143748"/>
    <w:rsid w:val="001537D6"/>
    <w:rsid w:val="00157DBF"/>
    <w:rsid w:val="001662D3"/>
    <w:rsid w:val="00173FF1"/>
    <w:rsid w:val="001911C0"/>
    <w:rsid w:val="00192C12"/>
    <w:rsid w:val="001F0F94"/>
    <w:rsid w:val="001F1AD5"/>
    <w:rsid w:val="001F7104"/>
    <w:rsid w:val="002166DA"/>
    <w:rsid w:val="002429FC"/>
    <w:rsid w:val="00252343"/>
    <w:rsid w:val="00254229"/>
    <w:rsid w:val="00260D62"/>
    <w:rsid w:val="0028092A"/>
    <w:rsid w:val="002C456C"/>
    <w:rsid w:val="002D0FFA"/>
    <w:rsid w:val="002D61A0"/>
    <w:rsid w:val="002D7199"/>
    <w:rsid w:val="00303996"/>
    <w:rsid w:val="00305D0D"/>
    <w:rsid w:val="00322194"/>
    <w:rsid w:val="00341C85"/>
    <w:rsid w:val="00346AB7"/>
    <w:rsid w:val="00356C15"/>
    <w:rsid w:val="00361D66"/>
    <w:rsid w:val="003920E1"/>
    <w:rsid w:val="0039266D"/>
    <w:rsid w:val="00393360"/>
    <w:rsid w:val="003947A4"/>
    <w:rsid w:val="003C1F5B"/>
    <w:rsid w:val="004264A5"/>
    <w:rsid w:val="004365B0"/>
    <w:rsid w:val="00446255"/>
    <w:rsid w:val="0047390E"/>
    <w:rsid w:val="00483AD3"/>
    <w:rsid w:val="004B7E41"/>
    <w:rsid w:val="004F2902"/>
    <w:rsid w:val="004F40C1"/>
    <w:rsid w:val="00520CFF"/>
    <w:rsid w:val="005276B1"/>
    <w:rsid w:val="00543EE7"/>
    <w:rsid w:val="0055112D"/>
    <w:rsid w:val="00560382"/>
    <w:rsid w:val="00582417"/>
    <w:rsid w:val="005C3423"/>
    <w:rsid w:val="00607A4B"/>
    <w:rsid w:val="00641BE8"/>
    <w:rsid w:val="00641F09"/>
    <w:rsid w:val="00651233"/>
    <w:rsid w:val="006612F4"/>
    <w:rsid w:val="0067724A"/>
    <w:rsid w:val="006A2BE8"/>
    <w:rsid w:val="006B3B76"/>
    <w:rsid w:val="006B723A"/>
    <w:rsid w:val="006C4EEF"/>
    <w:rsid w:val="006E3FE6"/>
    <w:rsid w:val="00717C48"/>
    <w:rsid w:val="00721040"/>
    <w:rsid w:val="00734E60"/>
    <w:rsid w:val="00742B5A"/>
    <w:rsid w:val="007707EC"/>
    <w:rsid w:val="00771A6E"/>
    <w:rsid w:val="00777939"/>
    <w:rsid w:val="007966FA"/>
    <w:rsid w:val="007B0495"/>
    <w:rsid w:val="007C4131"/>
    <w:rsid w:val="007D5641"/>
    <w:rsid w:val="007D7FC4"/>
    <w:rsid w:val="0081060B"/>
    <w:rsid w:val="008168E0"/>
    <w:rsid w:val="00825B77"/>
    <w:rsid w:val="00835E13"/>
    <w:rsid w:val="008403F4"/>
    <w:rsid w:val="00846E51"/>
    <w:rsid w:val="00854550"/>
    <w:rsid w:val="00861603"/>
    <w:rsid w:val="0088606B"/>
    <w:rsid w:val="00891C10"/>
    <w:rsid w:val="008A14B5"/>
    <w:rsid w:val="008A6D2F"/>
    <w:rsid w:val="008A74E5"/>
    <w:rsid w:val="008C226C"/>
    <w:rsid w:val="008C2348"/>
    <w:rsid w:val="008C67B7"/>
    <w:rsid w:val="008D2825"/>
    <w:rsid w:val="008E652B"/>
    <w:rsid w:val="008F5E7D"/>
    <w:rsid w:val="00914E15"/>
    <w:rsid w:val="009164B0"/>
    <w:rsid w:val="009164ED"/>
    <w:rsid w:val="0092364F"/>
    <w:rsid w:val="009322EE"/>
    <w:rsid w:val="00980F2D"/>
    <w:rsid w:val="00986760"/>
    <w:rsid w:val="00987EA8"/>
    <w:rsid w:val="009A24AD"/>
    <w:rsid w:val="009B07CD"/>
    <w:rsid w:val="009D3B9A"/>
    <w:rsid w:val="009D4936"/>
    <w:rsid w:val="009D715A"/>
    <w:rsid w:val="009F06BC"/>
    <w:rsid w:val="009F1317"/>
    <w:rsid w:val="00A516F9"/>
    <w:rsid w:val="00A61BAD"/>
    <w:rsid w:val="00A62202"/>
    <w:rsid w:val="00A8779D"/>
    <w:rsid w:val="00AD06EA"/>
    <w:rsid w:val="00AD1FFF"/>
    <w:rsid w:val="00AE6856"/>
    <w:rsid w:val="00AF0137"/>
    <w:rsid w:val="00B1299E"/>
    <w:rsid w:val="00B1677E"/>
    <w:rsid w:val="00B20375"/>
    <w:rsid w:val="00B345F2"/>
    <w:rsid w:val="00B42E04"/>
    <w:rsid w:val="00B67674"/>
    <w:rsid w:val="00B67AE9"/>
    <w:rsid w:val="00BB01D8"/>
    <w:rsid w:val="00BC122B"/>
    <w:rsid w:val="00BF0D2B"/>
    <w:rsid w:val="00C0710E"/>
    <w:rsid w:val="00C24D26"/>
    <w:rsid w:val="00C332FA"/>
    <w:rsid w:val="00C52D68"/>
    <w:rsid w:val="00C5666A"/>
    <w:rsid w:val="00C6318C"/>
    <w:rsid w:val="00C85377"/>
    <w:rsid w:val="00CA1F37"/>
    <w:rsid w:val="00CB130A"/>
    <w:rsid w:val="00D15C67"/>
    <w:rsid w:val="00D4381B"/>
    <w:rsid w:val="00D61271"/>
    <w:rsid w:val="00D736DB"/>
    <w:rsid w:val="00D85524"/>
    <w:rsid w:val="00D869C0"/>
    <w:rsid w:val="00DA2345"/>
    <w:rsid w:val="00DB5A8A"/>
    <w:rsid w:val="00DE77E3"/>
    <w:rsid w:val="00DF0239"/>
    <w:rsid w:val="00E064F3"/>
    <w:rsid w:val="00E137FF"/>
    <w:rsid w:val="00E208B6"/>
    <w:rsid w:val="00E332F9"/>
    <w:rsid w:val="00E50244"/>
    <w:rsid w:val="00E50703"/>
    <w:rsid w:val="00E616DC"/>
    <w:rsid w:val="00E62FEB"/>
    <w:rsid w:val="00E6662D"/>
    <w:rsid w:val="00ED13F5"/>
    <w:rsid w:val="00ED3D23"/>
    <w:rsid w:val="00ED4C0F"/>
    <w:rsid w:val="00EF5B91"/>
    <w:rsid w:val="00F01D42"/>
    <w:rsid w:val="00F10F2C"/>
    <w:rsid w:val="00F141C4"/>
    <w:rsid w:val="00F22305"/>
    <w:rsid w:val="00F234BE"/>
    <w:rsid w:val="00F5675C"/>
    <w:rsid w:val="00F70B2E"/>
    <w:rsid w:val="00F73C39"/>
    <w:rsid w:val="00F86893"/>
    <w:rsid w:val="00F97B58"/>
    <w:rsid w:val="00FC3D24"/>
    <w:rsid w:val="00FC64B1"/>
    <w:rsid w:val="00FF3ACD"/>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10</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156</cp:revision>
  <dcterms:created xsi:type="dcterms:W3CDTF">2023-10-16T12:02:00Z</dcterms:created>
  <dcterms:modified xsi:type="dcterms:W3CDTF">2023-10-28T05:45:00Z</dcterms:modified>
</cp:coreProperties>
</file>