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09EC596"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76D75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00691906" w14:textId="3120C53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p>
    <w:p w14:paraId="6F03D0AB" w14:textId="66A2D450" w:rsidR="00BF44BD" w:rsidRDefault="00BF44BD" w:rsidP="00BF44BD">
      <w:pPr>
        <w:pStyle w:val="ICESTNormal"/>
        <w:rPr>
          <w:rFonts w:cs="Times New Roman"/>
          <w:sz w:val="22"/>
          <w:lang w:val="en-GB"/>
        </w:rPr>
      </w:pP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esign is comprehensive and implementation</w:t>
      </w:r>
      <w:r>
        <w:rPr>
          <w:rFonts w:cs="Times New Roman"/>
          <w:sz w:val="22"/>
          <w:lang w:val="en-GB"/>
        </w:rPr>
        <w:t>-</w:t>
      </w:r>
      <w:r w:rsidRPr="004E7668">
        <w:rPr>
          <w:rFonts w:cs="Times New Roman"/>
          <w:sz w:val="22"/>
          <w:lang w:val="en-GB"/>
        </w:rPr>
        <w:t xml:space="preserve"> focused.</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Pr>
          <w:rFonts w:cs="Times New Roman"/>
          <w:szCs w:val="20"/>
          <w:lang w:val="en-GB"/>
        </w:rPr>
        <w:t xml:space="preserve">“ </w:t>
      </w:r>
      <w:r>
        <w:rPr>
          <w:rFonts w:cs="Times New Roman"/>
          <w:sz w:val="22"/>
          <w:lang w:val="en-GB"/>
        </w:rPr>
        <w:t>[ ]</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Pr>
          <w:rFonts w:cs="Times New Roman"/>
          <w:szCs w:val="20"/>
          <w:lang w:val="en-GB"/>
        </w:rPr>
        <w:t xml:space="preserve"> “.</w:t>
      </w:r>
      <w:r w:rsidRPr="00665B1B">
        <w:rPr>
          <w:rFonts w:cs="Times New Roman"/>
          <w:sz w:val="22"/>
          <w:lang w:val="en-GB"/>
        </w:rPr>
        <w:t xml:space="preserve"> </w:t>
      </w:r>
      <w:r w:rsidRPr="00EB3524">
        <w:rPr>
          <w:rFonts w:cs="Times New Roman"/>
          <w:sz w:val="22"/>
          <w:lang w:val="en-GB"/>
        </w:rPr>
        <w:t xml:space="preserve"> </w:t>
      </w:r>
      <w:r w:rsidRPr="001A7706">
        <w:rPr>
          <w:rFonts w:cs="Times New Roman"/>
          <w:sz w:val="22"/>
          <w:lang w:val="en-GB"/>
        </w:rPr>
        <w:t xml:space="preserve">Clean code is simple and direct </w:t>
      </w:r>
      <w:r>
        <w:rPr>
          <w:rFonts w:cs="Times New Roman"/>
          <w:sz w:val="22"/>
          <w:lang w:val="en-GB"/>
        </w:rPr>
        <w:t>and</w:t>
      </w:r>
      <w:r w:rsidRPr="001A7706">
        <w:rPr>
          <w:rFonts w:cs="Times New Roman"/>
          <w:sz w:val="22"/>
          <w:lang w:val="en-GB"/>
        </w:rPr>
        <w:t xml:space="preserve"> reads like well-written prose. Clean code never obscures the designer’s intent but is full of crisp abstractions and straightforward lines of control. </w:t>
      </w:r>
      <w:r>
        <w:rPr>
          <w:rFonts w:cs="Times New Roman"/>
          <w:sz w:val="22"/>
          <w:lang w:val="en-GB"/>
        </w:rPr>
        <w:t>[6]</w:t>
      </w:r>
      <w:r w:rsidRPr="00665B1B">
        <w:rPr>
          <w:rFonts w:cs="Times New Roman"/>
          <w:sz w:val="22"/>
          <w:lang w:val="en-GB"/>
        </w:rPr>
        <w:t>.</w:t>
      </w:r>
    </w:p>
    <w:p w14:paraId="66A40550" w14:textId="0FB7FD5F"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40F2B041"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1F2B4148"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xml:space="preserve">], </w:t>
      </w:r>
      <w:r w:rsidR="00D5384A">
        <w:rPr>
          <w:rFonts w:cs="Times New Roman"/>
          <w:sz w:val="22"/>
          <w:lang w:val="en-GB"/>
        </w:rPr>
        <w:t>[1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7A5D7F8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 xml:space="preserve">Ubiquitous language, bounded context, and core </w:t>
      </w:r>
      <w:r w:rsidR="00863A53" w:rsidRPr="00665B1B">
        <w:rPr>
          <w:rFonts w:cs="Times New Roman"/>
          <w:sz w:val="22"/>
          <w:lang w:val="en-GB"/>
        </w:rPr>
        <w:lastRenderedPageBreak/>
        <w:t>domain are the strategic elements and the most important parts of DDD. The other ideas, such as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898B5AC"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07355A"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xml:space="preserve">. Events are helpful because </w:t>
      </w:r>
      <w:r w:rsidRPr="00665B1B">
        <w:rPr>
          <w:rFonts w:cs="Times New Roman"/>
          <w:sz w:val="22"/>
          <w:lang w:val="en-GB"/>
        </w:rPr>
        <w:lastRenderedPageBreak/>
        <w:t>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5A4857EA"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lower layers, yet the lower layers have no knowledge of the upper</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4F4405E1"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Building blocks of domain-driven design in onion architecture</w:t>
      </w:r>
    </w:p>
    <w:p w14:paraId="7F7C5D2D" w14:textId="77777777" w:rsidR="00863A53" w:rsidRPr="00665B1B" w:rsidRDefault="00863A53" w:rsidP="00EC5C4C">
      <w:pPr>
        <w:pStyle w:val="ICESTNormal"/>
        <w:rPr>
          <w:rFonts w:cs="Times New Roman"/>
          <w:sz w:val="22"/>
          <w:lang w:val="en-GB"/>
        </w:rPr>
      </w:pPr>
    </w:p>
    <w:p w14:paraId="6BA55032" w14:textId="5F0CF9D4" w:rsidR="007A2616" w:rsidRPr="00665B1B" w:rsidRDefault="00EE7983" w:rsidP="007A2616">
      <w:pPr>
        <w:pStyle w:val="ICESTNormal"/>
        <w:rPr>
          <w:rFonts w:cs="Times New Roman"/>
          <w:sz w:val="22"/>
          <w:lang w:val="en-GB"/>
        </w:rPr>
      </w:pPr>
      <w:r w:rsidRPr="00EE7983">
        <w:rPr>
          <w:rFonts w:cs="Times New Roman"/>
          <w:sz w:val="22"/>
          <w:lang w:val="en-GB"/>
        </w:rPr>
        <w:t>The core part of this onion consists of the notions of “entity,” “value object,” “domain event,” and “aggregate”</w:t>
      </w:r>
      <w:r w:rsidR="007A2616" w:rsidRPr="00665B1B">
        <w:rPr>
          <w:rFonts w:cs="Times New Roman"/>
          <w:sz w:val="22"/>
          <w:lang w:val="en-GB"/>
        </w:rPr>
        <w:t>. The next layer consists of repositories, factories, and domain services. Application services go beyond that. The code working with the data storage must be gathered under the repositories in the domain model. These four elements</w:t>
      </w:r>
      <w:r w:rsidR="00801459">
        <w:rPr>
          <w:rFonts w:cs="Times New Roman"/>
          <w:sz w:val="22"/>
          <w:lang w:val="en-GB"/>
        </w:rPr>
        <w:t xml:space="preserve"> -</w:t>
      </w:r>
      <w:r w:rsidR="007A2616" w:rsidRPr="00665B1B">
        <w:rPr>
          <w:rFonts w:cs="Times New Roman"/>
          <w:sz w:val="22"/>
          <w:lang w:val="en-GB"/>
        </w:rPr>
        <w:t xml:space="preserve"> entities, value objects, domain events, and aggregates are the most basic. They can refer to each other. For example, a value object can keep a reference to an aggregate </w:t>
      </w:r>
      <w:r w:rsidR="00801459" w:rsidRPr="00665B1B">
        <w:rPr>
          <w:rFonts w:cs="Times New Roman"/>
          <w:sz w:val="22"/>
          <w:lang w:val="en-GB"/>
        </w:rPr>
        <w:t>root but</w:t>
      </w:r>
      <w:r w:rsidR="007A2616" w:rsidRPr="00665B1B">
        <w:rPr>
          <w:rFonts w:cs="Times New Roman"/>
          <w:sz w:val="22"/>
          <w:lang w:val="en-GB"/>
        </w:rPr>
        <w:t xml:space="preserve"> cannot work with other DDD notions such as repositories and factories. Similarly, repositories, factories, and domain services can know about each other and the four basic elements, but they should not refer to the application services. 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 </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proofErr w:type="spellStart"/>
      <w:r w:rsidRPr="00AF61B6">
        <w:rPr>
          <w:rFonts w:cs="Times New Roman"/>
          <w:sz w:val="22"/>
          <w:lang w:val="en-GB"/>
        </w:rPr>
        <w:t>fulfill</w:t>
      </w:r>
      <w:proofErr w:type="spellEnd"/>
      <w:r w:rsidRPr="00AF61B6">
        <w:rPr>
          <w:rFonts w:cs="Times New Roman"/>
          <w:sz w:val="22"/>
          <w:lang w:val="en-GB"/>
        </w:rPr>
        <w:t xml:space="preserve"> </w:t>
      </w:r>
      <w:r w:rsidRPr="00665B1B">
        <w:rPr>
          <w:rFonts w:cs="Times New Roman"/>
          <w:sz w:val="22"/>
          <w:lang w:val="en-GB"/>
        </w:rPr>
        <w:t>a request directly.</w:t>
      </w:r>
    </w:p>
    <w:p w14:paraId="7CEB8060" w14:textId="55336FC9"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903640">
        <w:rPr>
          <w:rFonts w:cs="Times New Roman"/>
          <w:sz w:val="22"/>
          <w:lang w:val="en-GB"/>
        </w:rPr>
        <w:t>.</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logical artifact</w:t>
      </w:r>
      <w:r w:rsidR="00903640">
        <w:rPr>
          <w:rFonts w:cs="Times New Roman"/>
          <w:sz w:val="22"/>
          <w:lang w:val="en-GB"/>
        </w:rPr>
        <w:t>s</w:t>
      </w:r>
      <w:r w:rsidR="0042664B" w:rsidRPr="0042664B">
        <w:rPr>
          <w:rFonts w:cs="Times New Roman"/>
          <w:sz w:val="22"/>
          <w:lang w:val="en-GB"/>
        </w:rPr>
        <w:t xml:space="preserve"> that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230F2011" w:rsidR="007A2616" w:rsidRPr="00665B1B" w:rsidRDefault="005D4ECD" w:rsidP="007A2616">
      <w:pPr>
        <w:pStyle w:val="ICESTNormal"/>
        <w:rPr>
          <w:rFonts w:cs="Times New Roman"/>
          <w:sz w:val="22"/>
          <w:lang w:val="en-GB"/>
        </w:rPr>
      </w:pPr>
      <w:r w:rsidRPr="005D4ECD">
        <w:rPr>
          <w:rFonts w:cs="Times New Roman"/>
          <w:sz w:val="22"/>
          <w:lang w:val="en-GB"/>
        </w:rPr>
        <w:lastRenderedPageBreak/>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7B253E6F"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w:t>
      </w:r>
      <w:r w:rsidR="003949F6" w:rsidRPr="00665B1B">
        <w:rPr>
          <w:rFonts w:cs="Times New Roman"/>
          <w:sz w:val="22"/>
          <w:lang w:val="en-GB"/>
        </w:rPr>
        <w:t xml:space="preserve">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w:t>
      </w:r>
      <w:r w:rsidR="003949F6" w:rsidRPr="00665B1B">
        <w:rPr>
          <w:rFonts w:cs="Times New Roman"/>
          <w:sz w:val="22"/>
          <w:lang w:val="en-GB"/>
        </w:rPr>
        <w:lastRenderedPageBreak/>
        <w:t xml:space="preserve">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2610822C"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625E91F9" w14:textId="13924E0B" w:rsidR="00817062" w:rsidRPr="00665B1B" w:rsidRDefault="00817062" w:rsidP="00871069">
      <w:pPr>
        <w:pStyle w:val="ICESTNormal"/>
        <w:rPr>
          <w:rFonts w:cs="Times New Roman"/>
          <w:sz w:val="22"/>
          <w:lang w:val="en-GB"/>
        </w:rPr>
      </w:pPr>
      <w:r w:rsidRPr="00817062">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817062">
        <w:rPr>
          <w:rFonts w:cs="Times New Roman"/>
          <w:sz w:val="22"/>
          <w:lang w:val="en-GB"/>
        </w:rPr>
        <w:t>Abbruzzese</w:t>
      </w:r>
      <w:proofErr w:type="spellEnd"/>
      <w:r w:rsidRPr="00817062">
        <w:rPr>
          <w:rFonts w:cs="Times New Roman"/>
          <w:sz w:val="22"/>
          <w:lang w:val="en-GB"/>
        </w:rPr>
        <w:t>, 2022b). Once stored, events are immutable. It is possible to duplicate and repeat events for scalability reasons.</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49DC5E0A" w:rsidR="006D7929" w:rsidRDefault="00715E04" w:rsidP="00512223">
      <w:pPr>
        <w:pStyle w:val="ICESTNormal"/>
        <w:rPr>
          <w:rFonts w:cs="Times New Roman"/>
          <w:sz w:val="22"/>
          <w:lang w:val="en-GB"/>
        </w:rPr>
      </w:pPr>
      <w:r w:rsidRPr="00715E04">
        <w:rPr>
          <w:rFonts w:cs="Times New Roman"/>
          <w:sz w:val="22"/>
          <w:lang w:val="en-GB"/>
        </w:rPr>
        <w:t>Replay</w:t>
      </w:r>
      <w:r w:rsidR="006D7929">
        <w:rPr>
          <w:rFonts w:cs="Times New Roman"/>
          <w:sz w:val="22"/>
          <w:lang w:val="en-GB"/>
        </w:rPr>
        <w:t xml:space="preserve"> algorithm</w:t>
      </w:r>
      <w:r w:rsidRPr="00715E04">
        <w:rPr>
          <w:rFonts w:cs="Times New Roman"/>
          <w:sz w:val="22"/>
          <w:lang w:val="en-GB"/>
        </w:rPr>
        <w:t xml:space="preserve"> involves examining </w:t>
      </w:r>
      <w:r w:rsidR="006D7929">
        <w:rPr>
          <w:rFonts w:cs="Times New Roman"/>
          <w:sz w:val="22"/>
          <w:lang w:val="en-GB"/>
        </w:rPr>
        <w:t>the</w:t>
      </w:r>
      <w:r w:rsidRPr="00715E04">
        <w:rPr>
          <w:rFonts w:cs="Times New Roman"/>
          <w:sz w:val="22"/>
          <w:lang w:val="en-GB"/>
        </w:rPr>
        <w:t xml:space="preserve"> data and using logic to retrieve</w:t>
      </w:r>
      <w:r w:rsidR="006D7929">
        <w:rPr>
          <w:rFonts w:cs="Times New Roman"/>
          <w:sz w:val="22"/>
          <w:lang w:val="en-GB"/>
        </w:rPr>
        <w:t xml:space="preserve"> the</w:t>
      </w:r>
      <w:r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Pr="00715E04">
        <w:rPr>
          <w:rFonts w:cs="Times New Roman"/>
          <w:sz w:val="22"/>
          <w:lang w:val="en-GB"/>
        </w:rPr>
        <w:t xml:space="preserve"> business intelligence and statistical analysis, may be addressed by ad</w:t>
      </w:r>
      <w:r w:rsidR="006D7929">
        <w:rPr>
          <w:rFonts w:cs="Times New Roman"/>
          <w:sz w:val="22"/>
          <w:lang w:val="en-GB"/>
        </w:rPr>
        <w:t>-</w:t>
      </w:r>
      <w:r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proofErr w:type="gramStart"/>
      <w:r w:rsidR="000972C6" w:rsidRPr="000972C6">
        <w:rPr>
          <w:rFonts w:cs="Times New Roman"/>
          <w:sz w:val="22"/>
          <w:lang w:val="en-GB"/>
        </w:rPr>
        <w:t>BigQuery</w:t>
      </w:r>
      <w:proofErr w:type="spellEnd"/>
      <w:proofErr w:type="gram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lastRenderedPageBreak/>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67E75EF"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proofErr w:type="gramStart"/>
      <w:r w:rsidR="00147200">
        <w:rPr>
          <w:rFonts w:ascii="Times New Roman" w:hAnsi="Times New Roman"/>
          <w:i/>
          <w:sz w:val="20"/>
          <w:szCs w:val="20"/>
          <w:lang w:val="en-GB"/>
        </w:rPr>
        <w:t>–[</w:t>
      </w:r>
      <w:proofErr w:type="gramEnd"/>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w:t>
      </w:r>
      <w:r w:rsidRPr="008474C2">
        <w:rPr>
          <w:rFonts w:cs="Times New Roman"/>
          <w:sz w:val="22"/>
          <w:lang w:val="en-GB"/>
        </w:rPr>
        <w:t>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65E4F2E1"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styles but only architecture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8454" w14:textId="77777777" w:rsidR="0013669A" w:rsidRDefault="0013669A" w:rsidP="00110ACC">
      <w:pPr>
        <w:spacing w:after="0" w:line="240" w:lineRule="auto"/>
      </w:pPr>
      <w:r>
        <w:separator/>
      </w:r>
    </w:p>
  </w:endnote>
  <w:endnote w:type="continuationSeparator" w:id="0">
    <w:p w14:paraId="5E9702D6" w14:textId="77777777" w:rsidR="0013669A" w:rsidRDefault="0013669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5CAE" w14:textId="77777777" w:rsidR="0013669A" w:rsidRDefault="0013669A" w:rsidP="00110ACC">
      <w:pPr>
        <w:spacing w:after="0" w:line="240" w:lineRule="auto"/>
      </w:pPr>
      <w:r>
        <w:separator/>
      </w:r>
    </w:p>
  </w:footnote>
  <w:footnote w:type="continuationSeparator" w:id="0">
    <w:p w14:paraId="260F74BE" w14:textId="77777777" w:rsidR="0013669A" w:rsidRDefault="0013669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2D8D"/>
    <w:rsid w:val="000364EA"/>
    <w:rsid w:val="00037FF6"/>
    <w:rsid w:val="000411BB"/>
    <w:rsid w:val="00043552"/>
    <w:rsid w:val="00046F08"/>
    <w:rsid w:val="00050989"/>
    <w:rsid w:val="00052D56"/>
    <w:rsid w:val="000544D5"/>
    <w:rsid w:val="000553A9"/>
    <w:rsid w:val="00055770"/>
    <w:rsid w:val="00057FEF"/>
    <w:rsid w:val="00061D7C"/>
    <w:rsid w:val="0006524C"/>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456"/>
    <w:rsid w:val="000E1E65"/>
    <w:rsid w:val="000E4CFB"/>
    <w:rsid w:val="000F07EE"/>
    <w:rsid w:val="00102623"/>
    <w:rsid w:val="00110ACC"/>
    <w:rsid w:val="00112220"/>
    <w:rsid w:val="00113AA8"/>
    <w:rsid w:val="00115DA8"/>
    <w:rsid w:val="00121BA3"/>
    <w:rsid w:val="001306A1"/>
    <w:rsid w:val="00132987"/>
    <w:rsid w:val="00133E1F"/>
    <w:rsid w:val="0013669A"/>
    <w:rsid w:val="00143696"/>
    <w:rsid w:val="00147200"/>
    <w:rsid w:val="00147DDB"/>
    <w:rsid w:val="00150E21"/>
    <w:rsid w:val="00154DC8"/>
    <w:rsid w:val="00155525"/>
    <w:rsid w:val="00156DC7"/>
    <w:rsid w:val="00157E50"/>
    <w:rsid w:val="0016118D"/>
    <w:rsid w:val="00162816"/>
    <w:rsid w:val="001646C8"/>
    <w:rsid w:val="00170528"/>
    <w:rsid w:val="001837EA"/>
    <w:rsid w:val="00185641"/>
    <w:rsid w:val="001864FC"/>
    <w:rsid w:val="00193B60"/>
    <w:rsid w:val="00194C87"/>
    <w:rsid w:val="0019766B"/>
    <w:rsid w:val="001A0310"/>
    <w:rsid w:val="001A3B06"/>
    <w:rsid w:val="001A5FBC"/>
    <w:rsid w:val="001A7706"/>
    <w:rsid w:val="001B04DC"/>
    <w:rsid w:val="001B2ABF"/>
    <w:rsid w:val="001B39AA"/>
    <w:rsid w:val="001B5044"/>
    <w:rsid w:val="001C141B"/>
    <w:rsid w:val="001C245B"/>
    <w:rsid w:val="001C2D59"/>
    <w:rsid w:val="001C4035"/>
    <w:rsid w:val="001C5A51"/>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64CA"/>
    <w:rsid w:val="002400E1"/>
    <w:rsid w:val="0024667D"/>
    <w:rsid w:val="002551F7"/>
    <w:rsid w:val="002578C6"/>
    <w:rsid w:val="002645CB"/>
    <w:rsid w:val="00271490"/>
    <w:rsid w:val="00272615"/>
    <w:rsid w:val="0027763B"/>
    <w:rsid w:val="00281EC4"/>
    <w:rsid w:val="00286E77"/>
    <w:rsid w:val="002876BE"/>
    <w:rsid w:val="00291113"/>
    <w:rsid w:val="002A0140"/>
    <w:rsid w:val="002A218D"/>
    <w:rsid w:val="002A2902"/>
    <w:rsid w:val="002A4059"/>
    <w:rsid w:val="002A68E2"/>
    <w:rsid w:val="002B0E35"/>
    <w:rsid w:val="002B27AE"/>
    <w:rsid w:val="002C0FEA"/>
    <w:rsid w:val="002C150B"/>
    <w:rsid w:val="002C3EE2"/>
    <w:rsid w:val="002C7B00"/>
    <w:rsid w:val="002D1146"/>
    <w:rsid w:val="002D6173"/>
    <w:rsid w:val="002E7FA0"/>
    <w:rsid w:val="002F506E"/>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6278"/>
    <w:rsid w:val="0041468F"/>
    <w:rsid w:val="00425547"/>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59E0"/>
    <w:rsid w:val="004909B9"/>
    <w:rsid w:val="00495F3F"/>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7668"/>
    <w:rsid w:val="004F3015"/>
    <w:rsid w:val="004F4697"/>
    <w:rsid w:val="00500914"/>
    <w:rsid w:val="00503D20"/>
    <w:rsid w:val="00512223"/>
    <w:rsid w:val="00513B7C"/>
    <w:rsid w:val="0051570E"/>
    <w:rsid w:val="00527322"/>
    <w:rsid w:val="005330CD"/>
    <w:rsid w:val="00536B4C"/>
    <w:rsid w:val="005505CB"/>
    <w:rsid w:val="00551263"/>
    <w:rsid w:val="005532C9"/>
    <w:rsid w:val="0055434C"/>
    <w:rsid w:val="005631A2"/>
    <w:rsid w:val="00563B5D"/>
    <w:rsid w:val="00564378"/>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2253"/>
    <w:rsid w:val="005E478C"/>
    <w:rsid w:val="005F73BF"/>
    <w:rsid w:val="006069E8"/>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32E4"/>
    <w:rsid w:val="006F5227"/>
    <w:rsid w:val="006F6ABB"/>
    <w:rsid w:val="00700244"/>
    <w:rsid w:val="0070188A"/>
    <w:rsid w:val="00706C15"/>
    <w:rsid w:val="00711411"/>
    <w:rsid w:val="007148E5"/>
    <w:rsid w:val="0071532C"/>
    <w:rsid w:val="00715E04"/>
    <w:rsid w:val="00715EA6"/>
    <w:rsid w:val="00717428"/>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C0121"/>
    <w:rsid w:val="007C5CA9"/>
    <w:rsid w:val="007C6BF2"/>
    <w:rsid w:val="007C7A91"/>
    <w:rsid w:val="007D0419"/>
    <w:rsid w:val="007D35E5"/>
    <w:rsid w:val="007D40F0"/>
    <w:rsid w:val="007D5851"/>
    <w:rsid w:val="007D5929"/>
    <w:rsid w:val="007D5B8D"/>
    <w:rsid w:val="007E401F"/>
    <w:rsid w:val="007F1E2F"/>
    <w:rsid w:val="007F2C0D"/>
    <w:rsid w:val="007F43EF"/>
    <w:rsid w:val="00801459"/>
    <w:rsid w:val="00804A7B"/>
    <w:rsid w:val="00805CB8"/>
    <w:rsid w:val="008141C8"/>
    <w:rsid w:val="00817062"/>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74CED"/>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54A5"/>
    <w:rsid w:val="00A25CB9"/>
    <w:rsid w:val="00A26C3B"/>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1CC"/>
    <w:rsid w:val="00A9069E"/>
    <w:rsid w:val="00A92F13"/>
    <w:rsid w:val="00A94B61"/>
    <w:rsid w:val="00AA3EBA"/>
    <w:rsid w:val="00AD7D78"/>
    <w:rsid w:val="00AE74A4"/>
    <w:rsid w:val="00AF0B3E"/>
    <w:rsid w:val="00AF61B6"/>
    <w:rsid w:val="00B03CA6"/>
    <w:rsid w:val="00B056EB"/>
    <w:rsid w:val="00B15E90"/>
    <w:rsid w:val="00B25802"/>
    <w:rsid w:val="00B25FE6"/>
    <w:rsid w:val="00B309E4"/>
    <w:rsid w:val="00B3468B"/>
    <w:rsid w:val="00B369A9"/>
    <w:rsid w:val="00B438C4"/>
    <w:rsid w:val="00B4743F"/>
    <w:rsid w:val="00B561D3"/>
    <w:rsid w:val="00B56AD6"/>
    <w:rsid w:val="00B60E60"/>
    <w:rsid w:val="00B62FB7"/>
    <w:rsid w:val="00B657B7"/>
    <w:rsid w:val="00B65C95"/>
    <w:rsid w:val="00B76FF5"/>
    <w:rsid w:val="00B80BDB"/>
    <w:rsid w:val="00B825D2"/>
    <w:rsid w:val="00B8326F"/>
    <w:rsid w:val="00B8616C"/>
    <w:rsid w:val="00BA01DB"/>
    <w:rsid w:val="00BA085E"/>
    <w:rsid w:val="00BA5382"/>
    <w:rsid w:val="00BB0ECD"/>
    <w:rsid w:val="00BB35BF"/>
    <w:rsid w:val="00BC0532"/>
    <w:rsid w:val="00BD0A6C"/>
    <w:rsid w:val="00BD2152"/>
    <w:rsid w:val="00BD4F7C"/>
    <w:rsid w:val="00BE169D"/>
    <w:rsid w:val="00BE2220"/>
    <w:rsid w:val="00BF1F2D"/>
    <w:rsid w:val="00BF35D8"/>
    <w:rsid w:val="00BF44BD"/>
    <w:rsid w:val="00BF7053"/>
    <w:rsid w:val="00C135CE"/>
    <w:rsid w:val="00C14A69"/>
    <w:rsid w:val="00C1591A"/>
    <w:rsid w:val="00C2097B"/>
    <w:rsid w:val="00C245C5"/>
    <w:rsid w:val="00C247B9"/>
    <w:rsid w:val="00C34149"/>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45D49"/>
    <w:rsid w:val="00D463D0"/>
    <w:rsid w:val="00D53095"/>
    <w:rsid w:val="00D5384A"/>
    <w:rsid w:val="00D6177A"/>
    <w:rsid w:val="00D61A79"/>
    <w:rsid w:val="00D634E7"/>
    <w:rsid w:val="00D648EB"/>
    <w:rsid w:val="00D70231"/>
    <w:rsid w:val="00D712E5"/>
    <w:rsid w:val="00D74360"/>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0DC4"/>
    <w:rsid w:val="00E12ABF"/>
    <w:rsid w:val="00E13CB0"/>
    <w:rsid w:val="00E14A22"/>
    <w:rsid w:val="00E162C6"/>
    <w:rsid w:val="00E16C23"/>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73553"/>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C1785"/>
    <w:rsid w:val="00FC5AE9"/>
    <w:rsid w:val="00FC7B9B"/>
    <w:rsid w:val="00FD5F18"/>
    <w:rsid w:val="00FE1B71"/>
    <w:rsid w:val="00FE3279"/>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10</Pages>
  <Words>6710</Words>
  <Characters>38248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455</cp:revision>
  <cp:lastPrinted>2023-05-22T05:26:00Z</cp:lastPrinted>
  <dcterms:created xsi:type="dcterms:W3CDTF">2023-03-23T10:51:00Z</dcterms:created>
  <dcterms:modified xsi:type="dcterms:W3CDTF">2023-06-05T07:38:00Z</dcterms:modified>
</cp:coreProperties>
</file>