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proofErr w:type="gramStart"/>
      <w:r w:rsidR="00877ED9">
        <w:rPr>
          <w:iCs/>
          <w:sz w:val="20"/>
        </w:rPr>
        <w:t>in order to</w:t>
      </w:r>
      <w:proofErr w:type="gramEnd"/>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34C0C"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3EBACBEB"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6027D60D"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0228793A"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EB78DA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6C386D51"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00B405F0">
        <w:rPr>
          <w:rFonts w:cs="Times New Roman"/>
          <w:sz w:val="22"/>
          <w:lang w:val="en-GB"/>
        </w:rPr>
        <w:t>17</w:t>
      </w:r>
      <w:r>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w:t>
      </w:r>
      <w:r w:rsidR="009723E2">
        <w:rPr>
          <w:rFonts w:cs="Times New Roman"/>
          <w:sz w:val="22"/>
          <w:lang w:val="en-GB"/>
        </w:rPr>
        <w:t>14</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500914" w:rsidRPr="00500914">
        <w:rPr>
          <w:rFonts w:cs="Times New Roman"/>
          <w:sz w:val="22"/>
          <w:lang w:val="en-GB"/>
        </w:rPr>
        <w:t>.</w:t>
      </w:r>
    </w:p>
    <w:p w14:paraId="3B60B748" w14:textId="6F329C96"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w:t>
      </w:r>
      <w:r>
        <w:rPr>
          <w:rFonts w:cs="Times New Roman"/>
          <w:sz w:val="22"/>
          <w:lang w:val="en-GB"/>
        </w:rPr>
        <w:t>(</w:t>
      </w:r>
      <w:r w:rsidRPr="009D20B7">
        <w:rPr>
          <w:rFonts w:cs="Times New Roman"/>
          <w:sz w:val="22"/>
          <w:lang w:val="en-GB"/>
        </w:rPr>
        <w:t>CQRS</w:t>
      </w:r>
      <w:r>
        <w:rPr>
          <w:rFonts w:cs="Times New Roman"/>
          <w:sz w:val="22"/>
          <w:lang w:val="en-GB"/>
        </w:rPr>
        <w:t>)</w:t>
      </w:r>
      <w:r w:rsidRPr="009D20B7">
        <w:rPr>
          <w:rFonts w:cs="Times New Roman"/>
          <w:sz w:val="22"/>
          <w:lang w:val="en-GB"/>
        </w:rPr>
        <w:t xml:space="preserve">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r w:rsidR="00065307" w:rsidRPr="009D20B7">
        <w:rPr>
          <w:rFonts w:cs="Times New Roman"/>
          <w:sz w:val="22"/>
          <w:lang w:val="en-GB"/>
        </w:rPr>
        <w:t>DDD,</w:t>
      </w:r>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(TDD)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w:t>
      </w:r>
      <w:r w:rsidR="004321CF" w:rsidRPr="004321CF">
        <w:rPr>
          <w:rFonts w:cs="Times New Roman"/>
          <w:sz w:val="22"/>
          <w:lang w:val="en-GB"/>
        </w:rPr>
        <w:t xml:space="preserve">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2EB1FC22"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79B1DDF1" w:rsidR="00F75504" w:rsidRDefault="00F75504" w:rsidP="00F75504">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modelled based on </w:t>
      </w:r>
      <w:r>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Pr="00665B1B">
        <w:rPr>
          <w:rFonts w:cs="Times New Roman"/>
          <w:sz w:val="22"/>
          <w:lang w:val="en-GB"/>
        </w:rPr>
        <w:t xml:space="preserve"> </w:t>
      </w:r>
    </w:p>
    <w:p w14:paraId="23F66E16" w14:textId="0C349DD8" w:rsidR="00DF4CF1" w:rsidRPr="00665B1B" w:rsidRDefault="00DF4CF1" w:rsidP="00DF4CF1">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Pr="001C141B">
        <w:rPr>
          <w:rFonts w:cs="Times New Roman"/>
          <w:sz w:val="22"/>
          <w:lang w:val="en-GB"/>
        </w:rPr>
        <w:t xml:space="preserve">A </w:t>
      </w:r>
      <w:r>
        <w:rPr>
          <w:rFonts w:cs="Times New Roman"/>
          <w:sz w:val="22"/>
          <w:lang w:val="en-GB"/>
        </w:rPr>
        <w:t xml:space="preserve">simple </w:t>
      </w:r>
      <w:r w:rsidRPr="001C141B">
        <w:rPr>
          <w:rFonts w:cs="Times New Roman"/>
          <w:sz w:val="22"/>
          <w:lang w:val="en-GB"/>
        </w:rPr>
        <w:t xml:space="preserve">application that needs to perform fundamental </w:t>
      </w:r>
      <w:r>
        <w:rPr>
          <w:rFonts w:cs="Times New Roman"/>
          <w:szCs w:val="20"/>
          <w:lang w:val="en-GB"/>
        </w:rPr>
        <w:t>“</w:t>
      </w:r>
      <w:r w:rsidRPr="001C141B">
        <w:rPr>
          <w:rFonts w:cs="Times New Roman"/>
          <w:sz w:val="22"/>
          <w:lang w:val="en-GB"/>
        </w:rPr>
        <w:t>create</w:t>
      </w:r>
      <w:r>
        <w:rPr>
          <w:rFonts w:cs="Times New Roman"/>
          <w:szCs w:val="20"/>
          <w:lang w:val="en-GB"/>
        </w:rPr>
        <w:t>”, “</w:t>
      </w:r>
      <w:r w:rsidRPr="001C141B">
        <w:rPr>
          <w:rFonts w:cs="Times New Roman"/>
          <w:sz w:val="22"/>
          <w:lang w:val="en-GB"/>
        </w:rPr>
        <w:t>read</w:t>
      </w:r>
      <w:r>
        <w:rPr>
          <w:rFonts w:cs="Times New Roman"/>
          <w:szCs w:val="20"/>
          <w:lang w:val="en-GB"/>
        </w:rPr>
        <w:t>”, “</w:t>
      </w:r>
      <w:r w:rsidRPr="001C141B">
        <w:rPr>
          <w:rFonts w:cs="Times New Roman"/>
          <w:sz w:val="22"/>
          <w:lang w:val="en-GB"/>
        </w:rPr>
        <w:t>update</w:t>
      </w:r>
      <w:r>
        <w:rPr>
          <w:rFonts w:cs="Times New Roman"/>
          <w:szCs w:val="20"/>
          <w:lang w:val="en-GB"/>
        </w:rPr>
        <w:t>” and “</w:t>
      </w:r>
      <w:r w:rsidRPr="001C141B">
        <w:rPr>
          <w:rFonts w:cs="Times New Roman"/>
          <w:sz w:val="22"/>
          <w:lang w:val="en-GB"/>
        </w:rPr>
        <w:t>delete</w:t>
      </w:r>
      <w:r>
        <w:rPr>
          <w:rFonts w:cs="Times New Roman"/>
          <w:szCs w:val="20"/>
          <w:lang w:val="en-GB"/>
        </w:rPr>
        <w:t>”</w:t>
      </w:r>
      <w:r w:rsidRPr="001C141B">
        <w:rPr>
          <w:rFonts w:cs="Times New Roman"/>
          <w:sz w:val="22"/>
          <w:lang w:val="en-GB"/>
        </w:rPr>
        <w:t xml:space="preserve"> operations</w:t>
      </w:r>
      <w:r>
        <w:rPr>
          <w:rFonts w:cs="Times New Roman"/>
          <w:sz w:val="22"/>
          <w:lang w:val="en-GB"/>
        </w:rPr>
        <w:t xml:space="preserve"> (</w:t>
      </w:r>
      <w:r w:rsidRPr="001C141B">
        <w:rPr>
          <w:rFonts w:cs="Times New Roman"/>
          <w:sz w:val="22"/>
          <w:lang w:val="en-GB"/>
        </w:rPr>
        <w:t>CRUD</w:t>
      </w:r>
      <w:r>
        <w:rPr>
          <w:rFonts w:cs="Times New Roman"/>
          <w:sz w:val="22"/>
          <w:lang w:val="en-GB"/>
        </w:rPr>
        <w:t>)</w:t>
      </w:r>
      <w:r w:rsidRPr="001C141B">
        <w:rPr>
          <w:rFonts w:cs="Times New Roman"/>
          <w:sz w:val="22"/>
          <w:lang w:val="en-GB"/>
        </w:rPr>
        <w:t>, is not particularly complex. This situation can be handled with less complicated methods. Simultaneously, an order management system</w:t>
      </w:r>
      <w:r>
        <w:rPr>
          <w:rFonts w:cs="Times New Roman"/>
          <w:sz w:val="22"/>
          <w:lang w:val="en-GB"/>
        </w:rPr>
        <w:t xml:space="preserve">, </w:t>
      </w:r>
      <w:r w:rsidRPr="001C141B">
        <w:rPr>
          <w:rFonts w:cs="Times New Roman"/>
          <w:sz w:val="22"/>
          <w:lang w:val="en-GB"/>
        </w:rPr>
        <w:t xml:space="preserve">which automates a significant </w:t>
      </w:r>
      <w:r w:rsidRPr="001C141B">
        <w:rPr>
          <w:rFonts w:cs="Times New Roman"/>
          <w:sz w:val="22"/>
          <w:lang w:val="en-GB"/>
        </w:rPr>
        <w:lastRenderedPageBreak/>
        <w:t xml:space="preserve">portion of a company's activity, must model all the processes upon which the company acts and therefore manage </w:t>
      </w:r>
      <w:proofErr w:type="gramStart"/>
      <w:r w:rsidRPr="001C141B">
        <w:rPr>
          <w:rFonts w:cs="Times New Roman"/>
          <w:sz w:val="22"/>
          <w:lang w:val="en-GB"/>
        </w:rPr>
        <w:t>a large number of</w:t>
      </w:r>
      <w:proofErr w:type="gramEnd"/>
      <w:r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Pr>
          <w:rFonts w:cs="Times New Roman"/>
          <w:sz w:val="22"/>
          <w:lang w:val="en-GB"/>
        </w:rPr>
        <w:t xml:space="preserve"> </w:t>
      </w:r>
      <w:r w:rsidRPr="00665B1B">
        <w:rPr>
          <w:rFonts w:cs="Times New Roman"/>
          <w:sz w:val="22"/>
          <w:lang w:val="en-GB"/>
        </w:rPr>
        <w:t xml:space="preserve">Another attribute is </w:t>
      </w:r>
      <w:r>
        <w:rPr>
          <w:rFonts w:cs="Times New Roman"/>
          <w:sz w:val="22"/>
          <w:lang w:val="en-GB"/>
        </w:rPr>
        <w:t>its</w:t>
      </w:r>
      <w:r w:rsidRPr="00665B1B">
        <w:rPr>
          <w:rFonts w:cs="Times New Roman"/>
          <w:sz w:val="22"/>
          <w:lang w:val="en-GB"/>
        </w:rPr>
        <w:t xml:space="preserve"> technical complexity,</w:t>
      </w:r>
      <w:r>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673D16BA" w14:textId="139F205C"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0A5157A0"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5A850D26"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0D371D1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0F0510E2"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2D3765F0"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39EFBACE"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w:t>
      </w:r>
      <w:r w:rsidRPr="00665B1B">
        <w:rPr>
          <w:rFonts w:cs="Times New Roman"/>
          <w:sz w:val="22"/>
          <w:lang w:val="en-GB"/>
        </w:rPr>
        <w:lastRenderedPageBreak/>
        <w:t xml:space="preserve">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16DC5D05"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64ABD34E"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[25]</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0172C964"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2FAFDB0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r w:rsidR="00060CD7">
        <w:rPr>
          <w:rFonts w:cs="Times New Roman"/>
          <w:sz w:val="22"/>
          <w:lang w:val="en-GB"/>
        </w:rPr>
        <w:t xml:space="preserve"> [15]</w:t>
      </w:r>
      <w:r w:rsidR="007A2616" w:rsidRPr="00665B1B">
        <w:rPr>
          <w:rFonts w:cs="Times New Roman"/>
          <w:sz w:val="22"/>
          <w:lang w:val="en-GB"/>
        </w:rPr>
        <w:t>.</w:t>
      </w:r>
    </w:p>
    <w:p w14:paraId="31544544" w14:textId="7505978D"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7D6E108A"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w:t>
      </w:r>
      <w:r w:rsidR="004E4243">
        <w:rPr>
          <w:rFonts w:cs="Times New Roman"/>
          <w:sz w:val="22"/>
          <w:lang w:val="en-GB"/>
        </w:rPr>
        <w:t>7</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lastRenderedPageBreak/>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3F73AB9D"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w:t>
      </w:r>
      <w:r w:rsidRPr="00665B1B">
        <w:rPr>
          <w:rFonts w:cs="Times New Roman"/>
          <w:sz w:val="22"/>
          <w:lang w:val="en-GB"/>
        </w:rPr>
        <w:t xml:space="preserve">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2FF1BD73"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w:t>
      </w:r>
      <w:r w:rsidR="00926A56">
        <w:rPr>
          <w:rFonts w:cs="Times New Roman"/>
          <w:sz w:val="22"/>
          <w:lang w:val="en-GB"/>
        </w:rPr>
        <w:t>6</w:t>
      </w:r>
      <w:r>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lastRenderedPageBreak/>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8697201"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w:t>
      </w:r>
      <w:proofErr w:type="gramStart"/>
      <w:r w:rsidRPr="00665B1B">
        <w:rPr>
          <w:rFonts w:cs="Times New Roman"/>
          <w:sz w:val="22"/>
          <w:lang w:val="en-GB"/>
        </w:rPr>
        <w:t>applied .</w:t>
      </w:r>
      <w:proofErr w:type="gramEnd"/>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087B1AB8"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w:t>
      </w:r>
      <w:r w:rsidR="00ED275A">
        <w:rPr>
          <w:rFonts w:cs="Times New Roman"/>
          <w:sz w:val="22"/>
          <w:lang w:val="en-GB"/>
        </w:rPr>
        <w:t xml:space="preserve"> [9]</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0657F175"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w:t>
      </w:r>
      <w:r w:rsidRPr="00B977AB">
        <w:rPr>
          <w:rFonts w:cs="Times New Roman"/>
          <w:sz w:val="22"/>
          <w:lang w:val="en-GB"/>
        </w:rPr>
        <w:lastRenderedPageBreak/>
        <w:t xml:space="preserve">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06A9DB64"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A643B0">
        <w:rPr>
          <w:rFonts w:cs="Times New Roman"/>
          <w:sz w:val="22"/>
          <w:lang w:val="en-GB"/>
        </w:rPr>
        <w:t>.</w:t>
      </w:r>
      <w:r w:rsidR="00D865FE">
        <w:rPr>
          <w:rFonts w:cs="Times New Roman"/>
          <w:sz w:val="22"/>
          <w:lang w:val="en-GB"/>
        </w:rPr>
        <w:br/>
      </w:r>
      <w:r w:rsidR="00D865FE">
        <w:rPr>
          <w:rFonts w:cs="Times New Roman"/>
          <w:sz w:val="22"/>
          <w:lang w:val="en-GB"/>
        </w:rPr>
        <w:br/>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lastRenderedPageBreak/>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44A27F09" w:rsidR="00045A20" w:rsidRPr="00045A20" w:rsidRDefault="004F3015" w:rsidP="00045A20">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38352A">
        <w:rPr>
          <w:rFonts w:ascii="Times New Roman" w:eastAsia="Times New Roman" w:hAnsi="Times New Roman" w:cs="Times New Roman"/>
          <w:sz w:val="20"/>
          <w:szCs w:val="20"/>
          <w:lang w:val="en-US"/>
        </w:rPr>
        <w:t>Booch</w:t>
      </w:r>
      <w:proofErr w:type="spellEnd"/>
      <w:r w:rsidRPr="0038352A">
        <w:rPr>
          <w:rFonts w:ascii="Times New Roman" w:eastAsia="Times New Roman" w:hAnsi="Times New Roman" w:cs="Times New Roman"/>
          <w:sz w:val="20"/>
          <w:szCs w:val="20"/>
          <w:lang w:val="en-US"/>
        </w:rPr>
        <w:t xml:space="preserve">, G., </w:t>
      </w:r>
      <w:proofErr w:type="spellStart"/>
      <w:r w:rsidRPr="0038352A">
        <w:rPr>
          <w:rFonts w:ascii="Times New Roman" w:eastAsia="Times New Roman" w:hAnsi="Times New Roman" w:cs="Times New Roman"/>
          <w:sz w:val="20"/>
          <w:szCs w:val="20"/>
          <w:lang w:val="en-US"/>
        </w:rPr>
        <w:t>Maksimchuk</w:t>
      </w:r>
      <w:proofErr w:type="spellEnd"/>
      <w:r w:rsidRPr="0038352A">
        <w:rPr>
          <w:rFonts w:ascii="Times New Roman" w:eastAsia="Times New Roman" w:hAnsi="Times New Roman" w:cs="Times New Roman"/>
          <w:sz w:val="20"/>
          <w:szCs w:val="20"/>
          <w:lang w:val="en-US"/>
        </w:rPr>
        <w:t xml:space="preserve">, R. A., Engle, M. W., Young, B. J., </w:t>
      </w:r>
      <w:proofErr w:type="spellStart"/>
      <w:r w:rsidRPr="0038352A">
        <w:rPr>
          <w:rFonts w:ascii="Times New Roman" w:eastAsia="Times New Roman" w:hAnsi="Times New Roman" w:cs="Times New Roman"/>
          <w:sz w:val="20"/>
          <w:szCs w:val="20"/>
          <w:lang w:val="en-US"/>
        </w:rPr>
        <w:t>Conallen</w:t>
      </w:r>
      <w:proofErr w:type="spellEnd"/>
      <w:r w:rsidRPr="0038352A">
        <w:rPr>
          <w:rFonts w:ascii="Times New Roman" w:eastAsia="Times New Roman" w:hAnsi="Times New Roman" w:cs="Times New Roman"/>
          <w:sz w:val="20"/>
          <w:szCs w:val="20"/>
          <w:lang w:val="en-US"/>
        </w:rPr>
        <w:t>,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5"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1C77C0F3"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w:t>
      </w:r>
      <w:r w:rsidR="00F2577D">
        <w:rPr>
          <w:i/>
          <w:iCs/>
        </w:rPr>
        <w:t>a</w:t>
      </w:r>
      <w:r w:rsidRPr="00F30A18">
        <w:rPr>
          <w:i/>
          <w:iCs/>
        </w:rPr>
        <w:t xml:space="preserve">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0164B888" w:rsidR="004F3015" w:rsidRDefault="004F3015" w:rsidP="004F3015">
      <w:pPr>
        <w:pStyle w:val="Bibliography"/>
        <w:numPr>
          <w:ilvl w:val="0"/>
          <w:numId w:val="3"/>
        </w:numPr>
        <w:spacing w:line="240" w:lineRule="auto"/>
        <w:jc w:val="both"/>
      </w:pPr>
      <w:r>
        <w:t xml:space="preserve">Kumar, V.,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F7A1D86" w:rsidR="004F3015" w:rsidRDefault="004F3015" w:rsidP="004F3015">
      <w:pPr>
        <w:pStyle w:val="Bibliography"/>
        <w:numPr>
          <w:ilvl w:val="0"/>
          <w:numId w:val="3"/>
        </w:numPr>
        <w:spacing w:line="240" w:lineRule="auto"/>
        <w:jc w:val="both"/>
      </w:pPr>
      <w:r>
        <w:t xml:space="preserve">Martin, R. C.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56F2B1E5"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60C046EC" w:rsid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w:t>
      </w:r>
      <w:r w:rsidR="006C16C6">
        <w:rPr>
          <w:i/>
          <w:iCs/>
        </w:rPr>
        <w:t>d</w:t>
      </w:r>
      <w:r w:rsidRPr="003C3B6A">
        <w:rPr>
          <w:i/>
          <w:iCs/>
        </w:rPr>
        <w:t xml:space="preserve">riven </w:t>
      </w:r>
      <w:r w:rsidR="006C16C6">
        <w:rPr>
          <w:i/>
          <w:iCs/>
        </w:rPr>
        <w:t>d</w:t>
      </w:r>
      <w:r w:rsidRPr="003C3B6A">
        <w:rPr>
          <w:i/>
          <w:iCs/>
        </w:rPr>
        <w:t>esign applied to land administration system development: Lessons from the Netherlands. Land Use Policy</w:t>
      </w:r>
      <w:r w:rsidRPr="003C3B6A">
        <w:t xml:space="preserve">, 104, 105379. </w:t>
      </w:r>
      <w:hyperlink r:id="rId18" w:history="1">
        <w:r w:rsidR="00377A0C" w:rsidRPr="00D3798E">
          <w:rPr>
            <w:rStyle w:val="Hyperlink"/>
          </w:rPr>
          <w:t>https://doi.org/10.1016/j.landusepol.2021.105379</w:t>
        </w:r>
      </w:hyperlink>
    </w:p>
    <w:p w14:paraId="5F375E87" w14:textId="2ECC3C71" w:rsidR="00377A0C" w:rsidRP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19"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7E338CD2" w14:textId="7B5EC49A"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 xml:space="preserve">Towards a UML </w:t>
      </w:r>
      <w:r w:rsidR="006E2F44">
        <w:rPr>
          <w:i/>
          <w:iCs/>
        </w:rPr>
        <w:t>p</w:t>
      </w:r>
      <w:r w:rsidRPr="00885F3E">
        <w:rPr>
          <w:i/>
          <w:iCs/>
        </w:rPr>
        <w:t xml:space="preserve">rofile for </w:t>
      </w:r>
      <w:r w:rsidR="006E2F44">
        <w:rPr>
          <w:i/>
          <w:iCs/>
        </w:rPr>
        <w:t>d</w:t>
      </w:r>
      <w:r w:rsidRPr="00885F3E">
        <w:rPr>
          <w:i/>
          <w:iCs/>
        </w:rPr>
        <w:t>omain-</w:t>
      </w:r>
      <w:r w:rsidR="006E2F44">
        <w:rPr>
          <w:i/>
          <w:iCs/>
        </w:rPr>
        <w:t>d</w:t>
      </w:r>
      <w:r w:rsidRPr="00885F3E">
        <w:rPr>
          <w:i/>
          <w:iCs/>
        </w:rPr>
        <w:t xml:space="preserve">riven </w:t>
      </w:r>
      <w:r w:rsidR="006E2F44">
        <w:rPr>
          <w:i/>
          <w:iCs/>
        </w:rPr>
        <w:t>d</w:t>
      </w:r>
      <w:r w:rsidRPr="00885F3E">
        <w:rPr>
          <w:i/>
          <w:iCs/>
        </w:rPr>
        <w:t xml:space="preserve">esign of </w:t>
      </w:r>
      <w:r w:rsidR="006E2F44">
        <w:rPr>
          <w:i/>
          <w:iCs/>
        </w:rPr>
        <w:t>m</w:t>
      </w:r>
      <w:r w:rsidRPr="00885F3E">
        <w:rPr>
          <w:i/>
          <w:iCs/>
        </w:rPr>
        <w:t xml:space="preserve">icroservice </w:t>
      </w:r>
      <w:r w:rsidR="006E2F44">
        <w:rPr>
          <w:i/>
          <w:iCs/>
        </w:rPr>
        <w:t>a</w:t>
      </w:r>
      <w:r w:rsidRPr="00885F3E">
        <w:rPr>
          <w:i/>
          <w:iCs/>
        </w:rPr>
        <w:t>rchitectures</w:t>
      </w:r>
      <w:r>
        <w:t xml:space="preserve">. </w:t>
      </w:r>
      <w:r w:rsidR="006E2F44" w:rsidRPr="006E2F44">
        <w:t xml:space="preserve">. In A. Cerone &amp; M. Roveri (Eds.), </w:t>
      </w:r>
      <w:r w:rsidR="006E2F44" w:rsidRPr="006E2F44">
        <w:rPr>
          <w:i/>
          <w:iCs/>
        </w:rPr>
        <w:t>Software engineering and formal methods</w:t>
      </w:r>
      <w:r w:rsidR="006E2F44" w:rsidRPr="006E2F44">
        <w:t xml:space="preserve">: SEFM 2017 </w:t>
      </w:r>
      <w:r w:rsidR="006E2F44" w:rsidRPr="006E2F44">
        <w:rPr>
          <w:i/>
          <w:iCs/>
        </w:rPr>
        <w:t>collocated workshops</w:t>
      </w:r>
      <w:r w:rsidR="006E2F44" w:rsidRPr="006E2F44">
        <w:t>: DataMod, FAACS, MSE, CoSim-CPS, and FOCLASA, Trento, Italy, September 4-5, 2017</w:t>
      </w:r>
      <w:r>
        <w:t xml:space="preserve"> (pp. 230–245). Springer</w:t>
      </w:r>
      <w:r w:rsidR="006E2F44">
        <w:t xml:space="preserve"> </w:t>
      </w:r>
      <w:r w:rsidR="006E2F44" w:rsidRPr="006E2F44">
        <w:t>International Publishing</w:t>
      </w:r>
      <w:r>
        <w:t xml:space="preserve">. </w:t>
      </w:r>
      <w:hyperlink r:id="rId20" w:history="1">
        <w:r w:rsidR="00E30C7A" w:rsidRPr="00523845">
          <w:rPr>
            <w:rStyle w:val="Hyperlink"/>
          </w:rPr>
          <w:t>https://doi.org/10.1007/978-3-319-74781-1_17</w:t>
        </w:r>
      </w:hyperlink>
    </w:p>
    <w:p w14:paraId="1AAE49DB" w14:textId="2D589A09"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 xml:space="preserve">Challenges of </w:t>
      </w:r>
      <w:r w:rsidR="00966F58">
        <w:rPr>
          <w:i/>
          <w:iCs/>
        </w:rPr>
        <w:t>d</w:t>
      </w:r>
      <w:r w:rsidRPr="00885F3E">
        <w:rPr>
          <w:i/>
          <w:iCs/>
        </w:rPr>
        <w:t>omain-</w:t>
      </w:r>
      <w:r w:rsidR="00966F58">
        <w:rPr>
          <w:i/>
          <w:iCs/>
        </w:rPr>
        <w:t>d</w:t>
      </w:r>
      <w:r w:rsidRPr="00885F3E">
        <w:rPr>
          <w:i/>
          <w:iCs/>
        </w:rPr>
        <w:t xml:space="preserve">riven </w:t>
      </w:r>
      <w:r w:rsidR="00966F58">
        <w:rPr>
          <w:i/>
          <w:iCs/>
        </w:rPr>
        <w:t>m</w:t>
      </w:r>
      <w:r w:rsidRPr="00885F3E">
        <w:rPr>
          <w:i/>
          <w:iCs/>
        </w:rPr>
        <w:t xml:space="preserve">icroservice </w:t>
      </w:r>
      <w:r w:rsidR="00966F58">
        <w:rPr>
          <w:i/>
          <w:iCs/>
        </w:rPr>
        <w:t>d</w:t>
      </w:r>
      <w:r w:rsidRPr="00885F3E">
        <w:rPr>
          <w:i/>
          <w:iCs/>
        </w:rPr>
        <w:t xml:space="preserve">esign: A </w:t>
      </w:r>
      <w:r w:rsidR="00966F58">
        <w:rPr>
          <w:i/>
          <w:iCs/>
        </w:rPr>
        <w:t>m</w:t>
      </w:r>
      <w:r w:rsidRPr="00885F3E">
        <w:rPr>
          <w:i/>
          <w:iCs/>
        </w:rPr>
        <w:t>odel-</w:t>
      </w:r>
      <w:r w:rsidR="00966F58">
        <w:rPr>
          <w:i/>
          <w:iCs/>
        </w:rPr>
        <w:t>d</w:t>
      </w:r>
      <w:r w:rsidRPr="00885F3E">
        <w:rPr>
          <w:i/>
          <w:iCs/>
        </w:rPr>
        <w:t xml:space="preserve">riven </w:t>
      </w:r>
      <w:r w:rsidR="00966F58">
        <w:rPr>
          <w:i/>
          <w:iCs/>
        </w:rPr>
        <w:t>p</w:t>
      </w:r>
      <w:r w:rsidRPr="00885F3E">
        <w:rPr>
          <w:i/>
          <w:iCs/>
        </w:rPr>
        <w:t>erspective</w:t>
      </w:r>
      <w:r>
        <w:t xml:space="preserve">. </w:t>
      </w:r>
      <w:r>
        <w:rPr>
          <w:i/>
          <w:iCs/>
        </w:rPr>
        <w:t>IEEE Software</w:t>
      </w:r>
      <w:r>
        <w:t xml:space="preserve">, </w:t>
      </w:r>
      <w:r>
        <w:rPr>
          <w:i/>
          <w:iCs/>
        </w:rPr>
        <w:t>35</w:t>
      </w:r>
      <w:r>
        <w:t xml:space="preserve">(3), 36–43. </w:t>
      </w:r>
      <w:hyperlink r:id="rId21" w:history="1">
        <w:r w:rsidR="008141C8" w:rsidRPr="00E67B03">
          <w:rPr>
            <w:rStyle w:val="Hyperlink"/>
          </w:rPr>
          <w:t>https://doi.org/10.1109/ms.2018.2141028</w:t>
        </w:r>
      </w:hyperlink>
    </w:p>
    <w:p w14:paraId="17469BD0" w14:textId="301A7A2D"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 xml:space="preserve">Overview of a </w:t>
      </w:r>
      <w:r w:rsidR="00002BAB">
        <w:rPr>
          <w:i/>
          <w:iCs/>
        </w:rPr>
        <w:t>DDD</w:t>
      </w:r>
      <w:r w:rsidRPr="008141C8">
        <w:rPr>
          <w:i/>
          <w:iCs/>
        </w:rPr>
        <w:t xml:space="preserve"> </w:t>
      </w:r>
      <w:r w:rsidR="00002BAB">
        <w:rPr>
          <w:i/>
          <w:iCs/>
        </w:rPr>
        <w:t>a</w:t>
      </w:r>
      <w:r w:rsidRPr="008141C8">
        <w:rPr>
          <w:i/>
          <w:iCs/>
        </w:rPr>
        <w:t xml:space="preserve">pproach to </w:t>
      </w:r>
      <w:r w:rsidR="00002BAB">
        <w:rPr>
          <w:i/>
          <w:iCs/>
        </w:rPr>
        <w:t>b</w:t>
      </w:r>
      <w:r w:rsidRPr="008141C8">
        <w:rPr>
          <w:i/>
          <w:iCs/>
        </w:rPr>
        <w:t xml:space="preserve">uild </w:t>
      </w:r>
      <w:r w:rsidR="00002BAB">
        <w:rPr>
          <w:i/>
          <w:iCs/>
        </w:rPr>
        <w:t>m</w:t>
      </w:r>
      <w:r w:rsidRPr="008141C8">
        <w:rPr>
          <w:i/>
          <w:iCs/>
        </w:rPr>
        <w:t>icroservice-</w:t>
      </w:r>
      <w:r w:rsidR="00002BAB">
        <w:rPr>
          <w:i/>
          <w:iCs/>
        </w:rPr>
        <w:t>b</w:t>
      </w:r>
      <w:r w:rsidRPr="008141C8">
        <w:rPr>
          <w:i/>
          <w:iCs/>
        </w:rPr>
        <w:t>ased Applications</w:t>
      </w:r>
      <w:r w:rsidRPr="008141C8">
        <w:t xml:space="preserve">. Conference: </w:t>
      </w:r>
      <w:r w:rsidRPr="00002BAB">
        <w:rPr>
          <w:i/>
          <w:iCs/>
        </w:rPr>
        <w:t>Third International Conference on Advances and Trends in Software Engineering</w:t>
      </w:r>
      <w:r w:rsidRPr="008141C8">
        <w:t xml:space="preserve"> (SOFTENG 2017), 79–87. https://www.thinkmind.org/articles/softeng_2017_4_30_64138.pdf</w:t>
      </w:r>
    </w:p>
    <w:p w14:paraId="33633F29" w14:textId="133E889C"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7D575163"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292A49">
        <w:rPr>
          <w:rFonts w:ascii="Times New Roman" w:eastAsia="Times New Roman" w:hAnsi="Times New Roman" w:cs="Times New Roman"/>
          <w:i/>
          <w:iCs/>
          <w:sz w:val="20"/>
          <w:szCs w:val="20"/>
          <w:lang w:eastAsia="en-GB"/>
        </w:rPr>
        <w:t xml:space="preserve">Supporting large-scale agile development with </w:t>
      </w:r>
      <w:r w:rsidRPr="00292A49">
        <w:rPr>
          <w:rFonts w:ascii="Times New Roman" w:eastAsia="Times New Roman" w:hAnsi="Times New Roman" w:cs="Times New Roman"/>
          <w:i/>
          <w:iCs/>
          <w:sz w:val="20"/>
          <w:szCs w:val="20"/>
          <w:lang w:eastAsia="en-GB"/>
        </w:rPr>
        <w:t>DDD</w:t>
      </w:r>
      <w:r w:rsidRPr="00292A49">
        <w:rPr>
          <w:rFonts w:ascii="Times New Roman" w:eastAsia="Times New Roman" w:hAnsi="Times New Roman" w:cs="Times New Roman"/>
          <w:sz w:val="20"/>
          <w:szCs w:val="20"/>
          <w:lang w:eastAsia="en-GB"/>
        </w:rPr>
        <w:t xml:space="preserve">. In J. Garbajosa, X. Wang, &amp; A. Aguiar (Eds.),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XP 2018, Porto, Portugal, May 21–25, 2018, Proceedings (pp. 232–247). Springer. https://doi.org/10.1007/978-3-319-91602-6_16</w:t>
      </w:r>
    </w:p>
    <w:p w14:paraId="3BD95587" w14:textId="3AC8E6C1" w:rsidR="004F3015" w:rsidRDefault="004F3015" w:rsidP="004F3015">
      <w:pPr>
        <w:pStyle w:val="Bibliography"/>
        <w:numPr>
          <w:ilvl w:val="0"/>
          <w:numId w:val="3"/>
        </w:numPr>
        <w:spacing w:line="240" w:lineRule="auto"/>
        <w:jc w:val="both"/>
      </w:pPr>
      <w:r>
        <w:lastRenderedPageBreak/>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p>
    <w:p w14:paraId="1BB2DE48" w14:textId="429E804A" w:rsidR="004F3015" w:rsidRDefault="004F3015" w:rsidP="004F3015">
      <w:pPr>
        <w:pStyle w:val="Bibliography"/>
        <w:numPr>
          <w:ilvl w:val="0"/>
          <w:numId w:val="3"/>
        </w:numPr>
        <w:spacing w:line="240" w:lineRule="auto"/>
        <w:jc w:val="both"/>
      </w:pPr>
      <w:r>
        <w:t>Vettor, R.</w:t>
      </w:r>
      <w:r w:rsidR="00DC549C">
        <w:t>,</w:t>
      </w:r>
      <w:r w:rsidR="0042776F" w:rsidRPr="0042776F">
        <w:t xml:space="preserve"> </w:t>
      </w:r>
      <w:r w:rsidR="0042776F" w:rsidRPr="0042776F">
        <w:t xml:space="preserve">&amp;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Microsoft Learn. https://learn.microsoft.com/en-us/dotnet/architecture/cloud-native/</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C6A244F"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esign with .NET Core: Tackling complexity in the heart of software by putting DDD 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56AEA" w14:textId="77777777" w:rsidR="00D43B21" w:rsidRDefault="00D43B21" w:rsidP="00110ACC">
      <w:pPr>
        <w:spacing w:after="0" w:line="240" w:lineRule="auto"/>
      </w:pPr>
      <w:r>
        <w:separator/>
      </w:r>
    </w:p>
  </w:endnote>
  <w:endnote w:type="continuationSeparator" w:id="0">
    <w:p w14:paraId="25EEEAE1" w14:textId="77777777" w:rsidR="00D43B21" w:rsidRDefault="00D43B2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98E0" w14:textId="77777777" w:rsidR="00D43B21" w:rsidRDefault="00D43B21" w:rsidP="00110ACC">
      <w:pPr>
        <w:spacing w:after="0" w:line="240" w:lineRule="auto"/>
      </w:pPr>
      <w:r>
        <w:separator/>
      </w:r>
    </w:p>
  </w:footnote>
  <w:footnote w:type="continuationSeparator" w:id="0">
    <w:p w14:paraId="5CC880A5" w14:textId="77777777" w:rsidR="00D43B21" w:rsidRDefault="00D43B2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5060"/>
    <w:rsid w:val="000D02CA"/>
    <w:rsid w:val="000D0C06"/>
    <w:rsid w:val="000D0F1F"/>
    <w:rsid w:val="000D21F0"/>
    <w:rsid w:val="000D2456"/>
    <w:rsid w:val="000D3EA7"/>
    <w:rsid w:val="000E1E65"/>
    <w:rsid w:val="000E468E"/>
    <w:rsid w:val="000E4CFB"/>
    <w:rsid w:val="000E5FD7"/>
    <w:rsid w:val="000F07EE"/>
    <w:rsid w:val="000F1B71"/>
    <w:rsid w:val="00102623"/>
    <w:rsid w:val="001068C7"/>
    <w:rsid w:val="00110ACC"/>
    <w:rsid w:val="00112220"/>
    <w:rsid w:val="00113AA8"/>
    <w:rsid w:val="00115DA8"/>
    <w:rsid w:val="00121BA3"/>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80605"/>
    <w:rsid w:val="001826BA"/>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B6384"/>
    <w:rsid w:val="001C141B"/>
    <w:rsid w:val="001C245B"/>
    <w:rsid w:val="001C2B9C"/>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27E3"/>
    <w:rsid w:val="002364CA"/>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3B37"/>
    <w:rsid w:val="004C42E1"/>
    <w:rsid w:val="004C4378"/>
    <w:rsid w:val="004C6787"/>
    <w:rsid w:val="004C7E40"/>
    <w:rsid w:val="004D0AF0"/>
    <w:rsid w:val="004D5CA7"/>
    <w:rsid w:val="004D7DED"/>
    <w:rsid w:val="004E2741"/>
    <w:rsid w:val="004E2A15"/>
    <w:rsid w:val="004E344E"/>
    <w:rsid w:val="004E4243"/>
    <w:rsid w:val="004E7668"/>
    <w:rsid w:val="004F282E"/>
    <w:rsid w:val="004F3015"/>
    <w:rsid w:val="004F306E"/>
    <w:rsid w:val="004F4697"/>
    <w:rsid w:val="00500914"/>
    <w:rsid w:val="00501C81"/>
    <w:rsid w:val="00503D20"/>
    <w:rsid w:val="00511172"/>
    <w:rsid w:val="00512223"/>
    <w:rsid w:val="00513B7C"/>
    <w:rsid w:val="0051570E"/>
    <w:rsid w:val="005222C7"/>
    <w:rsid w:val="00527322"/>
    <w:rsid w:val="005330CD"/>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6389"/>
    <w:rsid w:val="0073661C"/>
    <w:rsid w:val="007400DA"/>
    <w:rsid w:val="00743B87"/>
    <w:rsid w:val="0075059D"/>
    <w:rsid w:val="0075063B"/>
    <w:rsid w:val="007514C3"/>
    <w:rsid w:val="00757BC4"/>
    <w:rsid w:val="0076479A"/>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3CB"/>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553A"/>
    <w:rsid w:val="0092581F"/>
    <w:rsid w:val="00926A56"/>
    <w:rsid w:val="0093241A"/>
    <w:rsid w:val="009339A9"/>
    <w:rsid w:val="00937893"/>
    <w:rsid w:val="00942206"/>
    <w:rsid w:val="00944A4F"/>
    <w:rsid w:val="0094599D"/>
    <w:rsid w:val="009519E1"/>
    <w:rsid w:val="009623F2"/>
    <w:rsid w:val="00966F58"/>
    <w:rsid w:val="009723E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C4D8D"/>
    <w:rsid w:val="009D1672"/>
    <w:rsid w:val="009D20B7"/>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2F76"/>
    <w:rsid w:val="00A4515C"/>
    <w:rsid w:val="00A47999"/>
    <w:rsid w:val="00A50C08"/>
    <w:rsid w:val="00A51EDE"/>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74A4"/>
    <w:rsid w:val="00AF0B3E"/>
    <w:rsid w:val="00AF5ACE"/>
    <w:rsid w:val="00AF61B6"/>
    <w:rsid w:val="00B03CA6"/>
    <w:rsid w:val="00B056EB"/>
    <w:rsid w:val="00B15E90"/>
    <w:rsid w:val="00B17387"/>
    <w:rsid w:val="00B20EDB"/>
    <w:rsid w:val="00B23872"/>
    <w:rsid w:val="00B2391A"/>
    <w:rsid w:val="00B25802"/>
    <w:rsid w:val="00B25FE6"/>
    <w:rsid w:val="00B309E4"/>
    <w:rsid w:val="00B3468B"/>
    <w:rsid w:val="00B369A9"/>
    <w:rsid w:val="00B405F0"/>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323E"/>
    <w:rsid w:val="00C245C5"/>
    <w:rsid w:val="00C247B9"/>
    <w:rsid w:val="00C259A8"/>
    <w:rsid w:val="00C25C9F"/>
    <w:rsid w:val="00C34149"/>
    <w:rsid w:val="00C404B0"/>
    <w:rsid w:val="00C41642"/>
    <w:rsid w:val="00C44A96"/>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DF9"/>
    <w:rsid w:val="00C9517F"/>
    <w:rsid w:val="00CA346A"/>
    <w:rsid w:val="00CA7C34"/>
    <w:rsid w:val="00CB01AC"/>
    <w:rsid w:val="00CB2171"/>
    <w:rsid w:val="00CB472C"/>
    <w:rsid w:val="00CB58EE"/>
    <w:rsid w:val="00CB6EE4"/>
    <w:rsid w:val="00CD28DD"/>
    <w:rsid w:val="00CD3561"/>
    <w:rsid w:val="00CD358C"/>
    <w:rsid w:val="00CD6086"/>
    <w:rsid w:val="00CE067B"/>
    <w:rsid w:val="00CE2011"/>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3FA"/>
    <w:rsid w:val="00D81C3A"/>
    <w:rsid w:val="00D81CEF"/>
    <w:rsid w:val="00D865FE"/>
    <w:rsid w:val="00D974CD"/>
    <w:rsid w:val="00DA1BDC"/>
    <w:rsid w:val="00DA3A9A"/>
    <w:rsid w:val="00DB4D2A"/>
    <w:rsid w:val="00DC098E"/>
    <w:rsid w:val="00DC19B1"/>
    <w:rsid w:val="00DC549C"/>
    <w:rsid w:val="00DD0CDC"/>
    <w:rsid w:val="00DD2463"/>
    <w:rsid w:val="00DE472D"/>
    <w:rsid w:val="00DE5F0D"/>
    <w:rsid w:val="00DF4CF1"/>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6B7"/>
    <w:rsid w:val="00E55821"/>
    <w:rsid w:val="00E60CBC"/>
    <w:rsid w:val="00E62DE2"/>
    <w:rsid w:val="00E639B6"/>
    <w:rsid w:val="00E72A2E"/>
    <w:rsid w:val="00E75CFE"/>
    <w:rsid w:val="00E76C33"/>
    <w:rsid w:val="00E81B6B"/>
    <w:rsid w:val="00E85709"/>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2577D"/>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016/j.landusepol.2021.105379" TargetMode="External"/><Relationship Id="rId3" Type="http://schemas.openxmlformats.org/officeDocument/2006/relationships/styles" Target="styles.xml"/><Relationship Id="rId21" Type="http://schemas.openxmlformats.org/officeDocument/2006/relationships/hyperlink" Target="https://doi.org/10.1109/ms.2018.21410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hyperlink" Target="https://doi.org/10.1007/978-3-319-74781-1_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23" Type="http://schemas.openxmlformats.org/officeDocument/2006/relationships/theme" Target="theme/theme1.xml"/><Relationship Id="rId10" Type="http://schemas.openxmlformats.org/officeDocument/2006/relationships/hyperlink" Target="https://www.temjournal.com/" TargetMode="External"/><Relationship Id="rId19" Type="http://schemas.openxmlformats.org/officeDocument/2006/relationships/hyperlink" Target="https://jeffreypalermo.com/2013/08/onion-architecture-part-4-after-four-yea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10</Pages>
  <Words>6403</Words>
  <Characters>36500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685</cp:revision>
  <cp:lastPrinted>2023-05-22T05:26:00Z</cp:lastPrinted>
  <dcterms:created xsi:type="dcterms:W3CDTF">2023-03-23T10:51:00Z</dcterms:created>
  <dcterms:modified xsi:type="dcterms:W3CDTF">2023-06-09T07:54:00Z</dcterms:modified>
</cp:coreProperties>
</file>