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51E2" w14:textId="77777777" w:rsidR="00C51AA5" w:rsidRDefault="00861DB6" w:rsidP="003C7D1A">
      <w:pPr>
        <w:ind w:firstLine="5954"/>
        <w:rPr>
          <w:i/>
        </w:rPr>
      </w:pPr>
      <w:r>
        <w:rPr>
          <w:i/>
        </w:rPr>
        <w:t xml:space="preserve"> ВХ. № НПД</w:t>
      </w:r>
      <w:r w:rsidR="003C7D1A">
        <w:rPr>
          <w:i/>
        </w:rPr>
        <w:t xml:space="preserve">………………/20…..г </w:t>
      </w:r>
    </w:p>
    <w:p w14:paraId="3EAC10A3" w14:textId="77777777" w:rsidR="00A830EA" w:rsidRDefault="00A830EA" w:rsidP="003C7D1A">
      <w:pPr>
        <w:rPr>
          <w:rFonts w:ascii="Arial" w:hAnsi="Arial" w:cs="Arial"/>
          <w:i/>
          <w:sz w:val="26"/>
          <w:szCs w:val="26"/>
        </w:rPr>
      </w:pPr>
    </w:p>
    <w:p w14:paraId="6A070645" w14:textId="77777777" w:rsidR="003C7D1A" w:rsidRPr="003C7D1A" w:rsidRDefault="003C7D1A" w:rsidP="003C7D1A">
      <w:pPr>
        <w:jc w:val="center"/>
        <w:rPr>
          <w:rFonts w:ascii="Arial" w:hAnsi="Arial" w:cs="Arial"/>
          <w:i/>
          <w:sz w:val="26"/>
          <w:szCs w:val="26"/>
        </w:rPr>
      </w:pPr>
      <w:r w:rsidRPr="003C7D1A">
        <w:rPr>
          <w:rFonts w:ascii="Arial" w:hAnsi="Arial" w:cs="Arial"/>
          <w:i/>
          <w:sz w:val="26"/>
          <w:szCs w:val="26"/>
        </w:rPr>
        <w:t xml:space="preserve">ПРОЕКТ ЗА </w:t>
      </w:r>
      <w:r w:rsidR="00C31B4F">
        <w:rPr>
          <w:rFonts w:ascii="Arial" w:hAnsi="Arial" w:cs="Arial"/>
          <w:i/>
          <w:sz w:val="26"/>
          <w:szCs w:val="26"/>
        </w:rPr>
        <w:t>ПОДПОМАГАНЕ РАЗРАБОТВАНЕТО НА ЕМПИРИЧНА ЧАСТ НА ДОКТОРСКА ДИСЕРТАЦИЯ</w:t>
      </w:r>
      <w:r w:rsidRPr="003C7D1A">
        <w:rPr>
          <w:rFonts w:ascii="Arial" w:hAnsi="Arial" w:cs="Arial"/>
          <w:i/>
          <w:sz w:val="26"/>
          <w:szCs w:val="26"/>
        </w:rPr>
        <w:t>,</w:t>
      </w:r>
    </w:p>
    <w:p w14:paraId="2A8862BA" w14:textId="77777777" w:rsidR="003C7D1A" w:rsidRPr="007533D6" w:rsidRDefault="003C7D1A" w:rsidP="003C7D1A">
      <w:pPr>
        <w:jc w:val="center"/>
        <w:rPr>
          <w:rFonts w:ascii="Arial" w:hAnsi="Arial" w:cs="Arial"/>
          <w:i/>
          <w:sz w:val="26"/>
          <w:szCs w:val="26"/>
          <w:highlight w:val="green"/>
        </w:rPr>
      </w:pPr>
      <w:r w:rsidRPr="003C7D1A">
        <w:rPr>
          <w:rFonts w:ascii="Arial" w:hAnsi="Arial" w:cs="Arial"/>
          <w:i/>
          <w:sz w:val="26"/>
          <w:szCs w:val="26"/>
        </w:rPr>
        <w:t xml:space="preserve">КАНДИДАТСТВАЩ ЗА ФИНАНСИРАНЕ ПРЕЗ </w:t>
      </w:r>
      <w:r w:rsidRPr="00F376F7">
        <w:rPr>
          <w:rFonts w:ascii="Arial" w:hAnsi="Arial" w:cs="Arial"/>
          <w:i/>
          <w:sz w:val="26"/>
          <w:szCs w:val="26"/>
        </w:rPr>
        <w:t>2</w:t>
      </w:r>
      <w:r w:rsidR="00C31B4F" w:rsidRPr="00F376F7">
        <w:rPr>
          <w:rFonts w:ascii="Arial" w:hAnsi="Arial" w:cs="Arial"/>
          <w:i/>
          <w:sz w:val="26"/>
          <w:szCs w:val="26"/>
        </w:rPr>
        <w:t>0</w:t>
      </w:r>
      <w:r w:rsidR="007533D6" w:rsidRPr="00F376F7">
        <w:rPr>
          <w:rFonts w:ascii="Arial" w:hAnsi="Arial" w:cs="Arial"/>
          <w:i/>
          <w:sz w:val="26"/>
          <w:szCs w:val="26"/>
        </w:rPr>
        <w:t>23</w:t>
      </w:r>
      <w:r w:rsidRPr="00F376F7">
        <w:rPr>
          <w:rFonts w:ascii="Arial" w:hAnsi="Arial" w:cs="Arial"/>
          <w:i/>
          <w:sz w:val="26"/>
          <w:szCs w:val="26"/>
        </w:rPr>
        <w:t xml:space="preserve"> Г.</w:t>
      </w:r>
    </w:p>
    <w:p w14:paraId="4D40555B" w14:textId="77777777" w:rsidR="00B24ED4" w:rsidRPr="007533D6" w:rsidRDefault="00B24ED4" w:rsidP="00B24ED4">
      <w:pPr>
        <w:spacing w:after="0"/>
        <w:jc w:val="center"/>
        <w:rPr>
          <w:rFonts w:ascii="Arial" w:hAnsi="Arial" w:cs="Arial"/>
          <w:i/>
          <w:sz w:val="20"/>
          <w:szCs w:val="20"/>
        </w:rPr>
      </w:pPr>
      <w:r w:rsidRPr="007533D6">
        <w:rPr>
          <w:rFonts w:ascii="Arial" w:hAnsi="Arial" w:cs="Arial"/>
          <w:i/>
          <w:sz w:val="20"/>
          <w:szCs w:val="20"/>
        </w:rPr>
        <w:t>По реда на НАРЕДБА за условията и реда за оценката, планирането,</w:t>
      </w:r>
    </w:p>
    <w:p w14:paraId="38177174" w14:textId="77777777" w:rsidR="00B24ED4" w:rsidRPr="007533D6" w:rsidRDefault="00B24ED4" w:rsidP="00B24ED4">
      <w:pPr>
        <w:spacing w:after="0"/>
        <w:jc w:val="center"/>
        <w:rPr>
          <w:rFonts w:ascii="Arial" w:hAnsi="Arial" w:cs="Arial"/>
          <w:i/>
          <w:sz w:val="20"/>
          <w:szCs w:val="20"/>
        </w:rPr>
      </w:pPr>
      <w:r w:rsidRPr="007533D6">
        <w:rPr>
          <w:rFonts w:ascii="Arial" w:hAnsi="Arial" w:cs="Arial"/>
          <w:i/>
          <w:sz w:val="20"/>
          <w:szCs w:val="20"/>
        </w:rPr>
        <w:t>разпределението и разходването на средствата от държавния</w:t>
      </w:r>
    </w:p>
    <w:p w14:paraId="76685078" w14:textId="77777777" w:rsidR="00B24ED4" w:rsidRPr="007533D6" w:rsidRDefault="00B24ED4" w:rsidP="00B24ED4">
      <w:pPr>
        <w:spacing w:after="0"/>
        <w:jc w:val="center"/>
        <w:rPr>
          <w:rFonts w:ascii="Arial" w:hAnsi="Arial" w:cs="Arial"/>
          <w:i/>
          <w:sz w:val="20"/>
          <w:szCs w:val="20"/>
        </w:rPr>
      </w:pPr>
      <w:r w:rsidRPr="007533D6">
        <w:rPr>
          <w:rFonts w:ascii="Arial" w:hAnsi="Arial" w:cs="Arial"/>
          <w:i/>
          <w:sz w:val="20"/>
          <w:szCs w:val="20"/>
        </w:rPr>
        <w:t>бюджет за финансиране на присъщата на държавните висши</w:t>
      </w:r>
    </w:p>
    <w:p w14:paraId="1AE409ED" w14:textId="77777777" w:rsidR="00B24ED4" w:rsidRPr="007533D6" w:rsidRDefault="00B24ED4" w:rsidP="00B24ED4">
      <w:pPr>
        <w:spacing w:after="0"/>
        <w:jc w:val="center"/>
        <w:rPr>
          <w:rFonts w:ascii="Arial" w:hAnsi="Arial" w:cs="Arial"/>
          <w:i/>
          <w:sz w:val="20"/>
          <w:szCs w:val="20"/>
        </w:rPr>
      </w:pPr>
      <w:r w:rsidRPr="007533D6">
        <w:rPr>
          <w:rFonts w:ascii="Arial" w:hAnsi="Arial" w:cs="Arial"/>
          <w:i/>
          <w:sz w:val="20"/>
          <w:szCs w:val="20"/>
        </w:rPr>
        <w:t>училища научна или художественотворческа дейност</w:t>
      </w:r>
    </w:p>
    <w:p w14:paraId="395D862A" w14:textId="77777777" w:rsidR="00B24ED4" w:rsidRPr="007533D6" w:rsidRDefault="00B24ED4" w:rsidP="00B24ED4">
      <w:pPr>
        <w:spacing w:after="0"/>
        <w:jc w:val="center"/>
        <w:rPr>
          <w:rFonts w:ascii="Arial" w:hAnsi="Arial" w:cs="Arial"/>
          <w:i/>
          <w:sz w:val="20"/>
          <w:szCs w:val="20"/>
        </w:rPr>
      </w:pPr>
      <w:r w:rsidRPr="007533D6">
        <w:rPr>
          <w:rFonts w:ascii="Arial" w:hAnsi="Arial" w:cs="Arial"/>
          <w:i/>
          <w:sz w:val="20"/>
          <w:szCs w:val="20"/>
        </w:rPr>
        <w:t>Обн. - ДВ, бр. 73 от 16.09.2016 г., в сила от 01.01.2017 г.</w:t>
      </w:r>
    </w:p>
    <w:p w14:paraId="53F0D485" w14:textId="77777777" w:rsidR="00B24ED4" w:rsidRPr="007533D6" w:rsidRDefault="00B24ED4" w:rsidP="00B24ED4">
      <w:pPr>
        <w:spacing w:after="0"/>
        <w:jc w:val="center"/>
        <w:rPr>
          <w:rFonts w:ascii="Arial" w:hAnsi="Arial" w:cs="Arial"/>
          <w:i/>
          <w:sz w:val="20"/>
          <w:szCs w:val="20"/>
        </w:rPr>
      </w:pPr>
      <w:r w:rsidRPr="007533D6">
        <w:rPr>
          <w:rFonts w:ascii="Arial" w:hAnsi="Arial" w:cs="Arial"/>
          <w:i/>
          <w:sz w:val="20"/>
          <w:szCs w:val="20"/>
        </w:rPr>
        <w:t>Приета с ПМС № 233 от 10.09.2016 г.</w:t>
      </w:r>
    </w:p>
    <w:p w14:paraId="5915D54C" w14:textId="77777777" w:rsidR="003C7D1A" w:rsidRPr="00F376F7" w:rsidRDefault="00B24ED4" w:rsidP="00277ABC">
      <w:pPr>
        <w:spacing w:before="1120"/>
        <w:jc w:val="both"/>
        <w:rPr>
          <w:rFonts w:ascii="Arial" w:hAnsi="Arial" w:cs="Arial"/>
          <w:i/>
          <w:sz w:val="26"/>
          <w:szCs w:val="26"/>
        </w:rPr>
      </w:pPr>
      <w:r w:rsidRPr="00F376F7">
        <w:rPr>
          <w:rFonts w:ascii="Arial" w:hAnsi="Arial" w:cs="Arial"/>
          <w:i/>
          <w:sz w:val="26"/>
          <w:szCs w:val="26"/>
        </w:rPr>
        <w:t>НАИМЕНОВАНИЕ НА ПРОЕКТА</w:t>
      </w:r>
      <w:r w:rsidR="003C7D1A" w:rsidRPr="00F376F7">
        <w:rPr>
          <w:rFonts w:ascii="Arial" w:hAnsi="Arial" w:cs="Arial"/>
          <w:i/>
          <w:sz w:val="26"/>
          <w:szCs w:val="26"/>
        </w:rPr>
        <w:t>:</w:t>
      </w:r>
      <w:r w:rsidR="007533D6" w:rsidRPr="00F376F7">
        <w:t xml:space="preserve"> </w:t>
      </w:r>
      <w:r w:rsidR="009E181C" w:rsidRPr="00F376F7">
        <w:t>"</w:t>
      </w:r>
      <w:r w:rsidR="007533D6" w:rsidRPr="00F376F7">
        <w:rPr>
          <w:rFonts w:ascii="Arial" w:hAnsi="Arial" w:cs="Arial"/>
          <w:i/>
          <w:sz w:val="26"/>
          <w:szCs w:val="26"/>
        </w:rPr>
        <w:t>Облачна информационна система за управление на поръчките от клиенти в производствено предприятие</w:t>
      </w:r>
      <w:r w:rsidR="009E181C" w:rsidRPr="00F376F7">
        <w:rPr>
          <w:rFonts w:ascii="Arial" w:hAnsi="Arial" w:cs="Arial"/>
          <w:i/>
          <w:sz w:val="26"/>
          <w:szCs w:val="26"/>
        </w:rPr>
        <w:t>"</w:t>
      </w:r>
    </w:p>
    <w:p w14:paraId="35A49C6D" w14:textId="77777777" w:rsidR="003C7D1A" w:rsidRPr="00F376F7" w:rsidRDefault="003C7D1A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F376F7">
        <w:rPr>
          <w:rFonts w:ascii="Arial" w:hAnsi="Arial" w:cs="Arial"/>
          <w:i/>
          <w:sz w:val="26"/>
          <w:szCs w:val="26"/>
        </w:rPr>
        <w:t>РЪКОВОДИТЕЛ:</w:t>
      </w:r>
      <w:r w:rsidR="007533D6" w:rsidRPr="00F376F7">
        <w:t xml:space="preserve"> </w:t>
      </w:r>
      <w:r w:rsidR="007533D6" w:rsidRPr="00F376F7">
        <w:rPr>
          <w:rFonts w:ascii="Arial" w:hAnsi="Arial" w:cs="Arial"/>
          <w:i/>
          <w:sz w:val="26"/>
          <w:szCs w:val="26"/>
        </w:rPr>
        <w:t>доц. д.н. Павел Петров</w:t>
      </w:r>
    </w:p>
    <w:p w14:paraId="0711D6F2" w14:textId="77777777" w:rsidR="00861DB6" w:rsidRDefault="00861DB6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F376F7">
        <w:rPr>
          <w:rFonts w:ascii="Arial" w:hAnsi="Arial" w:cs="Arial"/>
          <w:i/>
          <w:sz w:val="26"/>
          <w:szCs w:val="26"/>
        </w:rPr>
        <w:t>ИЗПЪЛНИТЕЛ</w:t>
      </w:r>
      <w:r w:rsidR="00E501EE" w:rsidRPr="00F376F7">
        <w:rPr>
          <w:rFonts w:ascii="Arial" w:hAnsi="Arial" w:cs="Arial"/>
          <w:i/>
          <w:sz w:val="26"/>
          <w:szCs w:val="26"/>
          <w:lang w:val="ru-RU"/>
        </w:rPr>
        <w:t xml:space="preserve"> (</w:t>
      </w:r>
      <w:r w:rsidR="00E501EE" w:rsidRPr="00F376F7">
        <w:rPr>
          <w:rFonts w:ascii="Arial" w:hAnsi="Arial" w:cs="Arial"/>
          <w:i/>
          <w:sz w:val="26"/>
          <w:szCs w:val="26"/>
        </w:rPr>
        <w:t>докторант)</w:t>
      </w:r>
      <w:r w:rsidRPr="00F376F7">
        <w:rPr>
          <w:rFonts w:ascii="Arial" w:hAnsi="Arial" w:cs="Arial"/>
          <w:i/>
          <w:sz w:val="26"/>
          <w:szCs w:val="26"/>
        </w:rPr>
        <w:t>:</w:t>
      </w:r>
      <w:r w:rsidR="00E501EE" w:rsidRPr="00F376F7">
        <w:rPr>
          <w:rFonts w:ascii="Arial" w:hAnsi="Arial" w:cs="Arial"/>
          <w:i/>
          <w:sz w:val="26"/>
          <w:szCs w:val="26"/>
        </w:rPr>
        <w:t xml:space="preserve"> </w:t>
      </w:r>
      <w:r w:rsidR="007533D6" w:rsidRPr="00F376F7">
        <w:rPr>
          <w:rFonts w:ascii="Arial" w:hAnsi="Arial" w:cs="Arial"/>
          <w:i/>
          <w:sz w:val="26"/>
          <w:szCs w:val="26"/>
        </w:rPr>
        <w:t>Йордан Иванов Йорданов</w:t>
      </w:r>
    </w:p>
    <w:p w14:paraId="526FB11E" w14:textId="77777777" w:rsidR="00277ABC" w:rsidRPr="007533D6" w:rsidRDefault="00277ABC">
      <w:pPr>
        <w:rPr>
          <w:rFonts w:ascii="Arial" w:hAnsi="Arial" w:cs="Arial"/>
          <w:i/>
          <w:sz w:val="26"/>
          <w:szCs w:val="26"/>
          <w:lang w:val="ru-RU"/>
        </w:rPr>
      </w:pPr>
      <w:r w:rsidRPr="007533D6">
        <w:rPr>
          <w:rFonts w:ascii="Arial" w:hAnsi="Arial" w:cs="Arial"/>
          <w:i/>
          <w:sz w:val="26"/>
          <w:szCs w:val="26"/>
          <w:lang w:val="ru-RU"/>
        </w:rPr>
        <w:br w:type="page"/>
      </w:r>
    </w:p>
    <w:p w14:paraId="4463389F" w14:textId="5402955F" w:rsidR="002543CB" w:rsidRDefault="003C7D1A" w:rsidP="003C7D1A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  <w:lang w:val="en-US"/>
        </w:rPr>
        <w:lastRenderedPageBreak/>
        <w:t>I</w:t>
      </w:r>
      <w:r>
        <w:rPr>
          <w:rFonts w:ascii="Arial" w:hAnsi="Arial" w:cs="Arial"/>
          <w:i/>
          <w:sz w:val="26"/>
          <w:szCs w:val="26"/>
        </w:rPr>
        <w:t>. АНОТАЦИЯ</w:t>
      </w:r>
    </w:p>
    <w:p w14:paraId="2432AD4F" w14:textId="4F6AEC93" w:rsidR="00A36BDD" w:rsidRDefault="003C7D1A" w:rsidP="003C7D1A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1. </w:t>
      </w:r>
      <w:r w:rsidR="00AF7F27">
        <w:rPr>
          <w:rFonts w:ascii="Arial" w:hAnsi="Arial" w:cs="Arial"/>
          <w:i/>
          <w:sz w:val="26"/>
          <w:szCs w:val="26"/>
        </w:rPr>
        <w:t>Съответствие с научните приоритети</w:t>
      </w:r>
      <w:r>
        <w:rPr>
          <w:rFonts w:ascii="Arial" w:hAnsi="Arial" w:cs="Arial"/>
          <w:i/>
          <w:sz w:val="26"/>
          <w:szCs w:val="26"/>
        </w:rPr>
        <w:t xml:space="preserve"> </w:t>
      </w:r>
    </w:p>
    <w:p w14:paraId="472F6CEA" w14:textId="77777777" w:rsidR="003C7D1A" w:rsidRDefault="00AF7F27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5F2CAF">
        <w:rPr>
          <w:rFonts w:ascii="Arial" w:hAnsi="Arial" w:cs="Arial"/>
          <w:i/>
          <w:sz w:val="26"/>
          <w:szCs w:val="26"/>
        </w:rPr>
        <w:t xml:space="preserve">1.1. степен </w:t>
      </w:r>
      <w:r w:rsidR="003C7D1A" w:rsidRPr="005F2CAF">
        <w:rPr>
          <w:rFonts w:ascii="Arial" w:hAnsi="Arial" w:cs="Arial"/>
          <w:i/>
          <w:sz w:val="26"/>
          <w:szCs w:val="26"/>
        </w:rPr>
        <w:t xml:space="preserve">на съответствие на предложения проект с утвърдените </w:t>
      </w:r>
      <w:r w:rsidRPr="005F2CAF">
        <w:rPr>
          <w:rFonts w:ascii="Arial" w:hAnsi="Arial" w:cs="Arial"/>
          <w:i/>
          <w:sz w:val="26"/>
          <w:szCs w:val="26"/>
        </w:rPr>
        <w:t xml:space="preserve">от АС </w:t>
      </w:r>
      <w:r w:rsidR="003C7D1A" w:rsidRPr="005F2CAF">
        <w:rPr>
          <w:rFonts w:ascii="Arial" w:hAnsi="Arial" w:cs="Arial"/>
          <w:i/>
          <w:sz w:val="26"/>
          <w:szCs w:val="26"/>
        </w:rPr>
        <w:t>научни приоритети.</w:t>
      </w:r>
    </w:p>
    <w:p w14:paraId="01723636" w14:textId="325D5D29" w:rsidR="009E181C" w:rsidRPr="009E181C" w:rsidRDefault="009E181C" w:rsidP="009E181C">
      <w:pPr>
        <w:jc w:val="both"/>
        <w:rPr>
          <w:rFonts w:ascii="Arial" w:hAnsi="Arial" w:cs="Arial"/>
          <w:i/>
          <w:sz w:val="26"/>
          <w:szCs w:val="26"/>
        </w:rPr>
      </w:pPr>
      <w:r w:rsidRPr="009E181C">
        <w:rPr>
          <w:rFonts w:ascii="Arial" w:hAnsi="Arial" w:cs="Arial"/>
          <w:i/>
          <w:sz w:val="26"/>
          <w:szCs w:val="26"/>
        </w:rPr>
        <w:t xml:space="preserve">Предлаганият проект съответства на научен приоритет номер </w:t>
      </w:r>
      <w:r>
        <w:rPr>
          <w:rFonts w:ascii="Arial" w:hAnsi="Arial" w:cs="Arial"/>
          <w:i/>
          <w:sz w:val="26"/>
          <w:szCs w:val="26"/>
        </w:rPr>
        <w:t>2</w:t>
      </w:r>
      <w:r w:rsidRPr="009E181C">
        <w:rPr>
          <w:rFonts w:ascii="Arial" w:hAnsi="Arial" w:cs="Arial"/>
          <w:i/>
          <w:sz w:val="26"/>
          <w:szCs w:val="26"/>
        </w:rPr>
        <w:t xml:space="preserve"> на ИУ-Варна: "Дигитална трансформация и цифровизация". Проблемите при създаването</w:t>
      </w:r>
      <w:r w:rsidR="001C446C">
        <w:rPr>
          <w:rFonts w:ascii="Arial" w:hAnsi="Arial" w:cs="Arial"/>
          <w:i/>
          <w:sz w:val="26"/>
          <w:szCs w:val="26"/>
        </w:rPr>
        <w:t xml:space="preserve"> и управлението</w:t>
      </w:r>
      <w:r w:rsidR="001C446C">
        <w:rPr>
          <w:rFonts w:ascii="Arial" w:hAnsi="Arial" w:cs="Arial"/>
          <w:i/>
          <w:sz w:val="26"/>
          <w:szCs w:val="26"/>
          <w:lang w:val="en-US"/>
        </w:rPr>
        <w:t xml:space="preserve"> </w:t>
      </w:r>
      <w:r w:rsidRPr="009E181C">
        <w:rPr>
          <w:rFonts w:ascii="Arial" w:hAnsi="Arial" w:cs="Arial"/>
          <w:i/>
          <w:sz w:val="26"/>
          <w:szCs w:val="26"/>
        </w:rPr>
        <w:t>на</w:t>
      </w:r>
      <w:r w:rsidR="001C446C">
        <w:rPr>
          <w:rFonts w:ascii="Arial" w:hAnsi="Arial" w:cs="Arial"/>
          <w:i/>
          <w:sz w:val="26"/>
          <w:szCs w:val="26"/>
        </w:rPr>
        <w:t xml:space="preserve"> поръчки от клиенти са от важно значение за </w:t>
      </w:r>
      <w:r w:rsidR="001C446C" w:rsidRPr="00F376F7">
        <w:rPr>
          <w:rFonts w:ascii="Arial" w:hAnsi="Arial" w:cs="Arial"/>
          <w:i/>
          <w:sz w:val="26"/>
          <w:szCs w:val="26"/>
        </w:rPr>
        <w:t>производствен</w:t>
      </w:r>
      <w:r w:rsidR="001C446C">
        <w:rPr>
          <w:rFonts w:ascii="Arial" w:hAnsi="Arial" w:cs="Arial"/>
          <w:i/>
          <w:sz w:val="26"/>
          <w:szCs w:val="26"/>
        </w:rPr>
        <w:t>ите</w:t>
      </w:r>
      <w:r w:rsidR="001C446C" w:rsidRPr="00F376F7">
        <w:rPr>
          <w:rFonts w:ascii="Arial" w:hAnsi="Arial" w:cs="Arial"/>
          <w:i/>
          <w:sz w:val="26"/>
          <w:szCs w:val="26"/>
        </w:rPr>
        <w:t xml:space="preserve"> предприяти</w:t>
      </w:r>
      <w:r w:rsidR="001C446C">
        <w:rPr>
          <w:rFonts w:ascii="Arial" w:hAnsi="Arial" w:cs="Arial"/>
          <w:i/>
          <w:sz w:val="26"/>
          <w:szCs w:val="26"/>
        </w:rPr>
        <w:t>я.</w:t>
      </w:r>
      <w:r w:rsidR="00C2729F">
        <w:rPr>
          <w:rFonts w:ascii="Arial" w:hAnsi="Arial" w:cs="Arial"/>
          <w:i/>
          <w:sz w:val="26"/>
          <w:szCs w:val="26"/>
        </w:rPr>
        <w:t xml:space="preserve"> Актуално решение предлага</w:t>
      </w:r>
      <w:r w:rsidR="001C446C">
        <w:rPr>
          <w:rFonts w:ascii="Arial" w:hAnsi="Arial" w:cs="Arial"/>
          <w:i/>
          <w:sz w:val="26"/>
          <w:szCs w:val="26"/>
        </w:rPr>
        <w:t xml:space="preserve"> </w:t>
      </w:r>
      <w:r w:rsidR="001C446C" w:rsidRPr="001C446C">
        <w:rPr>
          <w:rFonts w:ascii="Arial" w:hAnsi="Arial" w:cs="Arial"/>
          <w:i/>
          <w:sz w:val="26"/>
          <w:szCs w:val="26"/>
        </w:rPr>
        <w:t>централизирана платформа за обработка на поръчките и рационализира</w:t>
      </w:r>
      <w:r w:rsidR="00C2729F">
        <w:rPr>
          <w:rFonts w:ascii="Arial" w:hAnsi="Arial" w:cs="Arial"/>
          <w:i/>
          <w:sz w:val="26"/>
          <w:szCs w:val="26"/>
        </w:rPr>
        <w:t xml:space="preserve">не </w:t>
      </w:r>
      <w:r w:rsidR="00326792">
        <w:rPr>
          <w:rFonts w:ascii="Arial" w:hAnsi="Arial" w:cs="Arial"/>
          <w:i/>
          <w:sz w:val="26"/>
          <w:szCs w:val="26"/>
        </w:rPr>
        <w:t xml:space="preserve">на </w:t>
      </w:r>
      <w:r w:rsidR="00326792" w:rsidRPr="00326792">
        <w:rPr>
          <w:rFonts w:ascii="Arial" w:hAnsi="Arial" w:cs="Arial"/>
          <w:i/>
          <w:sz w:val="26"/>
          <w:szCs w:val="26"/>
        </w:rPr>
        <w:t>верига</w:t>
      </w:r>
      <w:r w:rsidR="00326792">
        <w:rPr>
          <w:rFonts w:ascii="Arial" w:hAnsi="Arial" w:cs="Arial"/>
          <w:i/>
          <w:sz w:val="26"/>
          <w:szCs w:val="26"/>
        </w:rPr>
        <w:t>та</w:t>
      </w:r>
      <w:r w:rsidR="00326792" w:rsidRPr="00326792">
        <w:rPr>
          <w:rFonts w:ascii="Arial" w:hAnsi="Arial" w:cs="Arial"/>
          <w:i/>
          <w:sz w:val="26"/>
          <w:szCs w:val="26"/>
        </w:rPr>
        <w:t xml:space="preserve"> за доставки</w:t>
      </w:r>
      <w:r w:rsidR="00AD7BBA">
        <w:rPr>
          <w:rFonts w:ascii="Arial" w:hAnsi="Arial" w:cs="Arial"/>
          <w:i/>
          <w:sz w:val="26"/>
          <w:szCs w:val="26"/>
        </w:rPr>
        <w:t xml:space="preserve">. </w:t>
      </w:r>
      <w:r w:rsidR="00AD7BBA" w:rsidRPr="00AD7BBA">
        <w:rPr>
          <w:rFonts w:ascii="Arial" w:hAnsi="Arial" w:cs="Arial"/>
          <w:i/>
          <w:sz w:val="26"/>
          <w:szCs w:val="26"/>
        </w:rPr>
        <w:t>Базиран</w:t>
      </w:r>
      <w:r w:rsidR="00AD7BBA">
        <w:rPr>
          <w:rFonts w:ascii="Arial" w:hAnsi="Arial" w:cs="Arial"/>
          <w:i/>
          <w:sz w:val="26"/>
          <w:szCs w:val="26"/>
        </w:rPr>
        <w:t>а</w:t>
      </w:r>
      <w:r w:rsidR="00AD7BBA" w:rsidRPr="00AD7BBA">
        <w:rPr>
          <w:rFonts w:ascii="Arial" w:hAnsi="Arial" w:cs="Arial"/>
          <w:i/>
          <w:sz w:val="26"/>
          <w:szCs w:val="26"/>
        </w:rPr>
        <w:t xml:space="preserve"> в облак</w:t>
      </w:r>
      <w:r w:rsidR="00AD7BBA">
        <w:rPr>
          <w:rFonts w:ascii="Arial" w:hAnsi="Arial" w:cs="Arial"/>
          <w:i/>
          <w:sz w:val="26"/>
          <w:szCs w:val="26"/>
        </w:rPr>
        <w:t>,</w:t>
      </w:r>
      <w:r w:rsidR="00AD7BBA" w:rsidRPr="00AD7BBA">
        <w:rPr>
          <w:rFonts w:ascii="Arial" w:hAnsi="Arial" w:cs="Arial"/>
          <w:i/>
          <w:sz w:val="26"/>
          <w:szCs w:val="26"/>
        </w:rPr>
        <w:t xml:space="preserve">  системата гарантира гъвкавост, позволявайки на производствената организация лесно да се адаптира към променящите се изисквания на клиентите.</w:t>
      </w:r>
    </w:p>
    <w:p w14:paraId="159669FF" w14:textId="789F3DCF" w:rsidR="009E181C" w:rsidRPr="009E181C" w:rsidRDefault="009E181C" w:rsidP="009E181C">
      <w:pPr>
        <w:jc w:val="both"/>
        <w:rPr>
          <w:rFonts w:ascii="Arial" w:hAnsi="Arial" w:cs="Arial"/>
          <w:i/>
          <w:sz w:val="26"/>
          <w:szCs w:val="26"/>
        </w:rPr>
      </w:pPr>
      <w:r w:rsidRPr="009E181C">
        <w:rPr>
          <w:rFonts w:ascii="Arial" w:hAnsi="Arial" w:cs="Arial"/>
          <w:i/>
          <w:sz w:val="26"/>
          <w:szCs w:val="26"/>
        </w:rPr>
        <w:t xml:space="preserve">Проектът има </w:t>
      </w:r>
      <w:r w:rsidR="00137AAA">
        <w:rPr>
          <w:rFonts w:ascii="Arial" w:hAnsi="Arial" w:cs="Arial"/>
          <w:i/>
          <w:sz w:val="26"/>
          <w:szCs w:val="26"/>
        </w:rPr>
        <w:t>пряко</w:t>
      </w:r>
      <w:r w:rsidRPr="009E181C">
        <w:rPr>
          <w:rFonts w:ascii="Arial" w:hAnsi="Arial" w:cs="Arial"/>
          <w:i/>
          <w:sz w:val="26"/>
          <w:szCs w:val="26"/>
        </w:rPr>
        <w:t xml:space="preserve"> отношение </w:t>
      </w:r>
      <w:r w:rsidR="00137AAA">
        <w:rPr>
          <w:rFonts w:ascii="Arial" w:hAnsi="Arial" w:cs="Arial"/>
          <w:i/>
          <w:sz w:val="26"/>
          <w:szCs w:val="26"/>
        </w:rPr>
        <w:t xml:space="preserve">и </w:t>
      </w:r>
      <w:r w:rsidRPr="009E181C">
        <w:rPr>
          <w:rFonts w:ascii="Arial" w:hAnsi="Arial" w:cs="Arial"/>
          <w:i/>
          <w:sz w:val="26"/>
          <w:szCs w:val="26"/>
        </w:rPr>
        <w:t xml:space="preserve">към научен приоритет </w:t>
      </w:r>
      <w:r w:rsidR="00137AAA">
        <w:rPr>
          <w:rFonts w:ascii="Arial" w:hAnsi="Arial" w:cs="Arial"/>
          <w:i/>
          <w:sz w:val="26"/>
          <w:szCs w:val="26"/>
        </w:rPr>
        <w:t>номер 3</w:t>
      </w:r>
      <w:r w:rsidRPr="009E181C">
        <w:rPr>
          <w:rFonts w:ascii="Arial" w:hAnsi="Arial" w:cs="Arial"/>
          <w:i/>
          <w:sz w:val="26"/>
          <w:szCs w:val="26"/>
        </w:rPr>
        <w:t xml:space="preserve"> на ИУ-Варна: "Иновации и конкурентоспособност". Резултатите от изследването могат да послужат </w:t>
      </w:r>
      <w:r w:rsidR="0021589C">
        <w:rPr>
          <w:rFonts w:ascii="Arial" w:hAnsi="Arial" w:cs="Arial"/>
          <w:i/>
          <w:sz w:val="26"/>
          <w:szCs w:val="26"/>
        </w:rPr>
        <w:t>при</w:t>
      </w:r>
      <w:r w:rsidR="00606AAF">
        <w:rPr>
          <w:rFonts w:ascii="Arial" w:hAnsi="Arial" w:cs="Arial"/>
          <w:i/>
          <w:sz w:val="26"/>
          <w:szCs w:val="26"/>
          <w:lang w:val="en-US"/>
        </w:rPr>
        <w:t xml:space="preserve"> </w:t>
      </w:r>
      <w:r w:rsidR="002050B8">
        <w:rPr>
          <w:rFonts w:ascii="Arial" w:hAnsi="Arial" w:cs="Arial"/>
          <w:i/>
          <w:sz w:val="26"/>
          <w:szCs w:val="26"/>
        </w:rPr>
        <w:t>създаването и/или интегрирането</w:t>
      </w:r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на </w:t>
      </w:r>
      <w:r w:rsidR="002050B8" w:rsidRPr="00F376F7">
        <w:rPr>
          <w:rFonts w:ascii="Arial" w:hAnsi="Arial" w:cs="Arial"/>
          <w:i/>
          <w:sz w:val="26"/>
          <w:szCs w:val="26"/>
        </w:rPr>
        <w:t>система за управление на поръчките</w:t>
      </w:r>
      <w:r w:rsidR="002050B8">
        <w:rPr>
          <w:rFonts w:ascii="Arial" w:hAnsi="Arial" w:cs="Arial"/>
          <w:i/>
          <w:sz w:val="26"/>
          <w:szCs w:val="26"/>
        </w:rPr>
        <w:t>,</w:t>
      </w:r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</w:t>
      </w:r>
      <w:r w:rsidR="002050B8">
        <w:rPr>
          <w:rFonts w:ascii="Arial" w:hAnsi="Arial" w:cs="Arial"/>
          <w:i/>
          <w:sz w:val="26"/>
          <w:szCs w:val="26"/>
        </w:rPr>
        <w:t xml:space="preserve">която да </w:t>
      </w:r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подобри конкурентоспособността на производствената компания чрез </w:t>
      </w:r>
      <w:r w:rsidR="002050B8" w:rsidRPr="002050B8">
        <w:rPr>
          <w:rFonts w:ascii="Arial" w:hAnsi="Arial" w:cs="Arial"/>
          <w:i/>
          <w:sz w:val="26"/>
          <w:szCs w:val="26"/>
          <w:lang w:val="en-US"/>
        </w:rPr>
        <w:t xml:space="preserve">повишаване </w:t>
      </w:r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на удовлетвореността на клиентите. Базираната в облак система </w:t>
      </w:r>
      <w:r w:rsidR="002050B8">
        <w:rPr>
          <w:rFonts w:ascii="Arial" w:hAnsi="Arial" w:cs="Arial"/>
          <w:i/>
          <w:sz w:val="26"/>
          <w:szCs w:val="26"/>
        </w:rPr>
        <w:t>помага на</w:t>
      </w:r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иновациите чрез предоставяне на данни и анализи в реално време, които могат да се използват за оптимизиране на процесите и идентифициране на области за </w:t>
      </w:r>
      <w:r w:rsidR="00C34DDE">
        <w:rPr>
          <w:rFonts w:ascii="Arial" w:hAnsi="Arial" w:cs="Arial"/>
          <w:i/>
          <w:sz w:val="26"/>
          <w:szCs w:val="26"/>
        </w:rPr>
        <w:t>подобрение</w:t>
      </w:r>
      <w:r w:rsidR="00606AAF" w:rsidRPr="00606AAF">
        <w:rPr>
          <w:rFonts w:ascii="Arial" w:hAnsi="Arial" w:cs="Arial"/>
          <w:i/>
          <w:sz w:val="26"/>
          <w:szCs w:val="26"/>
          <w:lang w:val="en-US"/>
        </w:rPr>
        <w:t>.</w:t>
      </w:r>
    </w:p>
    <w:p w14:paraId="60B8CAE8" w14:textId="178D67AB" w:rsidR="009E181C" w:rsidRDefault="00137AAA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9E181C">
        <w:rPr>
          <w:rFonts w:ascii="Arial" w:hAnsi="Arial" w:cs="Arial"/>
          <w:i/>
          <w:sz w:val="26"/>
          <w:szCs w:val="26"/>
        </w:rPr>
        <w:t>Проектът има косвено отношение към научен приоритет 1 на ИУ-Варна: "</w:t>
      </w:r>
      <w:r w:rsidRPr="00137AAA">
        <w:rPr>
          <w:rFonts w:ascii="Arial" w:hAnsi="Arial" w:cs="Arial"/>
          <w:i/>
          <w:sz w:val="26"/>
          <w:szCs w:val="26"/>
        </w:rPr>
        <w:t>Зелена икономика и устойчиво развитие</w:t>
      </w:r>
      <w:r w:rsidRPr="009E181C">
        <w:rPr>
          <w:rFonts w:ascii="Arial" w:hAnsi="Arial" w:cs="Arial"/>
          <w:i/>
          <w:sz w:val="26"/>
          <w:szCs w:val="26"/>
        </w:rPr>
        <w:t>"</w:t>
      </w:r>
      <w:r>
        <w:rPr>
          <w:rFonts w:ascii="Arial" w:hAnsi="Arial" w:cs="Arial"/>
          <w:i/>
          <w:sz w:val="26"/>
          <w:szCs w:val="26"/>
        </w:rPr>
        <w:t xml:space="preserve">, тъй като </w:t>
      </w:r>
      <w:r w:rsidR="00D57DA7">
        <w:rPr>
          <w:rFonts w:ascii="Arial" w:hAnsi="Arial" w:cs="Arial"/>
          <w:i/>
          <w:sz w:val="26"/>
          <w:szCs w:val="26"/>
        </w:rPr>
        <w:t>с</w:t>
      </w:r>
      <w:r w:rsidR="00D57DA7" w:rsidRPr="00D57DA7">
        <w:rPr>
          <w:rFonts w:ascii="Arial" w:hAnsi="Arial" w:cs="Arial"/>
          <w:i/>
          <w:sz w:val="26"/>
          <w:szCs w:val="26"/>
        </w:rPr>
        <w:t>истемата</w:t>
      </w:r>
      <w:r w:rsidR="00D57DA7">
        <w:rPr>
          <w:rFonts w:ascii="Arial" w:hAnsi="Arial" w:cs="Arial"/>
          <w:i/>
          <w:sz w:val="26"/>
          <w:szCs w:val="26"/>
        </w:rPr>
        <w:t xml:space="preserve"> може да послужи и като</w:t>
      </w:r>
      <w:r w:rsidR="00D57DA7" w:rsidRPr="00D57DA7">
        <w:rPr>
          <w:rFonts w:ascii="Arial" w:hAnsi="Arial" w:cs="Arial"/>
          <w:i/>
          <w:sz w:val="26"/>
          <w:szCs w:val="26"/>
        </w:rPr>
        <w:t xml:space="preserve"> инструмент за проследяване и анализиране на въздействието върху околната среда на клиентските поръчки. Чрез измерване на въглеродния отпечатък на всяка поръчка компаниите могат да идентифицират възможности за намаляване на въздействието си върху околната среда и подобряване на устойчивостта</w:t>
      </w:r>
      <w:r w:rsidR="00D57DA7">
        <w:rPr>
          <w:rFonts w:ascii="Arial" w:hAnsi="Arial" w:cs="Arial"/>
          <w:i/>
          <w:sz w:val="26"/>
          <w:szCs w:val="26"/>
          <w:lang w:val="en-US"/>
        </w:rPr>
        <w:t xml:space="preserve">. </w:t>
      </w:r>
      <w:r w:rsidR="00D57DA7">
        <w:rPr>
          <w:rFonts w:ascii="Arial" w:hAnsi="Arial" w:cs="Arial"/>
          <w:i/>
          <w:sz w:val="26"/>
          <w:szCs w:val="26"/>
        </w:rPr>
        <w:t>По този начин</w:t>
      </w:r>
      <w:r w:rsidR="00D57DA7" w:rsidRPr="00D57DA7">
        <w:rPr>
          <w:rFonts w:ascii="Arial" w:hAnsi="Arial" w:cs="Arial"/>
          <w:i/>
          <w:sz w:val="26"/>
          <w:szCs w:val="26"/>
        </w:rPr>
        <w:t xml:space="preserve"> </w:t>
      </w:r>
      <w:r w:rsidR="00D57DA7">
        <w:rPr>
          <w:rFonts w:ascii="Arial" w:hAnsi="Arial" w:cs="Arial"/>
          <w:i/>
          <w:sz w:val="26"/>
          <w:szCs w:val="26"/>
        </w:rPr>
        <w:t xml:space="preserve">се представят </w:t>
      </w:r>
      <w:r w:rsidR="00D57DA7" w:rsidRPr="00D57DA7">
        <w:rPr>
          <w:rFonts w:ascii="Arial" w:hAnsi="Arial" w:cs="Arial"/>
          <w:i/>
          <w:sz w:val="26"/>
          <w:szCs w:val="26"/>
        </w:rPr>
        <w:t>усилия за устойчивост на клиенти</w:t>
      </w:r>
      <w:r w:rsidR="00C34DDE">
        <w:rPr>
          <w:rFonts w:ascii="Arial" w:hAnsi="Arial" w:cs="Arial"/>
          <w:i/>
          <w:sz w:val="26"/>
          <w:szCs w:val="26"/>
        </w:rPr>
        <w:t>те</w:t>
      </w:r>
      <w:r w:rsidR="00D57DA7" w:rsidRPr="00D57DA7">
        <w:rPr>
          <w:rFonts w:ascii="Arial" w:hAnsi="Arial" w:cs="Arial"/>
          <w:i/>
          <w:sz w:val="26"/>
          <w:szCs w:val="26"/>
        </w:rPr>
        <w:t xml:space="preserve"> и заинтересовани</w:t>
      </w:r>
      <w:r w:rsidR="00C34DDE">
        <w:rPr>
          <w:rFonts w:ascii="Arial" w:hAnsi="Arial" w:cs="Arial"/>
          <w:i/>
          <w:sz w:val="26"/>
          <w:szCs w:val="26"/>
        </w:rPr>
        <w:t>те</w:t>
      </w:r>
      <w:r w:rsidR="00D57DA7" w:rsidRPr="00D57DA7">
        <w:rPr>
          <w:rFonts w:ascii="Arial" w:hAnsi="Arial" w:cs="Arial"/>
          <w:i/>
          <w:sz w:val="26"/>
          <w:szCs w:val="26"/>
        </w:rPr>
        <w:t xml:space="preserve"> </w:t>
      </w:r>
      <w:r w:rsidR="00C34DDE">
        <w:rPr>
          <w:rFonts w:ascii="Arial" w:hAnsi="Arial" w:cs="Arial"/>
          <w:i/>
          <w:sz w:val="26"/>
          <w:szCs w:val="26"/>
        </w:rPr>
        <w:t>лица</w:t>
      </w:r>
      <w:r w:rsidR="00D57DA7" w:rsidRPr="00D57DA7">
        <w:rPr>
          <w:rFonts w:ascii="Arial" w:hAnsi="Arial" w:cs="Arial"/>
          <w:i/>
          <w:sz w:val="26"/>
          <w:szCs w:val="26"/>
        </w:rPr>
        <w:t>, подобрявайки имиджа и репутацията</w:t>
      </w:r>
      <w:r w:rsidR="00D57DA7">
        <w:rPr>
          <w:rFonts w:ascii="Arial" w:hAnsi="Arial" w:cs="Arial"/>
          <w:i/>
          <w:sz w:val="26"/>
          <w:szCs w:val="26"/>
        </w:rPr>
        <w:t>.</w:t>
      </w:r>
    </w:p>
    <w:p w14:paraId="2C4D07B1" w14:textId="77777777" w:rsidR="00AF7F27" w:rsidRPr="00BD32AC" w:rsidRDefault="00AF7F27" w:rsidP="003C7D1A">
      <w:pPr>
        <w:jc w:val="both"/>
        <w:rPr>
          <w:rFonts w:ascii="Arial" w:hAnsi="Arial" w:cs="Arial"/>
          <w:i/>
          <w:sz w:val="26"/>
          <w:szCs w:val="26"/>
          <w:highlight w:val="green"/>
        </w:rPr>
      </w:pPr>
      <w:r w:rsidRPr="00BD32AC">
        <w:rPr>
          <w:rFonts w:ascii="Arial" w:hAnsi="Arial" w:cs="Arial"/>
          <w:i/>
          <w:sz w:val="26"/>
          <w:szCs w:val="26"/>
          <w:highlight w:val="green"/>
        </w:rPr>
        <w:lastRenderedPageBreak/>
        <w:t>1.2. съответствие на проекта с професионалното направление в областите, в които университетът подготвя студенти и докторанти</w:t>
      </w:r>
      <w:r w:rsidR="002543CB" w:rsidRPr="00BD32AC">
        <w:rPr>
          <w:rFonts w:ascii="Arial" w:hAnsi="Arial" w:cs="Arial"/>
          <w:i/>
          <w:sz w:val="26"/>
          <w:szCs w:val="26"/>
          <w:highlight w:val="green"/>
        </w:rPr>
        <w:t>.</w:t>
      </w:r>
    </w:p>
    <w:p w14:paraId="222CC9E0" w14:textId="77777777" w:rsidR="002543CB" w:rsidRDefault="009E181C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BD32AC">
        <w:rPr>
          <w:rFonts w:ascii="Arial" w:hAnsi="Arial" w:cs="Arial"/>
          <w:i/>
          <w:sz w:val="26"/>
          <w:szCs w:val="26"/>
          <w:highlight w:val="green"/>
        </w:rPr>
        <w:t xml:space="preserve">Проектът е в </w:t>
      </w:r>
      <w:r w:rsidR="00490FDD" w:rsidRPr="00BD32AC">
        <w:rPr>
          <w:rFonts w:ascii="Arial" w:hAnsi="Arial" w:cs="Arial"/>
          <w:i/>
          <w:sz w:val="26"/>
          <w:szCs w:val="26"/>
          <w:highlight w:val="green"/>
        </w:rPr>
        <w:t>ПН4.6 Информатика и компютърни науки</w:t>
      </w:r>
    </w:p>
    <w:p w14:paraId="2B494F2C" w14:textId="77777777" w:rsidR="003C7D1A" w:rsidRDefault="003C7D1A" w:rsidP="003C7D1A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2. </w:t>
      </w:r>
      <w:r w:rsidR="00861DB6">
        <w:rPr>
          <w:rFonts w:ascii="Arial" w:hAnsi="Arial" w:cs="Arial"/>
          <w:i/>
          <w:sz w:val="26"/>
          <w:szCs w:val="26"/>
        </w:rPr>
        <w:t xml:space="preserve">Степен на изпълнение на </w:t>
      </w:r>
      <w:r w:rsidR="00AF7F27">
        <w:rPr>
          <w:rFonts w:ascii="Arial" w:hAnsi="Arial" w:cs="Arial"/>
          <w:i/>
          <w:sz w:val="26"/>
          <w:szCs w:val="26"/>
        </w:rPr>
        <w:t>и</w:t>
      </w:r>
      <w:r w:rsidR="00861DB6">
        <w:rPr>
          <w:rFonts w:ascii="Arial" w:hAnsi="Arial" w:cs="Arial"/>
          <w:i/>
          <w:sz w:val="26"/>
          <w:szCs w:val="26"/>
        </w:rPr>
        <w:t>ндивидуалния учебен план</w:t>
      </w:r>
      <w:r>
        <w:rPr>
          <w:rFonts w:ascii="Arial" w:hAnsi="Arial" w:cs="Arial"/>
          <w:i/>
          <w:sz w:val="26"/>
          <w:szCs w:val="26"/>
        </w:rPr>
        <w:t xml:space="preserve"> .</w:t>
      </w:r>
    </w:p>
    <w:p w14:paraId="366F18B0" w14:textId="77777777" w:rsidR="00861DB6" w:rsidRDefault="00861DB6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F376F7">
        <w:rPr>
          <w:rFonts w:ascii="Arial" w:hAnsi="Arial" w:cs="Arial"/>
          <w:i/>
          <w:sz w:val="26"/>
          <w:szCs w:val="26"/>
        </w:rPr>
        <w:t xml:space="preserve">2.1. </w:t>
      </w:r>
      <w:r w:rsidR="00C31B4F" w:rsidRPr="00F376F7">
        <w:rPr>
          <w:rFonts w:ascii="Arial" w:hAnsi="Arial" w:cs="Arial"/>
          <w:i/>
          <w:sz w:val="26"/>
          <w:szCs w:val="26"/>
        </w:rPr>
        <w:t>Успешно взети</w:t>
      </w:r>
      <w:r w:rsidRPr="00F376F7">
        <w:rPr>
          <w:rFonts w:ascii="Arial" w:hAnsi="Arial" w:cs="Arial"/>
          <w:i/>
          <w:sz w:val="26"/>
          <w:szCs w:val="26"/>
        </w:rPr>
        <w:t xml:space="preserve"> изпити</w:t>
      </w:r>
      <w:r w:rsidR="00C31B4F" w:rsidRPr="00F376F7">
        <w:rPr>
          <w:rFonts w:ascii="Arial" w:hAnsi="Arial" w:cs="Arial"/>
          <w:i/>
          <w:sz w:val="26"/>
          <w:szCs w:val="26"/>
        </w:rPr>
        <w:t xml:space="preserve"> (наименование)</w:t>
      </w:r>
      <w:r w:rsidR="00277ABC" w:rsidRPr="00F376F7">
        <w:rPr>
          <w:rFonts w:ascii="Arial" w:hAnsi="Arial" w:cs="Arial"/>
          <w:i/>
          <w:sz w:val="26"/>
          <w:szCs w:val="26"/>
        </w:rPr>
        <w:t>:</w:t>
      </w:r>
    </w:p>
    <w:p w14:paraId="5F12D946" w14:textId="7D878E0B" w:rsidR="00C31B4F" w:rsidRPr="00F376F7" w:rsidRDefault="007533D6" w:rsidP="00F376F7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6"/>
          <w:szCs w:val="26"/>
        </w:rPr>
      </w:pPr>
      <w:r w:rsidRPr="00F376F7">
        <w:rPr>
          <w:rFonts w:ascii="Arial" w:hAnsi="Arial" w:cs="Arial"/>
          <w:i/>
          <w:sz w:val="26"/>
          <w:szCs w:val="26"/>
        </w:rPr>
        <w:t>Езици за програмиране</w:t>
      </w:r>
      <w:r w:rsidRPr="00F376F7">
        <w:rPr>
          <w:rFonts w:ascii="Arial" w:hAnsi="Arial" w:cs="Arial"/>
          <w:i/>
          <w:sz w:val="26"/>
          <w:szCs w:val="26"/>
          <w:lang w:val="ru-RU"/>
        </w:rPr>
        <w:t xml:space="preserve"> - </w:t>
      </w:r>
      <w:r w:rsidR="00F376F7" w:rsidRPr="00F376F7">
        <w:rPr>
          <w:rFonts w:ascii="Arial" w:hAnsi="Arial" w:cs="Arial"/>
          <w:i/>
          <w:sz w:val="26"/>
          <w:szCs w:val="26"/>
        </w:rPr>
        <w:t>януари 2022 г.</w:t>
      </w:r>
    </w:p>
    <w:p w14:paraId="71263B40" w14:textId="57430400" w:rsidR="007533D6" w:rsidRPr="009E181C" w:rsidRDefault="007533D6" w:rsidP="009E18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sz w:val="26"/>
          <w:szCs w:val="26"/>
        </w:rPr>
      </w:pPr>
      <w:r w:rsidRPr="009E181C">
        <w:rPr>
          <w:rFonts w:ascii="Arial" w:hAnsi="Arial" w:cs="Arial"/>
          <w:i/>
          <w:sz w:val="26"/>
          <w:szCs w:val="26"/>
        </w:rPr>
        <w:t>Интернет технологии и комуникации -</w:t>
      </w:r>
      <w:r w:rsidR="00F376F7">
        <w:rPr>
          <w:rFonts w:ascii="Arial" w:hAnsi="Arial" w:cs="Arial"/>
          <w:i/>
          <w:sz w:val="26"/>
          <w:szCs w:val="26"/>
          <w:lang w:val="en-US"/>
        </w:rPr>
        <w:t xml:space="preserve"> </w:t>
      </w:r>
      <w:r w:rsidR="00F376F7">
        <w:rPr>
          <w:rFonts w:ascii="Arial" w:hAnsi="Arial" w:cs="Arial"/>
          <w:i/>
          <w:sz w:val="26"/>
          <w:szCs w:val="26"/>
        </w:rPr>
        <w:t>април</w:t>
      </w:r>
      <w:r w:rsidR="00F376F7" w:rsidRPr="00F376F7">
        <w:rPr>
          <w:rFonts w:ascii="Arial" w:hAnsi="Arial" w:cs="Arial"/>
          <w:i/>
          <w:sz w:val="26"/>
          <w:szCs w:val="26"/>
          <w:lang w:val="en-US"/>
        </w:rPr>
        <w:t xml:space="preserve"> 2022 г.</w:t>
      </w:r>
    </w:p>
    <w:p w14:paraId="62BC0ADF" w14:textId="708994D0" w:rsidR="007533D6" w:rsidRPr="009E181C" w:rsidRDefault="007533D6" w:rsidP="009E18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sz w:val="26"/>
          <w:szCs w:val="26"/>
        </w:rPr>
      </w:pPr>
      <w:r w:rsidRPr="009E181C">
        <w:rPr>
          <w:rFonts w:ascii="Arial" w:hAnsi="Arial" w:cs="Arial"/>
          <w:i/>
          <w:sz w:val="26"/>
          <w:szCs w:val="26"/>
        </w:rPr>
        <w:t xml:space="preserve">Методика на научните изследвания - </w:t>
      </w:r>
      <w:r w:rsidR="00F376F7">
        <w:rPr>
          <w:rFonts w:ascii="Arial" w:hAnsi="Arial" w:cs="Arial"/>
          <w:i/>
          <w:sz w:val="26"/>
          <w:szCs w:val="26"/>
        </w:rPr>
        <w:t>юни</w:t>
      </w:r>
      <w:r w:rsidR="00F376F7" w:rsidRPr="00F376F7">
        <w:rPr>
          <w:rFonts w:ascii="Arial" w:hAnsi="Arial" w:cs="Arial"/>
          <w:i/>
          <w:sz w:val="26"/>
          <w:szCs w:val="26"/>
        </w:rPr>
        <w:t xml:space="preserve"> 2022 г.</w:t>
      </w:r>
    </w:p>
    <w:p w14:paraId="62F9FA55" w14:textId="533AC91D" w:rsidR="007533D6" w:rsidRPr="009E181C" w:rsidRDefault="007533D6" w:rsidP="009E18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sz w:val="26"/>
          <w:szCs w:val="26"/>
        </w:rPr>
      </w:pPr>
      <w:r w:rsidRPr="009E181C">
        <w:rPr>
          <w:rFonts w:ascii="Arial" w:hAnsi="Arial" w:cs="Arial"/>
          <w:i/>
          <w:sz w:val="26"/>
          <w:szCs w:val="26"/>
        </w:rPr>
        <w:t>Английски език -</w:t>
      </w:r>
      <w:r w:rsidR="00F376F7">
        <w:rPr>
          <w:rFonts w:ascii="Arial" w:hAnsi="Arial" w:cs="Arial"/>
          <w:i/>
          <w:sz w:val="26"/>
          <w:szCs w:val="26"/>
          <w:lang w:val="en-US"/>
        </w:rPr>
        <w:t xml:space="preserve"> </w:t>
      </w:r>
      <w:r w:rsidR="00F376F7" w:rsidRPr="00F376F7">
        <w:rPr>
          <w:rFonts w:ascii="Arial" w:hAnsi="Arial" w:cs="Arial"/>
          <w:i/>
          <w:sz w:val="26"/>
          <w:szCs w:val="26"/>
        </w:rPr>
        <w:t>март 2022 г.</w:t>
      </w:r>
    </w:p>
    <w:p w14:paraId="2B05693E" w14:textId="77777777" w:rsidR="007533D6" w:rsidRPr="007533D6" w:rsidRDefault="007533D6" w:rsidP="003C7D1A">
      <w:pPr>
        <w:jc w:val="both"/>
        <w:rPr>
          <w:rFonts w:ascii="Arial" w:hAnsi="Arial" w:cs="Arial"/>
          <w:i/>
          <w:sz w:val="26"/>
          <w:szCs w:val="26"/>
        </w:rPr>
      </w:pPr>
    </w:p>
    <w:p w14:paraId="09A34B9D" w14:textId="77777777" w:rsidR="00861DB6" w:rsidRPr="00E004D2" w:rsidRDefault="00861DB6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E004D2">
        <w:rPr>
          <w:rFonts w:ascii="Arial" w:hAnsi="Arial" w:cs="Arial"/>
          <w:i/>
          <w:sz w:val="26"/>
          <w:szCs w:val="26"/>
        </w:rPr>
        <w:t>2.2. Участия в семинари от докторско ниво</w:t>
      </w:r>
      <w:r w:rsidR="00C31B4F" w:rsidRPr="00E004D2">
        <w:rPr>
          <w:rFonts w:ascii="Arial" w:hAnsi="Arial" w:cs="Arial"/>
          <w:i/>
          <w:sz w:val="26"/>
          <w:szCs w:val="26"/>
        </w:rPr>
        <w:t xml:space="preserve"> (наименование</w:t>
      </w:r>
      <w:r w:rsidR="00AF7F27" w:rsidRPr="00E004D2">
        <w:rPr>
          <w:rFonts w:ascii="Arial" w:hAnsi="Arial" w:cs="Arial"/>
          <w:i/>
          <w:sz w:val="26"/>
          <w:szCs w:val="26"/>
        </w:rPr>
        <w:t>, организатор, дата на провеждане</w:t>
      </w:r>
      <w:r w:rsidR="00C31B4F" w:rsidRPr="00E004D2">
        <w:rPr>
          <w:rFonts w:ascii="Arial" w:hAnsi="Arial" w:cs="Arial"/>
          <w:i/>
          <w:sz w:val="26"/>
          <w:szCs w:val="26"/>
        </w:rPr>
        <w:t>)</w:t>
      </w:r>
      <w:r w:rsidR="00277ABC" w:rsidRPr="00E004D2">
        <w:rPr>
          <w:rFonts w:ascii="Arial" w:hAnsi="Arial" w:cs="Arial"/>
          <w:i/>
          <w:sz w:val="26"/>
          <w:szCs w:val="26"/>
        </w:rPr>
        <w:t>:</w:t>
      </w:r>
    </w:p>
    <w:p w14:paraId="0AA3C699" w14:textId="305C3BFC" w:rsidR="009E181C" w:rsidRPr="00E004D2" w:rsidRDefault="00E004D2" w:rsidP="00E004D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  <w:lang w:val="en-US"/>
        </w:rPr>
        <w:t>S</w:t>
      </w:r>
      <w:r w:rsidRPr="00E004D2">
        <w:rPr>
          <w:rFonts w:ascii="Arial" w:hAnsi="Arial" w:cs="Arial"/>
          <w:i/>
          <w:sz w:val="26"/>
          <w:szCs w:val="26"/>
          <w:lang w:val="en-US"/>
        </w:rPr>
        <w:t>eeds</w:t>
      </w:r>
      <w:r>
        <w:rPr>
          <w:rFonts w:ascii="Arial" w:hAnsi="Arial" w:cs="Arial"/>
          <w:i/>
          <w:sz w:val="26"/>
          <w:szCs w:val="26"/>
          <w:lang w:val="en-US"/>
        </w:rPr>
        <w:t xml:space="preserve"> </w:t>
      </w:r>
      <w:r w:rsidRPr="00E004D2">
        <w:rPr>
          <w:rFonts w:ascii="Arial" w:hAnsi="Arial" w:cs="Arial"/>
          <w:i/>
          <w:sz w:val="26"/>
          <w:szCs w:val="26"/>
          <w:lang w:val="en-US"/>
        </w:rPr>
        <w:t>for</w:t>
      </w:r>
      <w:r>
        <w:rPr>
          <w:rFonts w:ascii="Arial" w:hAnsi="Arial" w:cs="Arial"/>
          <w:i/>
          <w:sz w:val="26"/>
          <w:szCs w:val="26"/>
          <w:lang w:val="en-US"/>
        </w:rPr>
        <w:t xml:space="preserve"> </w:t>
      </w:r>
      <w:r w:rsidRPr="00E004D2">
        <w:rPr>
          <w:rFonts w:ascii="Arial" w:hAnsi="Arial" w:cs="Arial"/>
          <w:i/>
          <w:sz w:val="26"/>
          <w:szCs w:val="26"/>
          <w:lang w:val="en-US"/>
        </w:rPr>
        <w:t>the</w:t>
      </w:r>
      <w:r>
        <w:rPr>
          <w:rFonts w:ascii="Arial" w:hAnsi="Arial" w:cs="Arial"/>
          <w:i/>
          <w:sz w:val="26"/>
          <w:szCs w:val="26"/>
          <w:lang w:val="en-US"/>
        </w:rPr>
        <w:t xml:space="preserve"> </w:t>
      </w:r>
      <w:r w:rsidRPr="00E004D2">
        <w:rPr>
          <w:rFonts w:ascii="Arial" w:hAnsi="Arial" w:cs="Arial"/>
          <w:i/>
          <w:sz w:val="26"/>
          <w:szCs w:val="26"/>
          <w:lang w:val="en-US"/>
        </w:rPr>
        <w:t>future</w:t>
      </w:r>
      <w:r>
        <w:rPr>
          <w:rFonts w:ascii="Arial" w:hAnsi="Arial" w:cs="Arial"/>
          <w:i/>
          <w:sz w:val="26"/>
          <w:szCs w:val="26"/>
          <w:lang w:val="en-US"/>
        </w:rPr>
        <w:t>, H</w:t>
      </w:r>
      <w:r w:rsidRPr="00E004D2">
        <w:rPr>
          <w:rFonts w:ascii="Arial" w:hAnsi="Arial" w:cs="Arial"/>
          <w:i/>
          <w:sz w:val="26"/>
          <w:szCs w:val="26"/>
          <w:lang w:val="en-US"/>
        </w:rPr>
        <w:t>uawei</w:t>
      </w:r>
      <w:r>
        <w:rPr>
          <w:rFonts w:ascii="Arial" w:hAnsi="Arial" w:cs="Arial"/>
          <w:i/>
          <w:sz w:val="26"/>
          <w:szCs w:val="26"/>
          <w:lang w:val="en-US"/>
        </w:rPr>
        <w:t>,</w:t>
      </w:r>
      <w:r>
        <w:rPr>
          <w:rFonts w:ascii="Arial" w:hAnsi="Arial" w:cs="Arial"/>
          <w:i/>
          <w:sz w:val="26"/>
          <w:szCs w:val="26"/>
        </w:rPr>
        <w:t xml:space="preserve"> </w:t>
      </w:r>
      <w:r>
        <w:rPr>
          <w:rFonts w:ascii="Arial" w:hAnsi="Arial" w:cs="Arial"/>
          <w:i/>
          <w:sz w:val="26"/>
          <w:szCs w:val="26"/>
          <w:lang w:val="en-US"/>
        </w:rPr>
        <w:t>21.11.2022</w:t>
      </w:r>
      <w:r>
        <w:rPr>
          <w:rFonts w:ascii="Arial" w:hAnsi="Arial" w:cs="Arial"/>
          <w:i/>
          <w:sz w:val="26"/>
          <w:szCs w:val="26"/>
        </w:rPr>
        <w:t>г.</w:t>
      </w:r>
      <w:r w:rsidRPr="00E004D2">
        <w:rPr>
          <w:rFonts w:ascii="Arial" w:hAnsi="Arial" w:cs="Arial"/>
          <w:i/>
          <w:sz w:val="26"/>
          <w:szCs w:val="26"/>
          <w:highlight w:val="yellow"/>
        </w:rPr>
        <w:t xml:space="preserve"> </w:t>
      </w:r>
      <w:r w:rsidR="001F5931" w:rsidRPr="00E004D2">
        <w:rPr>
          <w:rFonts w:ascii="Arial" w:hAnsi="Arial" w:cs="Arial"/>
          <w:i/>
          <w:sz w:val="26"/>
          <w:szCs w:val="26"/>
          <w:highlight w:val="yellow"/>
        </w:rPr>
        <w:br w:type="page"/>
      </w:r>
    </w:p>
    <w:p w14:paraId="0A20DBD9" w14:textId="77777777" w:rsidR="00861DB6" w:rsidRPr="00D87119" w:rsidRDefault="00861DB6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D87119">
        <w:rPr>
          <w:rFonts w:ascii="Arial" w:hAnsi="Arial" w:cs="Arial"/>
          <w:i/>
          <w:sz w:val="26"/>
          <w:szCs w:val="26"/>
        </w:rPr>
        <w:lastRenderedPageBreak/>
        <w:t xml:space="preserve">2.3.  </w:t>
      </w:r>
      <w:r w:rsidR="00C31B4F" w:rsidRPr="00D87119">
        <w:rPr>
          <w:rFonts w:ascii="Arial" w:hAnsi="Arial" w:cs="Arial"/>
          <w:i/>
          <w:sz w:val="26"/>
          <w:szCs w:val="26"/>
        </w:rPr>
        <w:t>Списък на съставената</w:t>
      </w:r>
      <w:r w:rsidRPr="00D87119">
        <w:rPr>
          <w:rFonts w:ascii="Arial" w:hAnsi="Arial" w:cs="Arial"/>
          <w:i/>
          <w:sz w:val="26"/>
          <w:szCs w:val="26"/>
        </w:rPr>
        <w:t xml:space="preserve"> библиография и проучени </w:t>
      </w:r>
      <w:r w:rsidR="00277ABC" w:rsidRPr="00D87119">
        <w:rPr>
          <w:rFonts w:ascii="Arial" w:hAnsi="Arial" w:cs="Arial"/>
          <w:i/>
          <w:sz w:val="26"/>
          <w:szCs w:val="26"/>
        </w:rPr>
        <w:t>източници:</w:t>
      </w:r>
    </w:p>
    <w:p w14:paraId="0503206C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Ashbacher, C. (2010). </w:t>
      </w:r>
      <w:r w:rsidRPr="0075059D">
        <w:rPr>
          <w:i/>
          <w:iCs/>
        </w:rPr>
        <w:t>Succeeding With Agile: Software Development Using Scrum, by Mike Cohn</w:t>
      </w:r>
      <w:r>
        <w:t xml:space="preserve">. </w:t>
      </w:r>
      <w:r>
        <w:rPr>
          <w:i/>
          <w:iCs/>
        </w:rPr>
        <w:t>The Journal of Object Technology</w:t>
      </w:r>
      <w:r>
        <w:t xml:space="preserve">, </w:t>
      </w:r>
      <w:r>
        <w:rPr>
          <w:i/>
          <w:iCs/>
        </w:rPr>
        <w:t>9</w:t>
      </w:r>
      <w:r>
        <w:t>(4). https://doi.org/10.5381/jot.2010.9.4.r1.</w:t>
      </w:r>
    </w:p>
    <w:p w14:paraId="63FF9331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Avram, A. </w:t>
      </w:r>
      <w:r w:rsidRPr="00D45D49">
        <w:t xml:space="preserve">(2007). </w:t>
      </w:r>
      <w:r w:rsidRPr="00D45D49">
        <w:rPr>
          <w:i/>
          <w:iCs/>
        </w:rPr>
        <w:t>Domain-Driven Design Quickly</w:t>
      </w:r>
      <w:r w:rsidRPr="00D45D49">
        <w:t>. Lulu.com.</w:t>
      </w:r>
    </w:p>
    <w:p w14:paraId="5EBEB556" w14:textId="77777777" w:rsidR="005B211D" w:rsidRPr="00286E77" w:rsidRDefault="005B211D" w:rsidP="005B211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45D49">
        <w:rPr>
          <w:rFonts w:ascii="Times New Roman" w:hAnsi="Times New Roman"/>
          <w:sz w:val="20"/>
          <w:szCs w:val="20"/>
        </w:rPr>
        <w:t>Batista, F</w:t>
      </w:r>
      <w:r w:rsidRPr="00286E77">
        <w:rPr>
          <w:rFonts w:ascii="Times New Roman" w:hAnsi="Times New Roman"/>
          <w:sz w:val="20"/>
          <w:szCs w:val="20"/>
        </w:rPr>
        <w:t xml:space="preserve">. (2019). </w:t>
      </w:r>
      <w:r w:rsidRPr="00D45D49">
        <w:rPr>
          <w:rFonts w:ascii="Times New Roman" w:hAnsi="Times New Roman"/>
          <w:i/>
          <w:iCs/>
          <w:sz w:val="20"/>
          <w:szCs w:val="20"/>
        </w:rPr>
        <w:t>Developing the ubiquitous language</w:t>
      </w:r>
      <w:r w:rsidRPr="00286E77">
        <w:rPr>
          <w:rFonts w:ascii="Times New Roman" w:hAnsi="Times New Roman"/>
          <w:sz w:val="20"/>
          <w:szCs w:val="20"/>
        </w:rPr>
        <w:t>. Retrieved from:</w:t>
      </w:r>
    </w:p>
    <w:p w14:paraId="553F8BB8" w14:textId="77777777" w:rsidR="005B211D" w:rsidRDefault="005B211D" w:rsidP="005B211D">
      <w:pPr>
        <w:pStyle w:val="ListParagraph"/>
        <w:spacing w:after="0" w:line="240" w:lineRule="auto"/>
        <w:ind w:left="360"/>
        <w:jc w:val="both"/>
      </w:pPr>
      <w:r w:rsidRPr="00D45D49">
        <w:rPr>
          <w:sz w:val="20"/>
          <w:szCs w:val="20"/>
        </w:rPr>
        <w:t>https://thedomaindrivendesign.io/developing-the-ubiquitous-language</w:t>
      </w:r>
      <w:r w:rsidRPr="00D45D49">
        <w:t xml:space="preserve"> </w:t>
      </w:r>
      <w:r w:rsidRPr="00286E77">
        <w:rPr>
          <w:rFonts w:ascii="Times New Roman" w:hAnsi="Times New Roman"/>
          <w:sz w:val="20"/>
          <w:szCs w:val="20"/>
        </w:rPr>
        <w:t xml:space="preserve">[accessed: 19 </w:t>
      </w:r>
      <w:r>
        <w:rPr>
          <w:rFonts w:ascii="Times New Roman" w:hAnsi="Times New Roman"/>
          <w:sz w:val="20"/>
          <w:szCs w:val="20"/>
        </w:rPr>
        <w:t>May</w:t>
      </w:r>
      <w:r w:rsidRPr="00286E77">
        <w:rPr>
          <w:rFonts w:ascii="Times New Roman" w:hAnsi="Times New Roman"/>
          <w:sz w:val="20"/>
          <w:szCs w:val="20"/>
        </w:rPr>
        <w:t xml:space="preserve"> 202</w:t>
      </w:r>
      <w:r>
        <w:rPr>
          <w:rFonts w:ascii="Times New Roman" w:hAnsi="Times New Roman"/>
          <w:sz w:val="20"/>
          <w:szCs w:val="20"/>
        </w:rPr>
        <w:t>3</w:t>
      </w:r>
      <w:r w:rsidRPr="00286E77">
        <w:rPr>
          <w:rFonts w:ascii="Times New Roman" w:hAnsi="Times New Roman"/>
          <w:sz w:val="20"/>
          <w:szCs w:val="20"/>
        </w:rPr>
        <w:t>].</w:t>
      </w:r>
      <w:r>
        <w:t xml:space="preserve"> </w:t>
      </w:r>
    </w:p>
    <w:p w14:paraId="01DFE5C4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Betts, D., Dominguez, J., Melnik, G., Simonazzi, F., &amp; Subramanian, M. (2012). </w:t>
      </w:r>
      <w:r>
        <w:rPr>
          <w:i/>
          <w:iCs/>
        </w:rPr>
        <w:t>Exploring CQRS and Event Sourcing: A journey into high scalability, availability, and maintainability with Windows Azure</w:t>
      </w:r>
      <w:r>
        <w:t>.</w:t>
      </w:r>
    </w:p>
    <w:p w14:paraId="057E5477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Bissi, W., Neto, A. T., &amp; Emer, M. C. F. P. (2016). </w:t>
      </w:r>
      <w:r w:rsidRPr="00676649">
        <w:rPr>
          <w:i/>
          <w:iCs/>
        </w:rPr>
        <w:t>The effects of test driven development on internal quality, external quality and productivity: A systematic review</w:t>
      </w:r>
      <w:r>
        <w:t xml:space="preserve">. </w:t>
      </w:r>
      <w:r>
        <w:rPr>
          <w:i/>
          <w:iCs/>
        </w:rPr>
        <w:t>Information &amp; Software Technology</w:t>
      </w:r>
      <w:r>
        <w:t xml:space="preserve">, </w:t>
      </w:r>
      <w:r>
        <w:rPr>
          <w:i/>
          <w:iCs/>
        </w:rPr>
        <w:t>74</w:t>
      </w:r>
      <w:r>
        <w:t xml:space="preserve">, 45–54. </w:t>
      </w:r>
      <w:hyperlink r:id="rId8" w:history="1">
        <w:r w:rsidRPr="001E2FE9">
          <w:rPr>
            <w:rStyle w:val="Hyperlink"/>
          </w:rPr>
          <w:t>https://doi.org/10.1016/j.infsof.2016.02.004</w:t>
        </w:r>
      </w:hyperlink>
      <w:r>
        <w:t>.</w:t>
      </w:r>
    </w:p>
    <w:p w14:paraId="5A7B1EEA" w14:textId="77777777" w:rsidR="005B211D" w:rsidRPr="00F15A1E" w:rsidRDefault="005B211D" w:rsidP="005B211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15A1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Booch, G., Maksimchuk, R., Engle, M., Conallen, J., Houston, K., &amp; Young, B., PhD. (2007). </w:t>
      </w:r>
      <w:r w:rsidRPr="00F15A1E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Object-Oriented Analysis and Design with Applications</w:t>
      </w:r>
      <w:r w:rsidRPr="00F15A1E">
        <w:rPr>
          <w:rFonts w:ascii="Times New Roman" w:eastAsia="Times New Roman" w:hAnsi="Times New Roman" w:cs="Times New Roman"/>
          <w:sz w:val="20"/>
          <w:szCs w:val="20"/>
          <w:lang w:val="en-US"/>
        </w:rPr>
        <w:t>. Pearson Education.</w:t>
      </w:r>
    </w:p>
    <w:p w14:paraId="405DE4FE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Braun, S., Bieniusa, A., &amp; Elberzhager, F. (2021). </w:t>
      </w:r>
      <w:r w:rsidRPr="00676649">
        <w:rPr>
          <w:i/>
          <w:iCs/>
        </w:rPr>
        <w:t>Advanced Domain-Driven Design for Consistency in Distributed Data-Intensive Systems</w:t>
      </w:r>
      <w:r>
        <w:t xml:space="preserve">. </w:t>
      </w:r>
      <w:r>
        <w:rPr>
          <w:i/>
          <w:iCs/>
        </w:rPr>
        <w:t>European Conference on Computer Systems</w:t>
      </w:r>
      <w:r>
        <w:t>. https://doi.org/10.1145/3447865.3457969</w:t>
      </w:r>
    </w:p>
    <w:p w14:paraId="6D26C7B3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Brewer, E. (2012). </w:t>
      </w:r>
      <w:r w:rsidRPr="00676649">
        <w:rPr>
          <w:i/>
          <w:iCs/>
        </w:rPr>
        <w:t>Pushing the CAP: Strategies for Consistency and Availability</w:t>
      </w:r>
      <w:r>
        <w:t xml:space="preserve">. </w:t>
      </w:r>
      <w:r>
        <w:rPr>
          <w:i/>
          <w:iCs/>
        </w:rPr>
        <w:t>IEEE Computer</w:t>
      </w:r>
      <w:r>
        <w:t xml:space="preserve">, </w:t>
      </w:r>
      <w:r>
        <w:rPr>
          <w:i/>
          <w:iCs/>
        </w:rPr>
        <w:t>45</w:t>
      </w:r>
      <w:r>
        <w:t>(2), 23–29. http://dx.doi.org/10.1109/MC.2012.37</w:t>
      </w:r>
    </w:p>
    <w:p w14:paraId="03C81FA8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Caron, R. (2023). </w:t>
      </w:r>
      <w:r>
        <w:rPr>
          <w:i/>
          <w:iCs/>
        </w:rPr>
        <w:t>Get the Azure Quick Start Guide for .NET Developers</w:t>
      </w:r>
      <w:r>
        <w:t xml:space="preserve">. Microsoft. </w:t>
      </w:r>
      <w:hyperlink r:id="rId9" w:history="1">
        <w:r w:rsidRPr="00433BA9">
          <w:rPr>
            <w:rStyle w:val="Hyperlink"/>
          </w:rPr>
          <w:t>https://azure.microsoft.com/en-us/blog/get-the-azure-quick-start-guide-for-net-developers/</w:t>
        </w:r>
      </w:hyperlink>
    </w:p>
    <w:p w14:paraId="2F732CCD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De La Torre, C. (2022, September 09). </w:t>
      </w:r>
      <w:r>
        <w:rPr>
          <w:i/>
          <w:iCs/>
        </w:rPr>
        <w:t>Containerized Docker Application Lifecycle with Microsoft Platform and Tools</w:t>
      </w:r>
      <w:r>
        <w:t>. Microsoft Learn. https://learn.microsoft.com/en-us/dotnet/architecture/containerized-lifecycle/</w:t>
      </w:r>
    </w:p>
    <w:p w14:paraId="708A73DC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>De La Torre, C.,</w:t>
      </w:r>
      <w:r w:rsidRPr="001B5044">
        <w:t xml:space="preserve"> </w:t>
      </w:r>
      <w:r>
        <w:t xml:space="preserve">Wagner, B., </w:t>
      </w:r>
      <w:r w:rsidRPr="00317E5F">
        <w:t>Rousos</w:t>
      </w:r>
      <w:r>
        <w:t>, M., (2023, March 22). .</w:t>
      </w:r>
      <w:r w:rsidRPr="00B25802">
        <w:rPr>
          <w:i/>
          <w:iCs/>
        </w:rPr>
        <w:t>NET Microservices. Architecture for Containerized .NET Applications</w:t>
      </w:r>
      <w:r>
        <w:t>. Microsoft Learn. https://learn.microsoft.com/en-us/dotnet/architecture/microservices/</w:t>
      </w:r>
    </w:p>
    <w:p w14:paraId="0A8BB264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Debski, A., Szczepanik, B., Malawski, M., Spahr, S., &amp; Muthig, D. (2018). </w:t>
      </w:r>
      <w:r w:rsidRPr="00AF0B3E">
        <w:rPr>
          <w:i/>
          <w:iCs/>
        </w:rPr>
        <w:t>A Scalable, Reactive Architecture for Cloud Applications</w:t>
      </w:r>
      <w:r>
        <w:t xml:space="preserve">. </w:t>
      </w:r>
      <w:r w:rsidRPr="00317E5F">
        <w:rPr>
          <w:i/>
          <w:iCs/>
        </w:rPr>
        <w:t>IEEE Software</w:t>
      </w:r>
      <w:r>
        <w:t xml:space="preserve">, </w:t>
      </w:r>
      <w:r w:rsidRPr="00317E5F">
        <w:rPr>
          <w:i/>
          <w:iCs/>
        </w:rPr>
        <w:t>35</w:t>
      </w:r>
      <w:r>
        <w:t>(2), 62–71. https://doi.org/10.1109/ms.2017.265095722</w:t>
      </w:r>
    </w:p>
    <w:p w14:paraId="2C47565C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Erl, T. (2007). </w:t>
      </w:r>
      <w:r w:rsidRPr="00AF0B3E">
        <w:rPr>
          <w:i/>
          <w:iCs/>
        </w:rPr>
        <w:t>SOA Principles of Service Design (The Prenice Hall Service-Oriented Computing Series)</w:t>
      </w:r>
      <w:r>
        <w:t xml:space="preserve">. In </w:t>
      </w:r>
      <w:r>
        <w:rPr>
          <w:i/>
          <w:iCs/>
        </w:rPr>
        <w:t>Prentice Hall PTR eBooks</w:t>
      </w:r>
      <w:r>
        <w:t>. Prentice Hall PTR. https://dl.acm.org/citation.cfm?id=1296147</w:t>
      </w:r>
    </w:p>
    <w:p w14:paraId="47C8CB75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Evans, E. (2003). </w:t>
      </w:r>
      <w:r w:rsidRPr="00AF0B3E">
        <w:rPr>
          <w:i/>
          <w:iCs/>
        </w:rPr>
        <w:t>Domain-Driven Design: Tacking Complexity In the Heart of Software</w:t>
      </w:r>
      <w:r>
        <w:t xml:space="preserve">. </w:t>
      </w:r>
      <w:r>
        <w:rPr>
          <w:i/>
          <w:iCs/>
        </w:rPr>
        <w:t>Addison-Wesley Longman Publishing Co., Inc. eBooks</w:t>
      </w:r>
      <w:r>
        <w:t>. http://dl.acm.org/citation.cfm?id=861502&amp;dl=ACM&amp;coll=DL</w:t>
      </w:r>
    </w:p>
    <w:p w14:paraId="7D321EA4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Evans, E. (2004). </w:t>
      </w:r>
      <w:r>
        <w:rPr>
          <w:i/>
          <w:iCs/>
        </w:rPr>
        <w:t>Domain-driven Design: Tackling Complexity in the Heart of Software</w:t>
      </w:r>
      <w:r>
        <w:t>. Addison-Wesley Professional.</w:t>
      </w:r>
    </w:p>
    <w:p w14:paraId="06CE834D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Fields, J., Harvie, S., Fowler, M., &amp; Beck, K. (2009). </w:t>
      </w:r>
      <w:r>
        <w:rPr>
          <w:i/>
          <w:iCs/>
        </w:rPr>
        <w:t>Refactoring: Ruby Edition</w:t>
      </w:r>
      <w:r>
        <w:t>. Pearson Education.</w:t>
      </w:r>
    </w:p>
    <w:p w14:paraId="3B8FCF0E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Fowler, M. (2010). </w:t>
      </w:r>
      <w:r>
        <w:rPr>
          <w:i/>
          <w:iCs/>
        </w:rPr>
        <w:t>Domain-Specific Languages</w:t>
      </w:r>
      <w:r>
        <w:t>. Pearson Education.</w:t>
      </w:r>
    </w:p>
    <w:p w14:paraId="17071AC3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Fowler, M. (2012). </w:t>
      </w:r>
      <w:r>
        <w:rPr>
          <w:i/>
          <w:iCs/>
        </w:rPr>
        <w:t>Fowler: Pattern Enterpr Applica Arch</w:t>
      </w:r>
      <w:r>
        <w:t>. Addison-Wesley.</w:t>
      </w:r>
    </w:p>
    <w:p w14:paraId="069A7A0B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lastRenderedPageBreak/>
        <w:t xml:space="preserve">Garverick, J., &amp; McIver, O. D. (2023). </w:t>
      </w:r>
      <w:r>
        <w:rPr>
          <w:i/>
          <w:iCs/>
        </w:rPr>
        <w:t>Implementing Event-Driven Microservices Architecture in .NET 7: Develop event-based distributed apps that can scale with ever-changing business demands using C# 11 and .NET 7</w:t>
      </w:r>
      <w:r>
        <w:t>. Packt Publishing Ltd.</w:t>
      </w:r>
    </w:p>
    <w:p w14:paraId="6F48AB3F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 w:rsidRPr="00F30A18">
        <w:t xml:space="preserve">Hippchen, B., Giessler, P., Steinegger, R. H., Schneider, M., &amp; Abeck, S. (2017). </w:t>
      </w:r>
      <w:r w:rsidRPr="00F30A18">
        <w:rPr>
          <w:i/>
          <w:iCs/>
        </w:rPr>
        <w:t>Designing Microservice-Based Applications by Using a Domain-Driven Design Approach</w:t>
      </w:r>
      <w:r w:rsidRPr="00F30A18">
        <w:t xml:space="preserve">. International Journal on Advances in Software, 10, 432–445. </w:t>
      </w:r>
      <w:hyperlink r:id="rId10" w:history="1">
        <w:r w:rsidRPr="00E67B03">
          <w:rPr>
            <w:rStyle w:val="Hyperlink"/>
          </w:rPr>
          <w:t>https://www.thinkmind.org/articles/soft_v10_n34_2017_22.pdf</w:t>
        </w:r>
      </w:hyperlink>
    </w:p>
    <w:p w14:paraId="51DE7304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Huang, D., Xing, T., &amp; Wu, H. (2013). </w:t>
      </w:r>
      <w:r w:rsidRPr="00BD4F7C">
        <w:rPr>
          <w:i/>
          <w:iCs/>
        </w:rPr>
        <w:t>Mobile cloud computing service models: a user-centric approac</w:t>
      </w:r>
      <w:r>
        <w:t xml:space="preserve">h. </w:t>
      </w:r>
      <w:r>
        <w:rPr>
          <w:i/>
          <w:iCs/>
        </w:rPr>
        <w:t>IEEE Network</w:t>
      </w:r>
      <w:r>
        <w:t xml:space="preserve">, </w:t>
      </w:r>
      <w:r>
        <w:rPr>
          <w:i/>
          <w:iCs/>
        </w:rPr>
        <w:t>27</w:t>
      </w:r>
      <w:r>
        <w:t>(5), 6–11. https://doi.org/10.1109/mnet.2013.6616109</w:t>
      </w:r>
    </w:p>
    <w:p w14:paraId="5DEF4647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Indrasiri, K., &amp; Suhothayan, S. (2021). </w:t>
      </w:r>
      <w:r>
        <w:rPr>
          <w:i/>
          <w:iCs/>
        </w:rPr>
        <w:t>Design Patterns for Cloud Native Applications</w:t>
      </w:r>
      <w:r>
        <w:t>. “O’Reilly Media, Inc.”</w:t>
      </w:r>
    </w:p>
    <w:p w14:paraId="3F680C3A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Khononov, V. (2021). </w:t>
      </w:r>
      <w:r>
        <w:rPr>
          <w:i/>
          <w:iCs/>
        </w:rPr>
        <w:t>Learning Domain-Driven Design</w:t>
      </w:r>
      <w:r>
        <w:t>. “O’Reilly Media, Inc.”</w:t>
      </w:r>
    </w:p>
    <w:p w14:paraId="15A9DF45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Kumar, V., &amp; Agnihotri, K. (2021). </w:t>
      </w:r>
      <w:r>
        <w:rPr>
          <w:i/>
          <w:iCs/>
        </w:rPr>
        <w:t>Serverless Computing Using Azure Functions: Build, Deploy, Automate, and Secure Serverless Application Development with Azure Functions (English Edition)</w:t>
      </w:r>
      <w:r>
        <w:t>. BPB Publications.</w:t>
      </w:r>
    </w:p>
    <w:p w14:paraId="30E71782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Landre, E., Wesenberg, H., &amp; Olmheim, J. (2007). Agile enterprise software development using domain-driven design and test first. </w:t>
      </w:r>
      <w:r>
        <w:rPr>
          <w:i/>
          <w:iCs/>
        </w:rPr>
        <w:t>Conference on Object-Oriented Programming Systems, Languages, and Applications</w:t>
      </w:r>
      <w:r>
        <w:t>. https://doi.org/10.1145/1297846.1297967</w:t>
      </w:r>
    </w:p>
    <w:p w14:paraId="2C7DADF8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Martin, R. C. (2008). </w:t>
      </w:r>
      <w:r>
        <w:rPr>
          <w:i/>
          <w:iCs/>
        </w:rPr>
        <w:t>Clean Code: A Handbook of Agile Software Craftsmanship</w:t>
      </w:r>
      <w:r>
        <w:t>. Pearson Education.</w:t>
      </w:r>
    </w:p>
    <w:p w14:paraId="6C87D177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Martin, R. C. (2017). </w:t>
      </w:r>
      <w:r>
        <w:rPr>
          <w:i/>
          <w:iCs/>
        </w:rPr>
        <w:t>Clean Architecture: A Craftsman’s Guide to Software Structure and Design</w:t>
      </w:r>
      <w:r>
        <w:t>. Prentice Hall.</w:t>
      </w:r>
    </w:p>
    <w:p w14:paraId="317BC249" w14:textId="77777777" w:rsidR="005B211D" w:rsidRPr="00D26142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 w:rsidRPr="00D26142">
        <w:t xml:space="preserve">Meyer, B. (1997). </w:t>
      </w:r>
      <w:r w:rsidRPr="008B3C41">
        <w:rPr>
          <w:i/>
          <w:iCs/>
        </w:rPr>
        <w:t>Object-oriented Software Construction</w:t>
      </w:r>
      <w:r w:rsidRPr="00D26142">
        <w:t>. Prentice Hall.</w:t>
      </w:r>
    </w:p>
    <w:p w14:paraId="73D92E54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Millett, S., &amp; Tune, N. (2015). </w:t>
      </w:r>
      <w:r>
        <w:rPr>
          <w:i/>
          <w:iCs/>
        </w:rPr>
        <w:t>Patterns, Principles, and Practices of Domain-Driven Design</w:t>
      </w:r>
      <w:r>
        <w:t>. John Wiley &amp; Sons.</w:t>
      </w:r>
    </w:p>
    <w:p w14:paraId="6DD3351D" w14:textId="77777777" w:rsidR="005B211D" w:rsidRPr="00AF0B3E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Myers, B. (2022, January 5). </w:t>
      </w:r>
      <w:r w:rsidRPr="003A6D07">
        <w:rPr>
          <w:i/>
          <w:iCs/>
        </w:rPr>
        <w:t>Red, Green, Refactor. What is Test-Driven Development</w:t>
      </w:r>
      <w:r>
        <w:rPr>
          <w:i/>
          <w:iCs/>
        </w:rPr>
        <w:t>.</w:t>
      </w:r>
      <w:r>
        <w:t xml:space="preserve"> </w:t>
      </w:r>
      <w:r w:rsidRPr="00286E77">
        <w:t>Retrieved from:</w:t>
      </w:r>
      <w:r>
        <w:t xml:space="preserve">. </w:t>
      </w:r>
      <w:hyperlink r:id="rId11" w:history="1">
        <w:r w:rsidRPr="00433BA9">
          <w:rPr>
            <w:rStyle w:val="Hyperlink"/>
          </w:rPr>
          <w:t>https://medium.com/codecastpublication/red-green-refactor-what-is-test-driven-development-302794e06c</w:t>
        </w:r>
      </w:hyperlink>
      <w:r>
        <w:t xml:space="preserve"> </w:t>
      </w:r>
      <w:r w:rsidRPr="00AF0B3E">
        <w:t xml:space="preserve">[accessed: </w:t>
      </w:r>
      <w:r>
        <w:t>2</w:t>
      </w:r>
      <w:r w:rsidRPr="00AF0B3E">
        <w:t>9 September 202</w:t>
      </w:r>
      <w:r>
        <w:t>2</w:t>
      </w:r>
      <w:r w:rsidRPr="00AF0B3E">
        <w:t>].</w:t>
      </w:r>
    </w:p>
    <w:p w14:paraId="5AA98940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Nguyen, P., Song, H., Chauvel, F., Muller, R., Boyar, S., &amp; Levin, E. (2019). Using microservices for non-intrusive customization of multi-tenant SaaS. In </w:t>
      </w:r>
      <w:r>
        <w:rPr>
          <w:i/>
          <w:iCs/>
        </w:rPr>
        <w:t>Foundations of Software Engineering</w:t>
      </w:r>
      <w:r>
        <w:t>. https://doi.org/10.1145/3338906.3340452</w:t>
      </w:r>
    </w:p>
    <w:p w14:paraId="350355DC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 w:rsidRPr="0094599D">
        <w:t xml:space="preserve">Nilsson, J. (2006b). </w:t>
      </w:r>
      <w:r w:rsidRPr="0094599D">
        <w:rPr>
          <w:i/>
          <w:iCs/>
        </w:rPr>
        <w:t>Applying Domain-Driven Design and Patterns: With Examples in C# and .NET</w:t>
      </w:r>
      <w:r w:rsidRPr="0094599D">
        <w:t>. Pearson Education.</w:t>
      </w:r>
    </w:p>
    <w:p w14:paraId="5C01AB31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Palermo, J. (2019). </w:t>
      </w:r>
      <w:r>
        <w:rPr>
          <w:i/>
          <w:iCs/>
        </w:rPr>
        <w:t>.NET DevOps for Azure: A Developer’s Guide to DevOps Architecture the Right Way</w:t>
      </w:r>
      <w:r>
        <w:t>. Apress.</w:t>
      </w:r>
    </w:p>
    <w:p w14:paraId="47116193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Rademacher, F., Sachweh, S., &amp; Zündorf, A. (2017). Towards a UML Profile for Domain-Driven Design of Microservice Architectures. In </w:t>
      </w:r>
      <w:r>
        <w:rPr>
          <w:i/>
          <w:iCs/>
        </w:rPr>
        <w:t>Lecture Notes in Computer Science</w:t>
      </w:r>
      <w:r>
        <w:t xml:space="preserve"> (pp. 230–245). Springer Science+Business Media. https://doi.org/10.1007/978-3-319-74781-1_17</w:t>
      </w:r>
    </w:p>
    <w:p w14:paraId="00D91807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Rademacher, F., Sorgalla, J., &amp; Sachweh, S. (2018). Challenges of Domain-Driven Microservice Design: A Model-Driven Perspective. </w:t>
      </w:r>
      <w:r>
        <w:rPr>
          <w:i/>
          <w:iCs/>
        </w:rPr>
        <w:t>IEEE Software</w:t>
      </w:r>
      <w:r>
        <w:t xml:space="preserve">, </w:t>
      </w:r>
      <w:r>
        <w:rPr>
          <w:i/>
          <w:iCs/>
        </w:rPr>
        <w:t>35</w:t>
      </w:r>
      <w:r>
        <w:t xml:space="preserve">(3), 36–43. </w:t>
      </w:r>
      <w:hyperlink r:id="rId12" w:history="1">
        <w:r w:rsidRPr="00E67B03">
          <w:rPr>
            <w:rStyle w:val="Hyperlink"/>
          </w:rPr>
          <w:t>https://doi.org/10.1109/ms.2018.2141028</w:t>
        </w:r>
      </w:hyperlink>
    </w:p>
    <w:p w14:paraId="237B6CEE" w14:textId="77777777" w:rsidR="005B211D" w:rsidRPr="008141C8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 w:rsidRPr="008141C8">
        <w:t xml:space="preserve">Steinegger, R. H., Giessler, P., Hippchen, B., &amp; Abeck, S. (2017). </w:t>
      </w:r>
      <w:r w:rsidRPr="008141C8">
        <w:rPr>
          <w:i/>
          <w:iCs/>
        </w:rPr>
        <w:t>Overview of a Domain-Driven Design Approach to Build Microservice-Based Applications</w:t>
      </w:r>
      <w:r w:rsidRPr="008141C8">
        <w:t>. Conference: The Third International Conference on Advances and Trends in Software Engineering (SOFTENG 2017), 79–87. https://www.thinkmind.org/articles/softeng_2017_4_30_64138.pdf</w:t>
      </w:r>
    </w:p>
    <w:p w14:paraId="510EBCA1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lastRenderedPageBreak/>
        <w:t xml:space="preserve">Stuckenberg, S., Kude, T., &amp; Heinzl, A. (2014). Understanding the role of organizational integration in developing and operating Software-as-a-Service. </w:t>
      </w:r>
      <w:r>
        <w:rPr>
          <w:i/>
          <w:iCs/>
        </w:rPr>
        <w:t>Journal of Business Economics</w:t>
      </w:r>
      <w:r>
        <w:t xml:space="preserve">, </w:t>
      </w:r>
      <w:r>
        <w:rPr>
          <w:i/>
          <w:iCs/>
        </w:rPr>
        <w:t>84</w:t>
      </w:r>
      <w:r>
        <w:t>(8), 1019–1050. https://doi.org/10.1007/s11573-013-0701-5</w:t>
      </w:r>
    </w:p>
    <w:p w14:paraId="3D674D7C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Uludağ, Ö., Hauder, M., Kleehaus, M., Schimpfle, C., &amp; Matthes, F. (2018). Supporting Large-Scale Agile Development with Domain-Driven Design. </w:t>
      </w:r>
      <w:r>
        <w:rPr>
          <w:i/>
          <w:iCs/>
        </w:rPr>
        <w:t>Lecture Notes in Business Information Processing</w:t>
      </w:r>
      <w:r>
        <w:t>, 232–247. https://doi.org/10.1007/978-3-319-91602-6_16</w:t>
      </w:r>
    </w:p>
    <w:p w14:paraId="3F1459E0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Vernon, V. (2013). </w:t>
      </w:r>
      <w:r>
        <w:rPr>
          <w:i/>
          <w:iCs/>
        </w:rPr>
        <w:t>Implementing Domain-Driven Design</w:t>
      </w:r>
      <w:r>
        <w:t>. Addison-Wesley.</w:t>
      </w:r>
    </w:p>
    <w:p w14:paraId="0AC8B953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Vernon, V. (2016). </w:t>
      </w:r>
      <w:r>
        <w:rPr>
          <w:i/>
          <w:iCs/>
        </w:rPr>
        <w:t>Domain-Driven Design Distilled</w:t>
      </w:r>
      <w:r>
        <w:t>. Addison-Wesley Professional.</w:t>
      </w:r>
    </w:p>
    <w:p w14:paraId="517A5B8D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Vettor, R., </w:t>
      </w:r>
      <w:r w:rsidRPr="00DC549C">
        <w:t>Smith, S.</w:t>
      </w:r>
      <w:r>
        <w:t xml:space="preserve"> (2023). </w:t>
      </w:r>
      <w:r>
        <w:rPr>
          <w:i/>
          <w:iCs/>
        </w:rPr>
        <w:t>Architecting Cloud Native .NET Applications for Azure</w:t>
      </w:r>
      <w:r>
        <w:t>. Microsoft Learn. https://learn.microsoft.com/en-us/dotnet/architecture/cloud-native/</w:t>
      </w:r>
    </w:p>
    <w:p w14:paraId="5E17051D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Villaça, L. A., Azevedo, L. G., &amp; Baião, F. A. (2018). Query strategies on polyglot persistence in microservices. In </w:t>
      </w:r>
      <w:r>
        <w:rPr>
          <w:i/>
          <w:iCs/>
        </w:rPr>
        <w:t>ACM Symposium on Applied Computing</w:t>
      </w:r>
      <w:r>
        <w:t>. https://doi.org/10.1145/3167132.3167316</w:t>
      </w:r>
    </w:p>
    <w:p w14:paraId="342C2205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Wlaschin, S. (2018). </w:t>
      </w:r>
      <w:r>
        <w:rPr>
          <w:i/>
          <w:iCs/>
        </w:rPr>
        <w:t>Domain Modeling Made Functional: Tackle Software Complexity with Domain-Driven Design and F#</w:t>
      </w:r>
      <w:r>
        <w:t>. Pragmatic Bookshelf.</w:t>
      </w:r>
    </w:p>
    <w:p w14:paraId="1C21F6A8" w14:textId="77777777" w:rsidR="005B211D" w:rsidRPr="0016118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 w:rsidRPr="0016118D">
        <w:t>Young, G. (2011). Event Centric: Finding Simplicity in Complex Systems. Addison-Wesley Professional.</w:t>
      </w:r>
    </w:p>
    <w:p w14:paraId="33EFC60F" w14:textId="3F785277" w:rsidR="00151FF3" w:rsidRPr="00390D67" w:rsidRDefault="005B211D" w:rsidP="00390D67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Zimarev, A. (2019). </w:t>
      </w:r>
      <w:r>
        <w:rPr>
          <w:i/>
          <w:iCs/>
        </w:rPr>
        <w:t>Hands-On Domain-Driven Design with .NET Core: Tackling complexity in the heart of software by putting DDD principles into practice</w:t>
      </w:r>
      <w:r>
        <w:t>. Packt Publishing Ltd.</w:t>
      </w:r>
    </w:p>
    <w:p w14:paraId="7D7E2E78" w14:textId="77777777" w:rsidR="00151FF3" w:rsidRPr="00E55ECD" w:rsidRDefault="00151FF3" w:rsidP="00390D67">
      <w:pPr>
        <w:numPr>
          <w:ilvl w:val="0"/>
          <w:numId w:val="4"/>
        </w:numPr>
        <w:tabs>
          <w:tab w:val="left" w:pos="426"/>
        </w:tabs>
        <w:spacing w:after="0" w:line="240" w:lineRule="auto"/>
        <w:jc w:val="both"/>
        <w:rPr>
          <w:szCs w:val="28"/>
        </w:rPr>
      </w:pPr>
      <w:r w:rsidRPr="00E55ECD">
        <w:rPr>
          <w:szCs w:val="28"/>
        </w:rPr>
        <w:t>Vasilev, J., Sulov, V., Drazhev, S., Nacheva, R. Business Management Systems (MS Dynamics Navision). Developing Web Applications with the .NET Platform. Microsoft Information Systems and Applications Security.. Варна: Наука и икономика, 2015.</w:t>
      </w:r>
    </w:p>
    <w:p w14:paraId="4EC4D045" w14:textId="77777777" w:rsidR="00151FF3" w:rsidRPr="00E55ECD" w:rsidRDefault="00151FF3" w:rsidP="00390D67">
      <w:pPr>
        <w:numPr>
          <w:ilvl w:val="0"/>
          <w:numId w:val="4"/>
        </w:numPr>
        <w:tabs>
          <w:tab w:val="left" w:pos="426"/>
        </w:tabs>
        <w:spacing w:after="0" w:line="240" w:lineRule="auto"/>
        <w:jc w:val="both"/>
        <w:rPr>
          <w:szCs w:val="28"/>
        </w:rPr>
      </w:pPr>
      <w:r w:rsidRPr="00E55ECD">
        <w:rPr>
          <w:szCs w:val="28"/>
        </w:rPr>
        <w:t>Сълов, В. Приложение на езиците за програмиране на платформата .NET при разработката на софтуерни приложения. Изв. Сп. Икон. унив. - Варна , 2014, № 1, с. 13 - 22.</w:t>
      </w:r>
    </w:p>
    <w:p w14:paraId="5F582474" w14:textId="77777777" w:rsidR="00151FF3" w:rsidRDefault="00151FF3" w:rsidP="00390D67">
      <w:pPr>
        <w:widowControl w:val="0"/>
        <w:numPr>
          <w:ilvl w:val="0"/>
          <w:numId w:val="4"/>
        </w:numPr>
        <w:tabs>
          <w:tab w:val="left" w:pos="426"/>
        </w:tabs>
        <w:suppressAutoHyphens/>
        <w:spacing w:after="0" w:line="240" w:lineRule="auto"/>
        <w:jc w:val="both"/>
        <w:rPr>
          <w:szCs w:val="28"/>
        </w:rPr>
      </w:pPr>
      <w:r w:rsidRPr="008009BF">
        <w:rPr>
          <w:szCs w:val="28"/>
        </w:rPr>
        <w:t>How Netflix Deploys Code</w:t>
      </w:r>
      <w:r w:rsidRPr="0089662B">
        <w:rPr>
          <w:szCs w:val="28"/>
        </w:rPr>
        <w:t xml:space="preserve">, Infoq, 2013 </w:t>
      </w:r>
      <w:hyperlink r:id="rId13" w:history="1">
        <w:r w:rsidRPr="00FF2728">
          <w:rPr>
            <w:rStyle w:val="Hyperlink"/>
            <w:szCs w:val="28"/>
          </w:rPr>
          <w:t>https://www.infoq.com/news/2013/06/netflix/</w:t>
        </w:r>
      </w:hyperlink>
    </w:p>
    <w:p w14:paraId="537B675B" w14:textId="77777777" w:rsidR="00151FF3" w:rsidRDefault="00151FF3" w:rsidP="00390D67">
      <w:pPr>
        <w:widowControl w:val="0"/>
        <w:numPr>
          <w:ilvl w:val="0"/>
          <w:numId w:val="4"/>
        </w:numPr>
        <w:tabs>
          <w:tab w:val="left" w:pos="426"/>
        </w:tabs>
        <w:suppressAutoHyphens/>
        <w:spacing w:after="0" w:line="240" w:lineRule="auto"/>
        <w:jc w:val="both"/>
        <w:rPr>
          <w:szCs w:val="28"/>
        </w:rPr>
      </w:pPr>
      <w:r w:rsidRPr="008009BF">
        <w:rPr>
          <w:szCs w:val="28"/>
        </w:rPr>
        <w:t>Uber Engineering’s Micro Deploy: Deploying Daily with Confidence</w:t>
      </w:r>
      <w:r w:rsidRPr="009A10BB">
        <w:rPr>
          <w:szCs w:val="28"/>
        </w:rPr>
        <w:t xml:space="preserve">, Eng.Uber, 2013, </w:t>
      </w:r>
      <w:hyperlink r:id="rId14" w:history="1">
        <w:r w:rsidRPr="00FF2728">
          <w:rPr>
            <w:rStyle w:val="Hyperlink"/>
            <w:szCs w:val="28"/>
          </w:rPr>
          <w:t>https://eng.uber.com/micro-deploy-code/</w:t>
        </w:r>
      </w:hyperlink>
    </w:p>
    <w:p w14:paraId="245C6E94" w14:textId="77777777" w:rsidR="00151FF3" w:rsidRPr="003E0003" w:rsidRDefault="00151FF3" w:rsidP="00390D6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Сълова</w:t>
      </w:r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С.</w:t>
      </w:r>
      <w:r w:rsidRPr="005B7F19">
        <w:rPr>
          <w:rFonts w:cs="Times New Roman"/>
          <w:szCs w:val="28"/>
        </w:rPr>
        <w:t>,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Тодоранова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Л.,</w:t>
      </w:r>
      <w:r w:rsidRPr="005B7F19">
        <w:rPr>
          <w:rFonts w:cs="Times New Roman"/>
          <w:szCs w:val="28"/>
        </w:rPr>
        <w:t xml:space="preserve"> (201</w:t>
      </w:r>
      <w:r>
        <w:rPr>
          <w:rFonts w:cs="Times New Roman"/>
          <w:szCs w:val="28"/>
        </w:rPr>
        <w:t>8</w:t>
      </w:r>
      <w:r w:rsidRPr="005B7F19">
        <w:rPr>
          <w:rFonts w:cs="Times New Roman"/>
          <w:szCs w:val="28"/>
        </w:rPr>
        <w:t xml:space="preserve">) </w:t>
      </w:r>
      <w:r>
        <w:rPr>
          <w:rFonts w:cs="Times New Roman"/>
          <w:i/>
          <w:iCs/>
          <w:szCs w:val="28"/>
        </w:rPr>
        <w:t>Интернет технологии</w:t>
      </w:r>
      <w:r w:rsidRPr="005B7F19">
        <w:rPr>
          <w:rFonts w:cs="Times New Roman"/>
          <w:szCs w:val="28"/>
        </w:rPr>
        <w:t xml:space="preserve">.  </w:t>
      </w:r>
      <w:r>
        <w:rPr>
          <w:rFonts w:cs="Times New Roman"/>
          <w:szCs w:val="28"/>
        </w:rPr>
        <w:t>Икономически университет - Варна</w:t>
      </w:r>
      <w:r w:rsidRPr="005B7F19">
        <w:rPr>
          <w:rFonts w:cs="Times New Roman"/>
          <w:szCs w:val="28"/>
        </w:rPr>
        <w:t>.</w:t>
      </w:r>
    </w:p>
    <w:p w14:paraId="12F08930" w14:textId="77777777" w:rsidR="00151FF3" w:rsidRPr="00731EEB" w:rsidRDefault="00151FF3" w:rsidP="00390D6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cs="Times New Roman"/>
          <w:szCs w:val="28"/>
        </w:rPr>
      </w:pPr>
      <w:r>
        <w:t>Benjamin E</w:t>
      </w:r>
      <w:r>
        <w:rPr>
          <w:rFonts w:cs="Times New Roman"/>
          <w:szCs w:val="28"/>
          <w:lang w:val="en-US"/>
        </w:rPr>
        <w:t>,</w:t>
      </w:r>
      <w:r w:rsidRPr="00B0311E">
        <w:rPr>
          <w:rFonts w:cs="Times New Roman"/>
          <w:szCs w:val="28"/>
        </w:rPr>
        <w:t xml:space="preserve"> (201</w:t>
      </w:r>
      <w:r>
        <w:rPr>
          <w:rFonts w:cs="Times New Roman"/>
          <w:szCs w:val="28"/>
          <w:lang w:val="en-US"/>
        </w:rPr>
        <w:t>2</w:t>
      </w:r>
      <w:r w:rsidRPr="00B0311E">
        <w:rPr>
          <w:rFonts w:cs="Times New Roman"/>
          <w:szCs w:val="28"/>
        </w:rPr>
        <w:t xml:space="preserve">) </w:t>
      </w:r>
      <w:r w:rsidRPr="00B0311E">
        <w:rPr>
          <w:rFonts w:cs="Times New Roman"/>
          <w:i/>
          <w:iCs/>
          <w:szCs w:val="28"/>
        </w:rPr>
        <w:t>Concurrent Programming</w:t>
      </w:r>
      <w:r>
        <w:rPr>
          <w:rFonts w:cs="Times New Roman"/>
          <w:i/>
          <w:iCs/>
          <w:szCs w:val="28"/>
          <w:lang w:val="en-US"/>
        </w:rPr>
        <w:t xml:space="preserve"> </w:t>
      </w:r>
      <w:r w:rsidRPr="00B0311E">
        <w:rPr>
          <w:rFonts w:cs="Times New Roman"/>
          <w:i/>
          <w:iCs/>
          <w:szCs w:val="28"/>
        </w:rPr>
        <w:t>for</w:t>
      </w:r>
      <w:r>
        <w:rPr>
          <w:rFonts w:cs="Times New Roman"/>
          <w:i/>
          <w:iCs/>
          <w:szCs w:val="28"/>
          <w:lang w:val="en-US"/>
        </w:rPr>
        <w:t xml:space="preserve"> </w:t>
      </w:r>
      <w:r w:rsidRPr="00B0311E">
        <w:rPr>
          <w:rFonts w:cs="Times New Roman"/>
          <w:i/>
          <w:iCs/>
          <w:szCs w:val="28"/>
        </w:rPr>
        <w:t xml:space="preserve">Scalable Web Architectures. </w:t>
      </w:r>
      <w:r w:rsidRPr="00731EEB">
        <w:rPr>
          <w:rFonts w:cs="Times New Roman"/>
          <w:szCs w:val="28"/>
        </w:rPr>
        <w:t>Engineering and Computer Science</w:t>
      </w:r>
      <w:r>
        <w:rPr>
          <w:rFonts w:cs="Times New Roman"/>
          <w:szCs w:val="28"/>
          <w:lang w:val="en-US"/>
        </w:rPr>
        <w:t xml:space="preserve"> </w:t>
      </w:r>
      <w:r w:rsidRPr="00731EEB">
        <w:rPr>
          <w:rFonts w:cs="Times New Roman"/>
          <w:szCs w:val="28"/>
        </w:rPr>
        <w:t>Ulm University.</w:t>
      </w:r>
    </w:p>
    <w:p w14:paraId="30CBAC2A" w14:textId="77777777" w:rsidR="00151FF3" w:rsidRDefault="00151FF3" w:rsidP="00390D6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cs="Times New Roman"/>
          <w:szCs w:val="28"/>
        </w:rPr>
      </w:pPr>
      <w:r w:rsidRPr="00A92FBE">
        <w:rPr>
          <w:rFonts w:cs="Times New Roman"/>
          <w:szCs w:val="28"/>
        </w:rPr>
        <w:t>Price</w:t>
      </w:r>
      <w:r w:rsidRPr="00036C7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Е</w:t>
      </w:r>
      <w:r w:rsidRPr="00036C78">
        <w:rPr>
          <w:rFonts w:cs="Times New Roman"/>
          <w:szCs w:val="28"/>
        </w:rPr>
        <w:t xml:space="preserve">., </w:t>
      </w:r>
      <w:r w:rsidRPr="00A92FBE">
        <w:rPr>
          <w:rFonts w:cs="Times New Roman"/>
          <w:szCs w:val="28"/>
        </w:rPr>
        <w:t>Petersen</w:t>
      </w:r>
      <w:r w:rsidRPr="00036C7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</w:t>
      </w:r>
      <w:r w:rsidRPr="00036C78">
        <w:rPr>
          <w:rFonts w:cs="Times New Roman"/>
          <w:szCs w:val="28"/>
        </w:rPr>
        <w:t xml:space="preserve">. (2022) </w:t>
      </w:r>
      <w:r w:rsidRPr="00036C78">
        <w:rPr>
          <w:rFonts w:cs="Times New Roman"/>
          <w:i/>
          <w:iCs/>
          <w:szCs w:val="28"/>
        </w:rPr>
        <w:t>RESTful web API design</w:t>
      </w:r>
      <w:r w:rsidRPr="00036C78">
        <w:rPr>
          <w:rFonts w:cs="Times New Roman"/>
          <w:szCs w:val="28"/>
        </w:rPr>
        <w:t xml:space="preserve">. [Онлайн] Достъпно на: </w:t>
      </w:r>
      <w:r w:rsidRPr="00A92FBE">
        <w:rPr>
          <w:rFonts w:cs="Times New Roman"/>
          <w:szCs w:val="28"/>
        </w:rPr>
        <w:t xml:space="preserve">https://docs.microsoft.com/en-us/azure/architecture/best-practices/api-design </w:t>
      </w:r>
      <w:r w:rsidRPr="00036C78">
        <w:rPr>
          <w:rFonts w:cs="Times New Roman"/>
          <w:szCs w:val="28"/>
        </w:rPr>
        <w:t>[</w:t>
      </w:r>
      <w:r w:rsidRPr="00055639">
        <w:rPr>
          <w:rFonts w:cs="Times New Roman"/>
          <w:szCs w:val="28"/>
        </w:rPr>
        <w:t>Достъпно</w:t>
      </w:r>
      <w:r w:rsidRPr="00036C78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22</w:t>
      </w:r>
      <w:r w:rsidRPr="00036C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април 2022 г</w:t>
      </w:r>
      <w:r w:rsidRPr="00036C78">
        <w:rPr>
          <w:rFonts w:cs="Times New Roman"/>
          <w:szCs w:val="28"/>
        </w:rPr>
        <w:t xml:space="preserve">]. </w:t>
      </w:r>
    </w:p>
    <w:p w14:paraId="109883CE" w14:textId="77777777" w:rsidR="00151FF3" w:rsidRDefault="00151FF3" w:rsidP="00390D6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cs="Times New Roman"/>
          <w:szCs w:val="28"/>
        </w:rPr>
      </w:pPr>
      <w:r w:rsidRPr="00A357F2">
        <w:rPr>
          <w:rFonts w:cs="Times New Roman"/>
          <w:szCs w:val="28"/>
        </w:rPr>
        <w:t>Chircu</w:t>
      </w:r>
      <w:r w:rsidRPr="00036C7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V</w:t>
      </w:r>
      <w:r w:rsidRPr="00036C78">
        <w:rPr>
          <w:rFonts w:cs="Times New Roman"/>
          <w:szCs w:val="28"/>
        </w:rPr>
        <w:t>., (</w:t>
      </w:r>
      <w:r w:rsidRPr="00A357F2">
        <w:rPr>
          <w:rFonts w:cs="Times New Roman"/>
          <w:szCs w:val="28"/>
        </w:rPr>
        <w:t>2018</w:t>
      </w:r>
      <w:r w:rsidRPr="00036C78">
        <w:rPr>
          <w:rFonts w:cs="Times New Roman"/>
          <w:szCs w:val="28"/>
        </w:rPr>
        <w:t xml:space="preserve">) </w:t>
      </w:r>
      <w:r w:rsidRPr="00A357F2">
        <w:rPr>
          <w:rFonts w:cs="Times New Roman"/>
          <w:i/>
          <w:iCs/>
          <w:szCs w:val="28"/>
        </w:rPr>
        <w:t>Understanding the 8 Fallacies of Distributed Systems</w:t>
      </w:r>
      <w:r w:rsidRPr="00036C78">
        <w:rPr>
          <w:rFonts w:cs="Times New Roman"/>
          <w:szCs w:val="28"/>
        </w:rPr>
        <w:t xml:space="preserve">. [Онлайн] Достъпно на: </w:t>
      </w:r>
      <w:r w:rsidRPr="00A357F2">
        <w:rPr>
          <w:rFonts w:cs="Times New Roman"/>
          <w:szCs w:val="28"/>
        </w:rPr>
        <w:t>https://dzone.com/articles/understanding-the-8-fallacies-of-distributed-syste</w:t>
      </w:r>
      <w:r w:rsidRPr="00A92FBE">
        <w:rPr>
          <w:rFonts w:cs="Times New Roman"/>
          <w:szCs w:val="28"/>
        </w:rPr>
        <w:t xml:space="preserve"> </w:t>
      </w:r>
      <w:r w:rsidRPr="00036C78">
        <w:rPr>
          <w:rFonts w:cs="Times New Roman"/>
          <w:szCs w:val="28"/>
        </w:rPr>
        <w:t>[</w:t>
      </w:r>
      <w:r w:rsidRPr="00055639">
        <w:rPr>
          <w:rFonts w:cs="Times New Roman"/>
          <w:szCs w:val="28"/>
        </w:rPr>
        <w:t>Достъпно</w:t>
      </w:r>
      <w:r w:rsidRPr="00036C78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>3</w:t>
      </w:r>
      <w:r w:rsidRPr="00036C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април 2022 г</w:t>
      </w:r>
      <w:r w:rsidRPr="00036C78">
        <w:rPr>
          <w:rFonts w:cs="Times New Roman"/>
          <w:szCs w:val="28"/>
        </w:rPr>
        <w:t xml:space="preserve">]. </w:t>
      </w:r>
    </w:p>
    <w:p w14:paraId="105B3228" w14:textId="6B538266" w:rsidR="00151FF3" w:rsidRDefault="00151FF3" w:rsidP="00390D6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cs="Times New Roman"/>
          <w:szCs w:val="28"/>
        </w:rPr>
      </w:pPr>
      <w:r w:rsidRPr="00A357F2">
        <w:rPr>
          <w:rFonts w:cs="Times New Roman"/>
          <w:szCs w:val="28"/>
        </w:rPr>
        <w:t>C</w:t>
      </w:r>
      <w:r>
        <w:rPr>
          <w:rFonts w:cs="Times New Roman"/>
          <w:szCs w:val="28"/>
          <w:lang w:val="en-US"/>
        </w:rPr>
        <w:t>odey</w:t>
      </w:r>
      <w:r w:rsidRPr="00036C7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</w:t>
      </w:r>
      <w:r w:rsidRPr="00036C78">
        <w:rPr>
          <w:rFonts w:cs="Times New Roman"/>
          <w:szCs w:val="28"/>
        </w:rPr>
        <w:t>., (</w:t>
      </w:r>
      <w:r w:rsidRPr="00A357F2">
        <w:rPr>
          <w:rFonts w:cs="Times New Roman"/>
          <w:szCs w:val="28"/>
        </w:rPr>
        <w:t>20</w:t>
      </w:r>
      <w:r>
        <w:rPr>
          <w:rFonts w:cs="Times New Roman"/>
          <w:szCs w:val="28"/>
          <w:lang w:val="en-US"/>
        </w:rPr>
        <w:t>22</w:t>
      </w:r>
      <w:r w:rsidRPr="00036C78">
        <w:rPr>
          <w:rFonts w:cs="Times New Roman"/>
          <w:szCs w:val="28"/>
        </w:rPr>
        <w:t xml:space="preserve">) </w:t>
      </w:r>
      <w:r w:rsidRPr="002A06EA">
        <w:rPr>
          <w:rFonts w:cs="Times New Roman"/>
          <w:i/>
          <w:iCs/>
          <w:szCs w:val="28"/>
        </w:rPr>
        <w:t>What Is Layer 7 Load Balancing?</w:t>
      </w:r>
      <w:r w:rsidRPr="00036C78">
        <w:rPr>
          <w:rFonts w:cs="Times New Roman"/>
          <w:szCs w:val="28"/>
        </w:rPr>
        <w:t xml:space="preserve">. [Онлайн] Достъпно на: </w:t>
      </w:r>
      <w:r w:rsidRPr="002A06EA">
        <w:rPr>
          <w:rFonts w:cs="Times New Roman"/>
          <w:szCs w:val="28"/>
        </w:rPr>
        <w:t>https://www.nginx.com/resources/glossary/layer-7-load-balancing</w:t>
      </w:r>
      <w:r w:rsidRPr="00A92FBE">
        <w:rPr>
          <w:rFonts w:cs="Times New Roman"/>
          <w:szCs w:val="28"/>
        </w:rPr>
        <w:t xml:space="preserve"> </w:t>
      </w:r>
      <w:r w:rsidRPr="00036C78">
        <w:rPr>
          <w:rFonts w:cs="Times New Roman"/>
          <w:szCs w:val="28"/>
        </w:rPr>
        <w:t>[</w:t>
      </w:r>
      <w:r w:rsidRPr="00055639">
        <w:rPr>
          <w:rFonts w:cs="Times New Roman"/>
          <w:szCs w:val="28"/>
        </w:rPr>
        <w:t>Достъпно</w:t>
      </w:r>
      <w:r w:rsidRPr="00036C78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>3</w:t>
      </w:r>
      <w:r w:rsidRPr="00036C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април 2022 г</w:t>
      </w:r>
      <w:r w:rsidRPr="00036C78">
        <w:rPr>
          <w:rFonts w:cs="Times New Roman"/>
          <w:szCs w:val="28"/>
        </w:rPr>
        <w:t xml:space="preserve">]. </w:t>
      </w:r>
    </w:p>
    <w:p w14:paraId="701BFC95" w14:textId="58CF8277" w:rsidR="002543CB" w:rsidRPr="00151FF3" w:rsidRDefault="00151FF3" w:rsidP="00151FF3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CB5DB3C" w14:textId="77777777" w:rsidR="003C7D1A" w:rsidRDefault="003C7D1A" w:rsidP="003C7D1A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lastRenderedPageBreak/>
        <w:t xml:space="preserve">3. </w:t>
      </w:r>
      <w:r w:rsidR="00AF7F27">
        <w:rPr>
          <w:rFonts w:ascii="Arial" w:hAnsi="Arial" w:cs="Arial"/>
          <w:i/>
          <w:sz w:val="26"/>
          <w:szCs w:val="26"/>
        </w:rPr>
        <w:t xml:space="preserve">Заявен краен </w:t>
      </w:r>
      <w:r w:rsidR="00C509A0">
        <w:rPr>
          <w:rFonts w:ascii="Arial" w:hAnsi="Arial" w:cs="Arial"/>
          <w:i/>
          <w:sz w:val="26"/>
          <w:szCs w:val="26"/>
        </w:rPr>
        <w:t>резултат</w:t>
      </w:r>
    </w:p>
    <w:p w14:paraId="67A8776B" w14:textId="77777777" w:rsidR="008B2699" w:rsidRPr="00FD4925" w:rsidRDefault="00861DB6" w:rsidP="00861DB6">
      <w:pPr>
        <w:jc w:val="both"/>
        <w:rPr>
          <w:rFonts w:ascii="Arial" w:hAnsi="Arial" w:cs="Arial"/>
          <w:i/>
          <w:sz w:val="26"/>
          <w:szCs w:val="26"/>
          <w:highlight w:val="green"/>
        </w:rPr>
      </w:pPr>
      <w:r w:rsidRPr="00FD4925">
        <w:rPr>
          <w:rFonts w:ascii="Arial" w:hAnsi="Arial" w:cs="Arial"/>
          <w:i/>
          <w:sz w:val="26"/>
          <w:szCs w:val="26"/>
          <w:highlight w:val="green"/>
        </w:rPr>
        <w:t>3</w:t>
      </w:r>
      <w:r w:rsidR="008B2699" w:rsidRPr="00FD4925">
        <w:rPr>
          <w:rFonts w:ascii="Arial" w:hAnsi="Arial" w:cs="Arial"/>
          <w:i/>
          <w:sz w:val="26"/>
          <w:szCs w:val="26"/>
          <w:highlight w:val="green"/>
        </w:rPr>
        <w:t xml:space="preserve">.1. </w:t>
      </w:r>
      <w:r w:rsidR="00C31B4F" w:rsidRPr="00FD4925">
        <w:rPr>
          <w:rFonts w:ascii="Arial" w:hAnsi="Arial" w:cs="Arial"/>
          <w:i/>
          <w:sz w:val="26"/>
          <w:szCs w:val="26"/>
          <w:highlight w:val="green"/>
        </w:rPr>
        <w:t>Участие  в конференция</w:t>
      </w:r>
      <w:r w:rsidR="00837268" w:rsidRPr="00FD4925">
        <w:rPr>
          <w:rFonts w:ascii="Arial" w:hAnsi="Arial" w:cs="Arial"/>
          <w:i/>
          <w:sz w:val="26"/>
          <w:szCs w:val="26"/>
          <w:highlight w:val="green"/>
        </w:rPr>
        <w:t>/и</w:t>
      </w:r>
      <w:r w:rsidR="00762DB3" w:rsidRPr="00FD4925">
        <w:rPr>
          <w:rFonts w:ascii="Arial" w:hAnsi="Arial" w:cs="Arial"/>
          <w:i/>
          <w:sz w:val="26"/>
          <w:szCs w:val="26"/>
          <w:highlight w:val="green"/>
        </w:rPr>
        <w:t xml:space="preserve"> и други научни прояви</w:t>
      </w:r>
      <w:r w:rsidR="00C31B4F" w:rsidRPr="00FD4925">
        <w:rPr>
          <w:rFonts w:ascii="Arial" w:hAnsi="Arial" w:cs="Arial"/>
          <w:i/>
          <w:sz w:val="26"/>
          <w:szCs w:val="26"/>
          <w:highlight w:val="green"/>
        </w:rPr>
        <w:t xml:space="preserve"> (наименование)</w:t>
      </w:r>
    </w:p>
    <w:p w14:paraId="44FA2FFE" w14:textId="77777777" w:rsidR="00A36BDD" w:rsidRPr="00FD4925" w:rsidRDefault="009E181C" w:rsidP="00861DB6">
      <w:pPr>
        <w:jc w:val="both"/>
        <w:rPr>
          <w:rFonts w:ascii="Arial" w:hAnsi="Arial" w:cs="Arial"/>
          <w:i/>
          <w:sz w:val="26"/>
          <w:szCs w:val="26"/>
          <w:highlight w:val="green"/>
        </w:rPr>
      </w:pPr>
      <w:r w:rsidRPr="00FD4925">
        <w:rPr>
          <w:rFonts w:ascii="Arial" w:hAnsi="Arial" w:cs="Arial"/>
          <w:i/>
          <w:sz w:val="26"/>
          <w:szCs w:val="26"/>
          <w:highlight w:val="green"/>
        </w:rPr>
        <w:t>1. Конференция CompSysTech, 2024, http://www.compsystech.org/</w:t>
      </w:r>
    </w:p>
    <w:p w14:paraId="4D10013C" w14:textId="77777777" w:rsidR="009E181C" w:rsidRPr="009E181C" w:rsidRDefault="009E181C" w:rsidP="00861DB6">
      <w:pPr>
        <w:jc w:val="both"/>
        <w:rPr>
          <w:rFonts w:ascii="Arial" w:hAnsi="Arial" w:cs="Arial"/>
          <w:i/>
          <w:sz w:val="26"/>
          <w:szCs w:val="26"/>
          <w:lang w:val="ru-RU"/>
        </w:rPr>
      </w:pPr>
      <w:r w:rsidRPr="00FD4925">
        <w:rPr>
          <w:rFonts w:ascii="Arial" w:hAnsi="Arial" w:cs="Arial"/>
          <w:i/>
          <w:sz w:val="26"/>
          <w:szCs w:val="26"/>
          <w:highlight w:val="green"/>
        </w:rPr>
        <w:t xml:space="preserve">2. Конференция, организирана от </w:t>
      </w:r>
      <w:r w:rsidRPr="00FD4925">
        <w:rPr>
          <w:rFonts w:ascii="Arial" w:hAnsi="Arial" w:cs="Arial"/>
          <w:i/>
          <w:sz w:val="26"/>
          <w:szCs w:val="26"/>
          <w:highlight w:val="green"/>
          <w:lang w:val="en-US"/>
        </w:rPr>
        <w:t>IEEE</w:t>
      </w:r>
      <w:r w:rsidRPr="00FD4925">
        <w:rPr>
          <w:rFonts w:ascii="Arial" w:hAnsi="Arial" w:cs="Arial"/>
          <w:i/>
          <w:sz w:val="26"/>
          <w:szCs w:val="26"/>
          <w:highlight w:val="green"/>
          <w:lang w:val="ru-RU"/>
        </w:rPr>
        <w:t xml:space="preserve"> (</w:t>
      </w:r>
      <w:r w:rsidRPr="00FD4925">
        <w:rPr>
          <w:rFonts w:ascii="Arial" w:hAnsi="Arial" w:cs="Arial"/>
          <w:i/>
          <w:sz w:val="26"/>
          <w:szCs w:val="26"/>
          <w:highlight w:val="green"/>
        </w:rPr>
        <w:t>предстои конкретизиране</w:t>
      </w:r>
      <w:r w:rsidRPr="00FD4925">
        <w:rPr>
          <w:rFonts w:ascii="Arial" w:hAnsi="Arial" w:cs="Arial"/>
          <w:i/>
          <w:sz w:val="26"/>
          <w:szCs w:val="26"/>
          <w:highlight w:val="green"/>
          <w:lang w:val="ru-RU"/>
        </w:rPr>
        <w:t>)</w:t>
      </w:r>
    </w:p>
    <w:p w14:paraId="7A0C2C17" w14:textId="77777777" w:rsidR="009E181C" w:rsidRPr="009E181C" w:rsidRDefault="009E181C" w:rsidP="00861DB6">
      <w:pPr>
        <w:jc w:val="both"/>
        <w:rPr>
          <w:rFonts w:ascii="Arial" w:hAnsi="Arial" w:cs="Arial"/>
          <w:i/>
          <w:sz w:val="26"/>
          <w:szCs w:val="26"/>
          <w:lang w:val="ru-RU"/>
        </w:rPr>
      </w:pPr>
    </w:p>
    <w:p w14:paraId="400471A1" w14:textId="77777777" w:rsidR="00861DB6" w:rsidRPr="00FD4925" w:rsidRDefault="00861DB6" w:rsidP="00861DB6">
      <w:pPr>
        <w:jc w:val="both"/>
        <w:rPr>
          <w:rFonts w:ascii="Arial" w:hAnsi="Arial" w:cs="Arial"/>
          <w:i/>
          <w:sz w:val="26"/>
          <w:szCs w:val="26"/>
          <w:highlight w:val="green"/>
        </w:rPr>
      </w:pPr>
      <w:r w:rsidRPr="00FD4925">
        <w:rPr>
          <w:rFonts w:ascii="Arial" w:hAnsi="Arial" w:cs="Arial"/>
          <w:i/>
          <w:sz w:val="26"/>
          <w:szCs w:val="26"/>
          <w:highlight w:val="green"/>
        </w:rPr>
        <w:t>3.2. Публикуване на доклад</w:t>
      </w:r>
      <w:r w:rsidR="00837268" w:rsidRPr="00FD4925">
        <w:rPr>
          <w:rFonts w:ascii="Arial" w:hAnsi="Arial" w:cs="Arial"/>
          <w:i/>
          <w:sz w:val="26"/>
          <w:szCs w:val="26"/>
          <w:highlight w:val="green"/>
        </w:rPr>
        <w:t>/и</w:t>
      </w:r>
      <w:r w:rsidRPr="00FD4925">
        <w:rPr>
          <w:rFonts w:ascii="Arial" w:hAnsi="Arial" w:cs="Arial"/>
          <w:i/>
          <w:sz w:val="26"/>
          <w:szCs w:val="26"/>
          <w:highlight w:val="green"/>
        </w:rPr>
        <w:t xml:space="preserve"> </w:t>
      </w:r>
      <w:r w:rsidR="00E501EE" w:rsidRPr="00FD4925">
        <w:rPr>
          <w:rFonts w:ascii="Arial" w:hAnsi="Arial" w:cs="Arial"/>
          <w:i/>
          <w:sz w:val="26"/>
          <w:szCs w:val="26"/>
          <w:highlight w:val="green"/>
        </w:rPr>
        <w:t>и/</w:t>
      </w:r>
      <w:r w:rsidRPr="00FD4925">
        <w:rPr>
          <w:rFonts w:ascii="Arial" w:hAnsi="Arial" w:cs="Arial"/>
          <w:i/>
          <w:sz w:val="26"/>
          <w:szCs w:val="26"/>
          <w:highlight w:val="green"/>
        </w:rPr>
        <w:t>или статия</w:t>
      </w:r>
      <w:r w:rsidR="00837268" w:rsidRPr="00FD4925">
        <w:rPr>
          <w:rFonts w:ascii="Arial" w:hAnsi="Arial" w:cs="Arial"/>
          <w:i/>
          <w:sz w:val="26"/>
          <w:szCs w:val="26"/>
          <w:highlight w:val="green"/>
        </w:rPr>
        <w:t>/и</w:t>
      </w:r>
      <w:r w:rsidR="002543CB" w:rsidRPr="00FD4925">
        <w:rPr>
          <w:rFonts w:ascii="Arial" w:hAnsi="Arial" w:cs="Arial"/>
          <w:i/>
          <w:sz w:val="26"/>
          <w:szCs w:val="26"/>
          <w:highlight w:val="green"/>
        </w:rPr>
        <w:t xml:space="preserve"> или други научни публикации (студии, монографии, части от монографии и т.н.) </w:t>
      </w:r>
      <w:r w:rsidR="00C31B4F" w:rsidRPr="00FD4925">
        <w:rPr>
          <w:rFonts w:ascii="Arial" w:hAnsi="Arial" w:cs="Arial"/>
          <w:i/>
          <w:sz w:val="26"/>
          <w:szCs w:val="26"/>
          <w:highlight w:val="green"/>
        </w:rPr>
        <w:t xml:space="preserve"> (</w:t>
      </w:r>
      <w:r w:rsidR="00762DB3" w:rsidRPr="00FD4925">
        <w:rPr>
          <w:rFonts w:ascii="Arial" w:hAnsi="Arial" w:cs="Arial"/>
          <w:i/>
          <w:sz w:val="26"/>
          <w:szCs w:val="26"/>
          <w:highlight w:val="green"/>
        </w:rPr>
        <w:t xml:space="preserve">примерно </w:t>
      </w:r>
      <w:r w:rsidR="00C31B4F" w:rsidRPr="00FD4925">
        <w:rPr>
          <w:rFonts w:ascii="Arial" w:hAnsi="Arial" w:cs="Arial"/>
          <w:i/>
          <w:sz w:val="26"/>
          <w:szCs w:val="26"/>
          <w:highlight w:val="green"/>
        </w:rPr>
        <w:t>заглавие, издание)</w:t>
      </w:r>
    </w:p>
    <w:p w14:paraId="05881053" w14:textId="77777777" w:rsidR="002543CB" w:rsidRPr="00FD4925" w:rsidRDefault="009E181C" w:rsidP="009E181C">
      <w:pPr>
        <w:jc w:val="both"/>
        <w:rPr>
          <w:rFonts w:ascii="Arial" w:hAnsi="Arial" w:cs="Arial"/>
          <w:i/>
          <w:sz w:val="26"/>
          <w:szCs w:val="26"/>
          <w:highlight w:val="green"/>
          <w:lang w:val="en-US"/>
        </w:rPr>
      </w:pPr>
      <w:r w:rsidRPr="00FD4925">
        <w:rPr>
          <w:rFonts w:ascii="Arial" w:hAnsi="Arial" w:cs="Arial"/>
          <w:i/>
          <w:sz w:val="26"/>
          <w:szCs w:val="26"/>
          <w:highlight w:val="green"/>
        </w:rPr>
        <w:t>1. “Domain</w:t>
      </w:r>
      <w:r w:rsidR="00FD4925" w:rsidRPr="00FD4925">
        <w:rPr>
          <w:rFonts w:ascii="Arial" w:hAnsi="Arial" w:cs="Arial"/>
          <w:i/>
          <w:sz w:val="26"/>
          <w:szCs w:val="26"/>
          <w:highlight w:val="green"/>
        </w:rPr>
        <w:t xml:space="preserve"> </w:t>
      </w:r>
      <w:r w:rsidRPr="00FD4925">
        <w:rPr>
          <w:rFonts w:ascii="Arial" w:hAnsi="Arial" w:cs="Arial"/>
          <w:i/>
          <w:sz w:val="26"/>
          <w:szCs w:val="26"/>
          <w:highlight w:val="green"/>
        </w:rPr>
        <w:t>Driven Design Approaches in Cloud</w:t>
      </w:r>
      <w:r w:rsidR="00FD4925" w:rsidRPr="00FD4925">
        <w:rPr>
          <w:rFonts w:ascii="Arial" w:hAnsi="Arial" w:cs="Arial"/>
          <w:i/>
          <w:sz w:val="26"/>
          <w:szCs w:val="26"/>
          <w:highlight w:val="green"/>
        </w:rPr>
        <w:t xml:space="preserve"> </w:t>
      </w:r>
      <w:r w:rsidRPr="00FD4925">
        <w:rPr>
          <w:rFonts w:ascii="Arial" w:hAnsi="Arial" w:cs="Arial"/>
          <w:i/>
          <w:sz w:val="26"/>
          <w:szCs w:val="26"/>
          <w:highlight w:val="green"/>
        </w:rPr>
        <w:t>Native Services Architecture”, сп."</w:t>
      </w:r>
      <w:r w:rsidR="00FD4925" w:rsidRPr="00FD4925">
        <w:rPr>
          <w:rFonts w:ascii="Arial" w:hAnsi="Arial" w:cs="Arial"/>
          <w:i/>
          <w:sz w:val="26"/>
          <w:szCs w:val="26"/>
          <w:highlight w:val="green"/>
          <w:lang w:val="en-US"/>
        </w:rPr>
        <w:t>TEM Journal</w:t>
      </w:r>
      <w:r w:rsidRPr="00FD4925">
        <w:rPr>
          <w:rFonts w:ascii="Arial" w:hAnsi="Arial" w:cs="Arial"/>
          <w:i/>
          <w:sz w:val="26"/>
          <w:szCs w:val="26"/>
          <w:highlight w:val="green"/>
        </w:rPr>
        <w:t>", 202</w:t>
      </w:r>
      <w:r w:rsidR="00FD4925" w:rsidRPr="00FD4925">
        <w:rPr>
          <w:rFonts w:ascii="Arial" w:hAnsi="Arial" w:cs="Arial"/>
          <w:i/>
          <w:sz w:val="26"/>
          <w:szCs w:val="26"/>
          <w:highlight w:val="green"/>
          <w:lang w:val="en-US"/>
        </w:rPr>
        <w:t>3/2024.</w:t>
      </w:r>
    </w:p>
    <w:p w14:paraId="4FE6E3AB" w14:textId="77777777" w:rsidR="00FD4925" w:rsidRPr="00FD4925" w:rsidRDefault="00FD4925" w:rsidP="009E181C">
      <w:pPr>
        <w:jc w:val="both"/>
        <w:rPr>
          <w:rFonts w:ascii="Arial" w:hAnsi="Arial" w:cs="Arial"/>
          <w:i/>
          <w:sz w:val="26"/>
          <w:szCs w:val="26"/>
          <w:lang w:val="ru-RU"/>
        </w:rPr>
      </w:pPr>
      <w:r w:rsidRPr="00FD4925">
        <w:rPr>
          <w:rFonts w:ascii="Arial" w:hAnsi="Arial" w:cs="Arial"/>
          <w:i/>
          <w:sz w:val="26"/>
          <w:szCs w:val="26"/>
          <w:highlight w:val="green"/>
          <w:lang w:val="ru-RU"/>
        </w:rPr>
        <w:t>2. “Облачна информационна система за управление на поръчките”, сп."Известия", 2024</w:t>
      </w:r>
      <w:r w:rsidR="00635A3F">
        <w:rPr>
          <w:rFonts w:ascii="Arial" w:hAnsi="Arial" w:cs="Arial"/>
          <w:i/>
          <w:sz w:val="26"/>
          <w:szCs w:val="26"/>
          <w:lang w:val="ru-RU"/>
        </w:rPr>
        <w:t>.</w:t>
      </w:r>
    </w:p>
    <w:p w14:paraId="67B8F4B4" w14:textId="77777777" w:rsidR="009E181C" w:rsidRDefault="009E181C" w:rsidP="003C7D1A">
      <w:pPr>
        <w:jc w:val="both"/>
        <w:rPr>
          <w:rFonts w:ascii="Arial" w:hAnsi="Arial" w:cs="Arial"/>
          <w:i/>
          <w:sz w:val="26"/>
          <w:szCs w:val="26"/>
        </w:rPr>
      </w:pPr>
    </w:p>
    <w:p w14:paraId="3D909893" w14:textId="77777777" w:rsidR="003C7D1A" w:rsidRDefault="008B2699" w:rsidP="003C7D1A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  <w:lang w:val="en-US"/>
        </w:rPr>
        <w:t>II</w:t>
      </w:r>
      <w:r w:rsidRPr="009E181C">
        <w:rPr>
          <w:rFonts w:ascii="Arial" w:hAnsi="Arial" w:cs="Arial"/>
          <w:i/>
          <w:sz w:val="26"/>
          <w:szCs w:val="26"/>
          <w:lang w:val="ru-RU"/>
        </w:rPr>
        <w:t xml:space="preserve">. </w:t>
      </w:r>
      <w:r>
        <w:rPr>
          <w:rFonts w:ascii="Arial" w:hAnsi="Arial" w:cs="Arial"/>
          <w:i/>
          <w:sz w:val="26"/>
          <w:szCs w:val="26"/>
        </w:rPr>
        <w:t>РАБОТНА ПРОГРАМА</w:t>
      </w:r>
    </w:p>
    <w:tbl>
      <w:tblPr>
        <w:tblW w:w="9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3"/>
        <w:gridCol w:w="6847"/>
        <w:gridCol w:w="1856"/>
      </w:tblGrid>
      <w:tr w:rsidR="008B2699" w:rsidRPr="00221B62" w14:paraId="15BA81D0" w14:textId="77777777" w:rsidTr="00D761A2">
        <w:trPr>
          <w:jc w:val="center"/>
        </w:trPr>
        <w:tc>
          <w:tcPr>
            <w:tcW w:w="913" w:type="dxa"/>
            <w:vAlign w:val="center"/>
          </w:tcPr>
          <w:p w14:paraId="6F3A0A8E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№ по ред</w:t>
            </w:r>
          </w:p>
        </w:tc>
        <w:tc>
          <w:tcPr>
            <w:tcW w:w="6847" w:type="dxa"/>
            <w:vAlign w:val="center"/>
          </w:tcPr>
          <w:p w14:paraId="20B3CA8C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Етапи и видове дейности</w:t>
            </w:r>
          </w:p>
        </w:tc>
        <w:tc>
          <w:tcPr>
            <w:tcW w:w="1856" w:type="dxa"/>
            <w:vAlign w:val="center"/>
          </w:tcPr>
          <w:p w14:paraId="2C6E1223" w14:textId="77777777" w:rsidR="008B2699" w:rsidRPr="00221B62" w:rsidRDefault="00E501EE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Срок на изпълнение</w:t>
            </w:r>
          </w:p>
        </w:tc>
      </w:tr>
      <w:tr w:rsidR="008B2699" w:rsidRPr="00221B62" w14:paraId="0D4A8274" w14:textId="77777777" w:rsidTr="00D761A2">
        <w:trPr>
          <w:jc w:val="center"/>
        </w:trPr>
        <w:tc>
          <w:tcPr>
            <w:tcW w:w="913" w:type="dxa"/>
          </w:tcPr>
          <w:p w14:paraId="2F12CBC6" w14:textId="77777777" w:rsidR="008B2699" w:rsidRPr="00221B62" w:rsidRDefault="008B2699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Етап 1</w:t>
            </w:r>
          </w:p>
        </w:tc>
        <w:tc>
          <w:tcPr>
            <w:tcW w:w="6847" w:type="dxa"/>
          </w:tcPr>
          <w:p w14:paraId="7F204225" w14:textId="77777777" w:rsidR="008B2699" w:rsidRPr="00221B62" w:rsidRDefault="008B2699" w:rsidP="00FD4925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1856" w:type="dxa"/>
          </w:tcPr>
          <w:p w14:paraId="13966FC5" w14:textId="77777777" w:rsidR="008B2699" w:rsidRPr="00221B62" w:rsidRDefault="008B2699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</w:p>
        </w:tc>
      </w:tr>
      <w:tr w:rsidR="00FD4925" w:rsidRPr="00221B62" w14:paraId="37004152" w14:textId="77777777" w:rsidTr="00FD4925">
        <w:trPr>
          <w:jc w:val="center"/>
        </w:trPr>
        <w:tc>
          <w:tcPr>
            <w:tcW w:w="913" w:type="dxa"/>
          </w:tcPr>
          <w:p w14:paraId="7E7B6438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1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.</w:t>
            </w:r>
          </w:p>
        </w:tc>
        <w:tc>
          <w:tcPr>
            <w:tcW w:w="6847" w:type="dxa"/>
            <w:vAlign w:val="center"/>
          </w:tcPr>
          <w:p w14:paraId="5EC0AE81" w14:textId="77777777" w:rsidR="00FD4925" w:rsidRPr="00221B62" w:rsidRDefault="00FD4925" w:rsidP="00FD4925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Проучване на литературни източници по темата на изследването.</w:t>
            </w:r>
          </w:p>
        </w:tc>
        <w:tc>
          <w:tcPr>
            <w:tcW w:w="1856" w:type="dxa"/>
          </w:tcPr>
          <w:p w14:paraId="20F375F0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XII.2023</w:t>
            </w:r>
          </w:p>
        </w:tc>
      </w:tr>
      <w:tr w:rsidR="00FD4925" w:rsidRPr="00221B62" w14:paraId="4EDC7C20" w14:textId="77777777" w:rsidTr="00FD4925">
        <w:trPr>
          <w:jc w:val="center"/>
        </w:trPr>
        <w:tc>
          <w:tcPr>
            <w:tcW w:w="913" w:type="dxa"/>
          </w:tcPr>
          <w:p w14:paraId="1FD6A50F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2.</w:t>
            </w:r>
          </w:p>
        </w:tc>
        <w:tc>
          <w:tcPr>
            <w:tcW w:w="6847" w:type="dxa"/>
            <w:vAlign w:val="center"/>
          </w:tcPr>
          <w:p w14:paraId="0886E1C1" w14:textId="77777777" w:rsidR="00FD4925" w:rsidRPr="00221B62" w:rsidRDefault="00FD4925" w:rsidP="00FD4925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Систематизация на проучените източници.</w:t>
            </w:r>
          </w:p>
        </w:tc>
        <w:tc>
          <w:tcPr>
            <w:tcW w:w="1856" w:type="dxa"/>
          </w:tcPr>
          <w:p w14:paraId="398F7085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XII.2023</w:t>
            </w:r>
          </w:p>
        </w:tc>
      </w:tr>
      <w:tr w:rsidR="00FD4925" w:rsidRPr="00221B62" w14:paraId="6EFCD5A6" w14:textId="77777777" w:rsidTr="00FD4925">
        <w:trPr>
          <w:jc w:val="center"/>
        </w:trPr>
        <w:tc>
          <w:tcPr>
            <w:tcW w:w="913" w:type="dxa"/>
          </w:tcPr>
          <w:p w14:paraId="7B92C158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3.</w:t>
            </w:r>
          </w:p>
        </w:tc>
        <w:tc>
          <w:tcPr>
            <w:tcW w:w="6847" w:type="dxa"/>
            <w:vAlign w:val="center"/>
          </w:tcPr>
          <w:p w14:paraId="4810587C" w14:textId="77777777" w:rsidR="00FD4925" w:rsidRPr="00221B62" w:rsidRDefault="00FD4925" w:rsidP="00FD4925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Разработване на публикации - статии и доклади.</w:t>
            </w:r>
          </w:p>
        </w:tc>
        <w:tc>
          <w:tcPr>
            <w:tcW w:w="1856" w:type="dxa"/>
          </w:tcPr>
          <w:p w14:paraId="361F6F47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XII.2023</w:t>
            </w:r>
          </w:p>
        </w:tc>
      </w:tr>
      <w:tr w:rsidR="008B2699" w:rsidRPr="00221B62" w14:paraId="344D7871" w14:textId="77777777" w:rsidTr="00FD4925">
        <w:trPr>
          <w:jc w:val="center"/>
        </w:trPr>
        <w:tc>
          <w:tcPr>
            <w:tcW w:w="913" w:type="dxa"/>
          </w:tcPr>
          <w:p w14:paraId="749D3FDB" w14:textId="77777777" w:rsidR="008B2699" w:rsidRPr="00221B62" w:rsidRDefault="008B2699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Етап 2</w:t>
            </w:r>
          </w:p>
        </w:tc>
        <w:tc>
          <w:tcPr>
            <w:tcW w:w="6847" w:type="dxa"/>
            <w:vAlign w:val="center"/>
          </w:tcPr>
          <w:p w14:paraId="4FA7ACD1" w14:textId="77777777" w:rsidR="008B2699" w:rsidRPr="00221B62" w:rsidRDefault="008B2699" w:rsidP="00FD4925">
            <w:pPr>
              <w:spacing w:before="120" w:after="120" w:line="240" w:lineRule="auto"/>
              <w:ind w:left="74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</w:p>
        </w:tc>
        <w:tc>
          <w:tcPr>
            <w:tcW w:w="1856" w:type="dxa"/>
          </w:tcPr>
          <w:p w14:paraId="6E9DBC4B" w14:textId="77777777" w:rsidR="008B2699" w:rsidRPr="00221B62" w:rsidRDefault="008B2699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</w:p>
        </w:tc>
      </w:tr>
      <w:tr w:rsidR="00FD4925" w:rsidRPr="00221B62" w14:paraId="552FD1D2" w14:textId="77777777" w:rsidTr="00FD4925">
        <w:trPr>
          <w:jc w:val="center"/>
        </w:trPr>
        <w:tc>
          <w:tcPr>
            <w:tcW w:w="913" w:type="dxa"/>
          </w:tcPr>
          <w:p w14:paraId="1B124FCF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4.</w:t>
            </w:r>
          </w:p>
        </w:tc>
        <w:tc>
          <w:tcPr>
            <w:tcW w:w="6847" w:type="dxa"/>
            <w:vAlign w:val="center"/>
          </w:tcPr>
          <w:p w14:paraId="288C79FD" w14:textId="77777777" w:rsidR="00FD4925" w:rsidRPr="00221B62" w:rsidRDefault="00FD4925" w:rsidP="00FD4925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Провеждане на изследвания.</w:t>
            </w:r>
          </w:p>
        </w:tc>
        <w:tc>
          <w:tcPr>
            <w:tcW w:w="1856" w:type="dxa"/>
          </w:tcPr>
          <w:p w14:paraId="3030A4D2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XII.2024</w:t>
            </w:r>
          </w:p>
        </w:tc>
      </w:tr>
      <w:tr w:rsidR="00FD4925" w:rsidRPr="00221B62" w14:paraId="5A6279A4" w14:textId="77777777" w:rsidTr="00FD4925">
        <w:trPr>
          <w:jc w:val="center"/>
        </w:trPr>
        <w:tc>
          <w:tcPr>
            <w:tcW w:w="913" w:type="dxa"/>
          </w:tcPr>
          <w:p w14:paraId="269154B6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5.</w:t>
            </w:r>
          </w:p>
        </w:tc>
        <w:tc>
          <w:tcPr>
            <w:tcW w:w="6847" w:type="dxa"/>
            <w:vAlign w:val="center"/>
          </w:tcPr>
          <w:p w14:paraId="306B816A" w14:textId="77777777" w:rsidR="00FD4925" w:rsidRPr="00221B62" w:rsidRDefault="00FD4925" w:rsidP="00FD4925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Избор на подходящи методи за анализ на събраните данни.</w:t>
            </w:r>
          </w:p>
        </w:tc>
        <w:tc>
          <w:tcPr>
            <w:tcW w:w="1856" w:type="dxa"/>
          </w:tcPr>
          <w:p w14:paraId="27509B4C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XII.2024</w:t>
            </w:r>
          </w:p>
        </w:tc>
      </w:tr>
      <w:tr w:rsidR="00FD4925" w:rsidRPr="00B47AAA" w14:paraId="2178140B" w14:textId="77777777" w:rsidTr="00FD4925">
        <w:trPr>
          <w:jc w:val="center"/>
        </w:trPr>
        <w:tc>
          <w:tcPr>
            <w:tcW w:w="913" w:type="dxa"/>
          </w:tcPr>
          <w:p w14:paraId="0EE169EA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6.</w:t>
            </w:r>
          </w:p>
        </w:tc>
        <w:tc>
          <w:tcPr>
            <w:tcW w:w="6847" w:type="dxa"/>
            <w:vAlign w:val="center"/>
          </w:tcPr>
          <w:p w14:paraId="78A8E79B" w14:textId="77777777" w:rsidR="00FD4925" w:rsidRPr="00221B62" w:rsidRDefault="00FD4925" w:rsidP="00FD4925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Разработване на публикации - статии и доклади.</w:t>
            </w:r>
          </w:p>
        </w:tc>
        <w:tc>
          <w:tcPr>
            <w:tcW w:w="1856" w:type="dxa"/>
          </w:tcPr>
          <w:p w14:paraId="02CA2EF5" w14:textId="77777777" w:rsidR="00FD4925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XII.2024</w:t>
            </w:r>
          </w:p>
        </w:tc>
      </w:tr>
    </w:tbl>
    <w:p w14:paraId="16A5B5D4" w14:textId="77777777" w:rsidR="008B2699" w:rsidRDefault="008B2699" w:rsidP="003C7D1A">
      <w:pPr>
        <w:jc w:val="both"/>
        <w:rPr>
          <w:rFonts w:ascii="Arial" w:hAnsi="Arial" w:cs="Arial"/>
          <w:i/>
          <w:sz w:val="26"/>
          <w:szCs w:val="26"/>
        </w:rPr>
      </w:pPr>
    </w:p>
    <w:p w14:paraId="6E3D4999" w14:textId="77777777" w:rsidR="008B2699" w:rsidRDefault="008B2699" w:rsidP="003C7D1A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  <w:lang w:val="en-US"/>
        </w:rPr>
        <w:lastRenderedPageBreak/>
        <w:t xml:space="preserve">III. </w:t>
      </w:r>
      <w:r>
        <w:rPr>
          <w:rFonts w:ascii="Arial" w:hAnsi="Arial" w:cs="Arial"/>
          <w:i/>
          <w:sz w:val="26"/>
          <w:szCs w:val="26"/>
        </w:rPr>
        <w:t>ПРЕДВАРИТЕЛНО ФИНАНСОВО РАЗПРЕДЕЛЕНИЕ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"/>
        <w:gridCol w:w="5314"/>
        <w:gridCol w:w="2978"/>
      </w:tblGrid>
      <w:tr w:rsidR="008B2699" w:rsidRPr="00221B62" w14:paraId="451537BE" w14:textId="77777777" w:rsidTr="008B2699">
        <w:trPr>
          <w:jc w:val="center"/>
        </w:trPr>
        <w:tc>
          <w:tcPr>
            <w:tcW w:w="1013" w:type="dxa"/>
            <w:vAlign w:val="center"/>
          </w:tcPr>
          <w:p w14:paraId="403D6CA4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№ по ред</w:t>
            </w:r>
          </w:p>
        </w:tc>
        <w:tc>
          <w:tcPr>
            <w:tcW w:w="5480" w:type="dxa"/>
            <w:vAlign w:val="center"/>
          </w:tcPr>
          <w:p w14:paraId="0F7DA560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Необходима сума за проекта по години</w:t>
            </w:r>
            <w:r w:rsidR="00E501EE"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*</w:t>
            </w:r>
          </w:p>
        </w:tc>
        <w:tc>
          <w:tcPr>
            <w:tcW w:w="3075" w:type="dxa"/>
            <w:vAlign w:val="center"/>
          </w:tcPr>
          <w:p w14:paraId="623E0686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 xml:space="preserve">Сума </w:t>
            </w:r>
          </w:p>
          <w:p w14:paraId="008D3ACB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(лв.)</w:t>
            </w:r>
          </w:p>
        </w:tc>
      </w:tr>
      <w:tr w:rsidR="008B2699" w:rsidRPr="00221B62" w14:paraId="51CDE79B" w14:textId="77777777" w:rsidTr="008B2699">
        <w:trPr>
          <w:jc w:val="center"/>
        </w:trPr>
        <w:tc>
          <w:tcPr>
            <w:tcW w:w="1013" w:type="dxa"/>
          </w:tcPr>
          <w:p w14:paraId="5A083E21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5480" w:type="dxa"/>
          </w:tcPr>
          <w:p w14:paraId="09444F95" w14:textId="77777777" w:rsidR="008B2699" w:rsidRPr="00221B62" w:rsidRDefault="008B2699" w:rsidP="007533D6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 xml:space="preserve">Необходима сума за Етап 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I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 xml:space="preserve"> (20</w:t>
            </w:r>
            <w:r w:rsidR="007533D6" w:rsidRPr="00221B62"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  <w:t xml:space="preserve">23 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г.)</w:t>
            </w:r>
          </w:p>
        </w:tc>
        <w:tc>
          <w:tcPr>
            <w:tcW w:w="3075" w:type="dxa"/>
          </w:tcPr>
          <w:p w14:paraId="1CADC792" w14:textId="77777777" w:rsidR="008B2699" w:rsidRPr="00221B62" w:rsidRDefault="00AE37AC" w:rsidP="00AE37AC">
            <w:pPr>
              <w:jc w:val="right"/>
              <w:rPr>
                <w:rFonts w:ascii="Arial" w:hAnsi="Arial" w:cs="Arial"/>
                <w:sz w:val="26"/>
                <w:szCs w:val="26"/>
                <w:highlight w:val="green"/>
              </w:rPr>
            </w:pPr>
            <w:r w:rsidRPr="00221B62">
              <w:rPr>
                <w:rFonts w:ascii="Arial" w:hAnsi="Arial" w:cs="Arial"/>
                <w:sz w:val="26"/>
                <w:szCs w:val="26"/>
                <w:highlight w:val="green"/>
                <w:lang w:val="en-US"/>
              </w:rPr>
              <w:t>800</w:t>
            </w:r>
          </w:p>
        </w:tc>
      </w:tr>
      <w:tr w:rsidR="008B2699" w:rsidRPr="00221B62" w14:paraId="1CB0C151" w14:textId="77777777" w:rsidTr="008B2699">
        <w:trPr>
          <w:jc w:val="center"/>
        </w:trPr>
        <w:tc>
          <w:tcPr>
            <w:tcW w:w="1013" w:type="dxa"/>
          </w:tcPr>
          <w:p w14:paraId="633B0EA8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480" w:type="dxa"/>
          </w:tcPr>
          <w:p w14:paraId="6BAE2BB4" w14:textId="77777777" w:rsidR="008B2699" w:rsidRPr="00221B62" w:rsidRDefault="008B2699" w:rsidP="007533D6">
            <w:pPr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 xml:space="preserve">Необходима сума за Етап 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II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  <w:t xml:space="preserve"> (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2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  <w:t>0</w:t>
            </w:r>
            <w:r w:rsidR="007533D6" w:rsidRPr="00221B62"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  <w:t>24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  <w:t>.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г.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  <w:t>)</w:t>
            </w:r>
          </w:p>
        </w:tc>
        <w:tc>
          <w:tcPr>
            <w:tcW w:w="3075" w:type="dxa"/>
          </w:tcPr>
          <w:p w14:paraId="13CF8F14" w14:textId="77777777" w:rsidR="008B2699" w:rsidRPr="00221B62" w:rsidRDefault="00AE37AC" w:rsidP="00AE37AC">
            <w:pPr>
              <w:jc w:val="right"/>
              <w:rPr>
                <w:rFonts w:ascii="Arial" w:hAnsi="Arial" w:cs="Arial"/>
                <w:sz w:val="26"/>
                <w:szCs w:val="26"/>
                <w:highlight w:val="green"/>
              </w:rPr>
            </w:pPr>
            <w:r w:rsidRPr="00221B62">
              <w:rPr>
                <w:rFonts w:ascii="Arial" w:hAnsi="Arial" w:cs="Arial"/>
                <w:sz w:val="26"/>
                <w:szCs w:val="26"/>
                <w:highlight w:val="green"/>
              </w:rPr>
              <w:t>1</w:t>
            </w:r>
            <w:r w:rsidRPr="00221B62">
              <w:rPr>
                <w:rFonts w:ascii="Arial" w:hAnsi="Arial" w:cs="Arial"/>
                <w:sz w:val="26"/>
                <w:szCs w:val="26"/>
                <w:highlight w:val="green"/>
                <w:lang w:val="en-US"/>
              </w:rPr>
              <w:t xml:space="preserve"> 4</w:t>
            </w:r>
            <w:r w:rsidRPr="00221B62">
              <w:rPr>
                <w:rFonts w:ascii="Arial" w:hAnsi="Arial" w:cs="Arial"/>
                <w:sz w:val="26"/>
                <w:szCs w:val="26"/>
                <w:highlight w:val="green"/>
              </w:rPr>
              <w:t>00</w:t>
            </w:r>
          </w:p>
        </w:tc>
      </w:tr>
      <w:tr w:rsidR="008B2699" w:rsidRPr="00B47AAA" w14:paraId="0D30A89C" w14:textId="77777777" w:rsidTr="008B2699">
        <w:trPr>
          <w:jc w:val="center"/>
        </w:trPr>
        <w:tc>
          <w:tcPr>
            <w:tcW w:w="1013" w:type="dxa"/>
          </w:tcPr>
          <w:p w14:paraId="43F50C1A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5480" w:type="dxa"/>
          </w:tcPr>
          <w:p w14:paraId="2ADE2CD2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Общо:</w:t>
            </w:r>
          </w:p>
        </w:tc>
        <w:tc>
          <w:tcPr>
            <w:tcW w:w="3075" w:type="dxa"/>
          </w:tcPr>
          <w:p w14:paraId="286A32EE" w14:textId="77777777" w:rsidR="008B2699" w:rsidRPr="00AE37AC" w:rsidRDefault="00AE37AC" w:rsidP="0070711C">
            <w:pPr>
              <w:jc w:val="right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221B62">
              <w:rPr>
                <w:rFonts w:ascii="Arial" w:hAnsi="Arial" w:cs="Arial"/>
                <w:b/>
                <w:sz w:val="26"/>
                <w:szCs w:val="26"/>
                <w:highlight w:val="green"/>
                <w:lang w:val="en-US"/>
              </w:rPr>
              <w:t>2 200</w:t>
            </w:r>
          </w:p>
        </w:tc>
      </w:tr>
    </w:tbl>
    <w:p w14:paraId="1EC11B7A" w14:textId="77777777" w:rsidR="00A36BDD" w:rsidRDefault="00A36BDD" w:rsidP="003C7D1A">
      <w:pPr>
        <w:jc w:val="both"/>
        <w:rPr>
          <w:rFonts w:ascii="Arial" w:hAnsi="Arial" w:cs="Arial"/>
          <w:i/>
        </w:rPr>
      </w:pPr>
    </w:p>
    <w:p w14:paraId="7147D0A3" w14:textId="77777777" w:rsidR="008B2699" w:rsidRPr="00762DB3" w:rsidRDefault="008B2699" w:rsidP="003C7D1A">
      <w:pPr>
        <w:jc w:val="both"/>
        <w:rPr>
          <w:rFonts w:ascii="Arial" w:hAnsi="Arial" w:cs="Arial"/>
          <w:i/>
        </w:rPr>
      </w:pPr>
      <w:r w:rsidRPr="00762DB3">
        <w:rPr>
          <w:rFonts w:ascii="Arial" w:hAnsi="Arial" w:cs="Arial"/>
          <w:i/>
        </w:rPr>
        <w:t>*Планирани, но неизразходвани средства за съответната година не се прехвърлят за следващата, респ. следващите.</w:t>
      </w:r>
    </w:p>
    <w:p w14:paraId="6B1BFBB1" w14:textId="77777777" w:rsidR="00837268" w:rsidRPr="007533D6" w:rsidRDefault="00837268" w:rsidP="003C7D1A">
      <w:pPr>
        <w:jc w:val="both"/>
        <w:rPr>
          <w:rFonts w:ascii="Arial" w:hAnsi="Arial" w:cs="Arial"/>
          <w:i/>
          <w:sz w:val="26"/>
          <w:szCs w:val="26"/>
          <w:lang w:val="ru-RU"/>
        </w:rPr>
      </w:pPr>
    </w:p>
    <w:p w14:paraId="2B93A685" w14:textId="77777777" w:rsidR="000E0D60" w:rsidRDefault="008B2699" w:rsidP="000E0D60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  <w:lang w:val="en-US"/>
        </w:rPr>
        <w:t>IV</w:t>
      </w:r>
      <w:r w:rsidR="00EF2505">
        <w:rPr>
          <w:rFonts w:ascii="Arial" w:hAnsi="Arial" w:cs="Arial"/>
          <w:i/>
          <w:sz w:val="26"/>
          <w:szCs w:val="26"/>
        </w:rPr>
        <w:t xml:space="preserve">. </w:t>
      </w:r>
      <w:r w:rsidR="000E0D60" w:rsidRPr="00EF2505">
        <w:rPr>
          <w:rFonts w:ascii="Arial" w:hAnsi="Arial" w:cs="Arial"/>
          <w:i/>
          <w:sz w:val="26"/>
          <w:szCs w:val="26"/>
        </w:rPr>
        <w:t xml:space="preserve">ПРОЕКТ НА ПЛАН-СМЕТКА </w:t>
      </w:r>
      <w:r w:rsidR="000E0D60">
        <w:rPr>
          <w:rFonts w:ascii="Arial" w:hAnsi="Arial" w:cs="Arial"/>
          <w:i/>
          <w:sz w:val="26"/>
          <w:szCs w:val="26"/>
        </w:rPr>
        <w:t>(предварително финансово разпределение) за</w:t>
      </w:r>
      <w:r w:rsidR="000E0D60" w:rsidRPr="00EF2505">
        <w:rPr>
          <w:rFonts w:ascii="Arial" w:hAnsi="Arial" w:cs="Arial"/>
          <w:i/>
          <w:sz w:val="26"/>
          <w:szCs w:val="26"/>
        </w:rPr>
        <w:t xml:space="preserve"> </w:t>
      </w:r>
      <w:r w:rsidR="000E0D60">
        <w:rPr>
          <w:rFonts w:ascii="Arial" w:hAnsi="Arial" w:cs="Arial"/>
          <w:i/>
          <w:sz w:val="26"/>
          <w:szCs w:val="26"/>
        </w:rPr>
        <w:t>всички години на действие на проекта</w:t>
      </w:r>
    </w:p>
    <w:p w14:paraId="5A680179" w14:textId="77777777" w:rsidR="00326C93" w:rsidRDefault="00326C93" w:rsidP="007B63C1">
      <w:pPr>
        <w:spacing w:after="0"/>
        <w:jc w:val="both"/>
        <w:rPr>
          <w:rFonts w:ascii="Arial" w:hAnsi="Arial" w:cs="Arial"/>
          <w:i/>
          <w:sz w:val="26"/>
          <w:szCs w:val="26"/>
        </w:rPr>
      </w:pPr>
    </w:p>
    <w:tbl>
      <w:tblPr>
        <w:tblStyle w:val="TableGrid1"/>
        <w:tblW w:w="10172" w:type="dxa"/>
        <w:tblLook w:val="04A0" w:firstRow="1" w:lastRow="0" w:firstColumn="1" w:lastColumn="0" w:noHBand="0" w:noVBand="1"/>
      </w:tblPr>
      <w:tblGrid>
        <w:gridCol w:w="4786"/>
        <w:gridCol w:w="2126"/>
        <w:gridCol w:w="1701"/>
        <w:gridCol w:w="1559"/>
      </w:tblGrid>
      <w:tr w:rsidR="00061592" w:rsidRPr="00221B62" w14:paraId="7491CF14" w14:textId="77777777" w:rsidTr="00CC7BA3">
        <w:trPr>
          <w:trHeight w:val="475"/>
        </w:trPr>
        <w:tc>
          <w:tcPr>
            <w:tcW w:w="4786" w:type="dxa"/>
            <w:tcBorders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630D71E5" w14:textId="77777777" w:rsidR="00061592" w:rsidRPr="00B0237C" w:rsidRDefault="00061592" w:rsidP="007B63C1">
            <w:pPr>
              <w:tabs>
                <w:tab w:val="left" w:pos="4395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  <w:vertAlign w:val="superscript"/>
              </w:rPr>
            </w:pP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D75076" w14:textId="77777777" w:rsidR="00061592" w:rsidRPr="00221B62" w:rsidRDefault="00061592" w:rsidP="00837268">
            <w:pPr>
              <w:tabs>
                <w:tab w:val="left" w:pos="4395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ОБЩО за всички етапи: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36726C" w14:textId="77777777" w:rsidR="00061592" w:rsidRPr="00221B62" w:rsidRDefault="00061592" w:rsidP="00837268">
            <w:pPr>
              <w:tabs>
                <w:tab w:val="left" w:pos="4395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20</w:t>
            </w:r>
            <w:r w:rsidR="007533D6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23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 xml:space="preserve"> г.</w:t>
            </w:r>
          </w:p>
          <w:p w14:paraId="43D04B83" w14:textId="77777777" w:rsidR="00061592" w:rsidRPr="00221B62" w:rsidRDefault="00061592" w:rsidP="00837268">
            <w:pPr>
              <w:tabs>
                <w:tab w:val="left" w:pos="4395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(Етап 1)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EDB5DD" w14:textId="77777777" w:rsidR="00061592" w:rsidRPr="00221B62" w:rsidRDefault="00061592" w:rsidP="00837268">
            <w:pPr>
              <w:tabs>
                <w:tab w:val="left" w:pos="4395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20</w:t>
            </w:r>
            <w:r w:rsidR="007533D6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24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 xml:space="preserve"> г.</w:t>
            </w:r>
          </w:p>
          <w:p w14:paraId="426695E8" w14:textId="77777777" w:rsidR="00061592" w:rsidRPr="00221B62" w:rsidRDefault="00061592" w:rsidP="007533D6">
            <w:pPr>
              <w:tabs>
                <w:tab w:val="left" w:pos="4395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 xml:space="preserve">(Етап </w:t>
            </w:r>
            <w:r w:rsidR="007533D6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2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)</w:t>
            </w:r>
          </w:p>
        </w:tc>
      </w:tr>
      <w:tr w:rsidR="00061592" w:rsidRPr="00221B62" w14:paraId="5718A3FA" w14:textId="77777777" w:rsidTr="00CC7BA3">
        <w:trPr>
          <w:trHeight w:val="475"/>
        </w:trPr>
        <w:tc>
          <w:tcPr>
            <w:tcW w:w="4786" w:type="dxa"/>
            <w:tcBorders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8C21E64" w14:textId="77777777" w:rsidR="00061592" w:rsidRPr="00221B62" w:rsidRDefault="00061592" w:rsidP="00837268">
            <w:pPr>
              <w:tabs>
                <w:tab w:val="left" w:pos="4395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ОБЩА ГОДИШНА СУМА НА РАЗХОДИТЕ в т.ч.: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1499FF" w14:textId="77777777" w:rsidR="00061592" w:rsidRPr="00221B62" w:rsidRDefault="00AE37AC" w:rsidP="00326C93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en-US"/>
              </w:rPr>
              <w:t xml:space="preserve">2 200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лв</w:t>
            </w:r>
            <w:r w:rsidR="00061592"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  <w:t>.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</w:tcPr>
          <w:p w14:paraId="3364CA44" w14:textId="77777777" w:rsidR="00061592" w:rsidRPr="00221B62" w:rsidRDefault="00AE37AC" w:rsidP="00326C93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 xml:space="preserve">800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лв</w:t>
            </w:r>
            <w:r w:rsidR="00061592"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1559" w:type="dxa"/>
            <w:tcBorders>
              <w:top w:val="single" w:sz="12" w:space="0" w:color="000000"/>
            </w:tcBorders>
          </w:tcPr>
          <w:p w14:paraId="3CB06B7E" w14:textId="77777777" w:rsidR="00061592" w:rsidRPr="00221B62" w:rsidRDefault="00AE37AC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 xml:space="preserve">1 400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лв</w:t>
            </w:r>
            <w:r w:rsidR="00061592"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.</w:t>
            </w:r>
          </w:p>
        </w:tc>
      </w:tr>
      <w:tr w:rsidR="00061592" w:rsidRPr="00221B62" w14:paraId="338C84E3" w14:textId="77777777" w:rsidTr="00CC7BA3">
        <w:trPr>
          <w:trHeight w:val="299"/>
        </w:trPr>
        <w:tc>
          <w:tcPr>
            <w:tcW w:w="4786" w:type="dxa"/>
            <w:tcBorders>
              <w:top w:val="single" w:sz="4" w:space="0" w:color="auto"/>
              <w:right w:val="single" w:sz="12" w:space="0" w:color="000000"/>
            </w:tcBorders>
            <w:shd w:val="clear" w:color="auto" w:fill="auto"/>
          </w:tcPr>
          <w:p w14:paraId="67579A8A" w14:textId="77777777" w:rsidR="00061592" w:rsidRPr="00221B62" w:rsidRDefault="00061592" w:rsidP="007B63C1">
            <w:pPr>
              <w:tabs>
                <w:tab w:val="left" w:pos="4395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en-US"/>
              </w:rPr>
              <w:t>I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ru-RU"/>
              </w:rPr>
              <w:t xml:space="preserve">. 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МАТЕРИАЛНИ РАЗХОДИ – ОБЩО</w:t>
            </w:r>
          </w:p>
          <w:p w14:paraId="26D08F7A" w14:textId="77777777" w:rsidR="00061592" w:rsidRPr="00221B62" w:rsidRDefault="00061592" w:rsidP="007B63C1">
            <w:pPr>
              <w:tabs>
                <w:tab w:val="left" w:pos="4395"/>
              </w:tabs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  <w:t>в т.ч.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2A1D1204" w14:textId="77777777" w:rsidR="00061592" w:rsidRPr="00221B62" w:rsidRDefault="00AE37AC" w:rsidP="00061592">
            <w:pPr>
              <w:jc w:val="right"/>
              <w:rPr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en-US"/>
              </w:rPr>
              <w:t xml:space="preserve">300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лв</w:t>
            </w:r>
            <w:r w:rsidR="00061592"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  <w:t>.</w:t>
            </w:r>
          </w:p>
        </w:tc>
        <w:tc>
          <w:tcPr>
            <w:tcW w:w="1701" w:type="dxa"/>
            <w:tcBorders>
              <w:left w:val="single" w:sz="12" w:space="0" w:color="000000"/>
            </w:tcBorders>
            <w:shd w:val="clear" w:color="auto" w:fill="auto"/>
          </w:tcPr>
          <w:p w14:paraId="3848DD00" w14:textId="77777777" w:rsidR="00061592" w:rsidRPr="00221B62" w:rsidRDefault="00AE37AC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5E530FA8" w14:textId="77777777" w:rsidR="00061592" w:rsidRPr="00221B62" w:rsidRDefault="00AE37AC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 xml:space="preserve">300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лв</w:t>
            </w:r>
            <w:r w:rsidR="00061592"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.</w:t>
            </w:r>
          </w:p>
        </w:tc>
      </w:tr>
      <w:tr w:rsidR="00061592" w:rsidRPr="00221B62" w14:paraId="4732F7B3" w14:textId="77777777" w:rsidTr="00CC7BA3">
        <w:trPr>
          <w:trHeight w:val="402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30D2BEAD" w14:textId="77777777" w:rsidR="00061592" w:rsidRPr="00221B62" w:rsidRDefault="00061592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1.Разходи </w:t>
            </w:r>
            <w:r w:rsidR="001D69ED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за закупуване на</w:t>
            </w:r>
            <w:r w:rsidR="00E92677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 научна</w:t>
            </w:r>
            <w:r w:rsidR="001D69ED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 литература 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1FE9ADE5" w14:textId="77777777" w:rsidR="00061592" w:rsidRPr="00221B62" w:rsidRDefault="00AE37AC" w:rsidP="00061592">
            <w:pPr>
              <w:jc w:val="right"/>
              <w:rPr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>-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62C0E2C3" w14:textId="77777777" w:rsidR="00061592" w:rsidRPr="00221B62" w:rsidRDefault="00AE37AC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1CC83200" w14:textId="77777777" w:rsidR="00061592" w:rsidRPr="00221B62" w:rsidRDefault="00AE37AC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</w:tr>
      <w:tr w:rsidR="00061592" w:rsidRPr="00221B62" w14:paraId="20D41035" w14:textId="77777777" w:rsidTr="00CC7BA3">
        <w:trPr>
          <w:trHeight w:val="423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095575BB" w14:textId="77777777" w:rsidR="00061592" w:rsidRPr="00221B62" w:rsidRDefault="00061592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2. Разходи за закупуване на информационни масиви и абониране за информационни бази от данни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2E924965" w14:textId="77777777" w:rsidR="00061592" w:rsidRPr="00221B62" w:rsidRDefault="00AE37AC" w:rsidP="00061592">
            <w:pPr>
              <w:jc w:val="right"/>
              <w:rPr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>-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3D1685F4" w14:textId="77777777" w:rsidR="00061592" w:rsidRPr="00221B62" w:rsidRDefault="00AE37AC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241DA873" w14:textId="77777777" w:rsidR="00061592" w:rsidRPr="00221B62" w:rsidRDefault="00AE37AC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</w:tr>
      <w:tr w:rsidR="00061592" w:rsidRPr="00221B62" w14:paraId="2AD11853" w14:textId="77777777" w:rsidTr="00CC7BA3">
        <w:trPr>
          <w:trHeight w:val="415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027E7F39" w14:textId="77777777" w:rsidR="00061592" w:rsidRPr="00221B62" w:rsidRDefault="00061592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3. Разход</w:t>
            </w:r>
            <w:r w:rsidR="00F14A15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и за канцеларски материали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49E36980" w14:textId="77777777" w:rsidR="00061592" w:rsidRPr="00221B62" w:rsidRDefault="00AE37AC" w:rsidP="00061592">
            <w:pPr>
              <w:jc w:val="right"/>
              <w:rPr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>-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34532B65" w14:textId="77777777" w:rsidR="00061592" w:rsidRPr="00221B62" w:rsidRDefault="00AE37AC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75B48EA4" w14:textId="77777777" w:rsidR="00061592" w:rsidRPr="00221B62" w:rsidRDefault="00AE37AC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 xml:space="preserve">300 </w:t>
            </w:r>
            <w:r w:rsidR="00061592"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лв.</w:t>
            </w:r>
          </w:p>
        </w:tc>
      </w:tr>
      <w:tr w:rsidR="00061592" w:rsidRPr="00221B62" w14:paraId="71CD4CB2" w14:textId="77777777" w:rsidTr="00CC7BA3">
        <w:trPr>
          <w:trHeight w:val="549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329EED9D" w14:textId="77777777" w:rsidR="00061592" w:rsidRPr="00221B62" w:rsidRDefault="00061592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4. Разходи за командировки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160E6220" w14:textId="77777777" w:rsidR="00061592" w:rsidRPr="00221B62" w:rsidRDefault="00AE37AC" w:rsidP="00061592">
            <w:pPr>
              <w:jc w:val="right"/>
              <w:rPr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>-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40D7210B" w14:textId="77777777" w:rsidR="00061592" w:rsidRPr="00221B62" w:rsidRDefault="00AE37AC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181B7E69" w14:textId="77777777" w:rsidR="00061592" w:rsidRPr="00221B62" w:rsidRDefault="00AE37AC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</w:tr>
      <w:tr w:rsidR="00061592" w:rsidRPr="00221B62" w14:paraId="4CB3C6A1" w14:textId="77777777" w:rsidTr="00CC7BA3">
        <w:trPr>
          <w:trHeight w:val="570"/>
        </w:trPr>
        <w:tc>
          <w:tcPr>
            <w:tcW w:w="4786" w:type="dxa"/>
            <w:tcBorders>
              <w:right w:val="single" w:sz="12" w:space="0" w:color="000000"/>
            </w:tcBorders>
            <w:shd w:val="clear" w:color="auto" w:fill="auto"/>
          </w:tcPr>
          <w:p w14:paraId="6C043E99" w14:textId="77777777" w:rsidR="00061592" w:rsidRPr="00221B62" w:rsidRDefault="00061592" w:rsidP="003B6EFD">
            <w:pPr>
              <w:tabs>
                <w:tab w:val="left" w:pos="4395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en-US"/>
              </w:rPr>
              <w:t>II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ru-RU"/>
              </w:rPr>
              <w:t xml:space="preserve">. 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ВЪЗН</w:t>
            </w:r>
            <w:r w:rsidR="00C03FDD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АГРАЖДЕНИЯ НА РЕЦЕНЗЕНТИ – ОБЩО (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в  т.ч. осиг</w:t>
            </w:r>
            <w:r w:rsidR="003B6EFD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.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 xml:space="preserve"> вноски</w:t>
            </w:r>
            <w:r w:rsidR="00C03FDD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)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79E2702F" w14:textId="77777777" w:rsidR="00061592" w:rsidRPr="00221B62" w:rsidRDefault="00AE37AC" w:rsidP="00061592">
            <w:pPr>
              <w:jc w:val="right"/>
              <w:rPr>
                <w:b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en-US"/>
              </w:rPr>
              <w:t xml:space="preserve">100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лв.</w:t>
            </w:r>
          </w:p>
        </w:tc>
        <w:tc>
          <w:tcPr>
            <w:tcW w:w="1701" w:type="dxa"/>
            <w:tcBorders>
              <w:left w:val="single" w:sz="12" w:space="0" w:color="000000"/>
            </w:tcBorders>
            <w:shd w:val="clear" w:color="auto" w:fill="auto"/>
          </w:tcPr>
          <w:p w14:paraId="7EF6BDF8" w14:textId="77777777" w:rsidR="00061592" w:rsidRPr="00221B62" w:rsidRDefault="00AE37AC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5AE2DFE2" w14:textId="77777777" w:rsidR="00061592" w:rsidRPr="00221B62" w:rsidRDefault="00AE37AC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 xml:space="preserve">100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лв.</w:t>
            </w:r>
          </w:p>
        </w:tc>
      </w:tr>
      <w:tr w:rsidR="00061592" w:rsidRPr="00221B62" w14:paraId="5D1E31E0" w14:textId="77777777" w:rsidTr="00CC7BA3">
        <w:trPr>
          <w:trHeight w:val="551"/>
        </w:trPr>
        <w:tc>
          <w:tcPr>
            <w:tcW w:w="4786" w:type="dxa"/>
            <w:tcBorders>
              <w:right w:val="single" w:sz="12" w:space="0" w:color="000000"/>
            </w:tcBorders>
            <w:shd w:val="clear" w:color="auto" w:fill="auto"/>
          </w:tcPr>
          <w:p w14:paraId="27D7ED0D" w14:textId="77777777" w:rsidR="00061592" w:rsidRPr="00221B62" w:rsidRDefault="00061592" w:rsidP="007B63C1">
            <w:pPr>
              <w:tabs>
                <w:tab w:val="left" w:pos="4395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en-US"/>
              </w:rPr>
              <w:t>III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ru-RU"/>
              </w:rPr>
              <w:t xml:space="preserve">. 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РАЗХОДИ ЗА УСЛУГИ – ОБЩО</w:t>
            </w:r>
          </w:p>
          <w:p w14:paraId="21ADC80B" w14:textId="77777777" w:rsidR="00061592" w:rsidRPr="00221B62" w:rsidRDefault="00061592" w:rsidP="007B63C1">
            <w:pPr>
              <w:tabs>
                <w:tab w:val="left" w:pos="4395"/>
              </w:tabs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в.т.ч.: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22E009F1" w14:textId="77777777" w:rsidR="00061592" w:rsidRPr="00221B62" w:rsidRDefault="00012D43" w:rsidP="00012D43">
            <w:pPr>
              <w:jc w:val="right"/>
              <w:rPr>
                <w:b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en-US"/>
              </w:rPr>
              <w:t xml:space="preserve">1 800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лв.</w:t>
            </w:r>
          </w:p>
        </w:tc>
        <w:tc>
          <w:tcPr>
            <w:tcW w:w="1701" w:type="dxa"/>
            <w:tcBorders>
              <w:left w:val="single" w:sz="12" w:space="0" w:color="000000"/>
            </w:tcBorders>
            <w:shd w:val="clear" w:color="auto" w:fill="auto"/>
          </w:tcPr>
          <w:p w14:paraId="07EA2205" w14:textId="77777777" w:rsidR="00061592" w:rsidRPr="00221B62" w:rsidRDefault="00012D43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 xml:space="preserve">800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лв.</w:t>
            </w:r>
          </w:p>
        </w:tc>
        <w:tc>
          <w:tcPr>
            <w:tcW w:w="1559" w:type="dxa"/>
          </w:tcPr>
          <w:p w14:paraId="3C27C786" w14:textId="77777777" w:rsidR="00061592" w:rsidRPr="00221B62" w:rsidRDefault="00012D43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 xml:space="preserve">1 000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лв.</w:t>
            </w:r>
          </w:p>
        </w:tc>
      </w:tr>
      <w:tr w:rsidR="00061592" w:rsidRPr="00221B62" w14:paraId="493C38AD" w14:textId="77777777" w:rsidTr="00CC7BA3">
        <w:trPr>
          <w:trHeight w:val="551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6A6C422D" w14:textId="77777777" w:rsidR="00061592" w:rsidRPr="00221B62" w:rsidRDefault="00061592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lastRenderedPageBreak/>
              <w:t>1. Разходи компютър</w:t>
            </w:r>
            <w:r w:rsidR="00E92677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ен набор, </w:t>
            </w:r>
            <w:r w:rsidR="003B6EFD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редакция, </w:t>
            </w:r>
            <w:r w:rsidR="00E92677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размножаване и </w:t>
            </w: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 др. 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5633B673" w14:textId="77777777" w:rsidR="00061592" w:rsidRPr="00221B62" w:rsidRDefault="00012D43" w:rsidP="00061592">
            <w:pPr>
              <w:jc w:val="right"/>
              <w:rPr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>-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18EB4E85" w14:textId="77777777" w:rsidR="00061592" w:rsidRPr="00221B62" w:rsidRDefault="00012D43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162FF7A5" w14:textId="77777777" w:rsidR="00061592" w:rsidRPr="00221B62" w:rsidRDefault="00012D43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</w:tr>
      <w:tr w:rsidR="00E92677" w:rsidRPr="00221B62" w14:paraId="5A278AA1" w14:textId="77777777" w:rsidTr="00CC7BA3">
        <w:trPr>
          <w:trHeight w:val="551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2657267B" w14:textId="77777777" w:rsidR="00E92677" w:rsidRPr="00221B62" w:rsidRDefault="00E92677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2. Разходи за превод на публикации, </w:t>
            </w:r>
            <w:r w:rsidR="003B6EFD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произлезли от</w:t>
            </w: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 </w:t>
            </w:r>
            <w:r w:rsidR="003B6EFD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изследването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786C0A28" w14:textId="77777777" w:rsidR="00E92677" w:rsidRPr="00221B62" w:rsidRDefault="00012D43" w:rsidP="00061592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>-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63CE99B0" w14:textId="77777777" w:rsidR="00E92677" w:rsidRPr="00221B62" w:rsidRDefault="00012D43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07EAEA34" w14:textId="77777777" w:rsidR="00E92677" w:rsidRPr="00221B62" w:rsidRDefault="00012D43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</w:tr>
      <w:tr w:rsidR="00061592" w:rsidRPr="00221B62" w14:paraId="32D0A236" w14:textId="77777777" w:rsidTr="00CC7BA3">
        <w:trPr>
          <w:trHeight w:val="551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39FE361A" w14:textId="77777777" w:rsidR="00061592" w:rsidRPr="00221B62" w:rsidRDefault="00E92677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3.</w:t>
            </w:r>
            <w:r w:rsidR="00061592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 Такси за участие в конференции 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686E67B2" w14:textId="77777777" w:rsidR="00061592" w:rsidRPr="00221B62" w:rsidRDefault="00012D43" w:rsidP="00061592">
            <w:pPr>
              <w:jc w:val="right"/>
              <w:rPr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>-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6E8D1936" w14:textId="77777777" w:rsidR="00061592" w:rsidRPr="00221B62" w:rsidRDefault="00012D43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360D2EFE" w14:textId="77777777" w:rsidR="00061592" w:rsidRPr="00221B62" w:rsidRDefault="00012D43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</w:tr>
      <w:tr w:rsidR="00061592" w:rsidRPr="007B63C1" w14:paraId="39FACD3C" w14:textId="77777777" w:rsidTr="00CC7BA3">
        <w:trPr>
          <w:trHeight w:val="551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08EBC697" w14:textId="77777777" w:rsidR="00061592" w:rsidRPr="00221B62" w:rsidRDefault="00E92677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4.</w:t>
            </w:r>
            <w:r w:rsidR="00061592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 Такси за публикуване в реферирани </w:t>
            </w: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издания</w:t>
            </w:r>
            <w:r w:rsidR="00061592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 </w:t>
            </w:r>
          </w:p>
        </w:tc>
        <w:tc>
          <w:tcPr>
            <w:tcW w:w="212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2E4195" w14:textId="77777777" w:rsidR="00061592" w:rsidRPr="00221B62" w:rsidRDefault="00012D43" w:rsidP="00061592">
            <w:pPr>
              <w:jc w:val="right"/>
              <w:rPr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 xml:space="preserve">1 800 </w:t>
            </w:r>
            <w:r w:rsidR="00061592"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  <w:t>лв.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0196C9D9" w14:textId="77777777" w:rsidR="00061592" w:rsidRPr="00221B62" w:rsidRDefault="00012D43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 xml:space="preserve">800 </w:t>
            </w:r>
            <w:r w:rsidR="00061592"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лв.</w:t>
            </w:r>
          </w:p>
        </w:tc>
        <w:tc>
          <w:tcPr>
            <w:tcW w:w="1559" w:type="dxa"/>
          </w:tcPr>
          <w:p w14:paraId="10CA3FB5" w14:textId="77777777" w:rsidR="00061592" w:rsidRPr="00061592" w:rsidRDefault="00012D43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 xml:space="preserve">1 000 </w:t>
            </w:r>
            <w:r w:rsidR="00061592"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лв.</w:t>
            </w:r>
          </w:p>
        </w:tc>
      </w:tr>
    </w:tbl>
    <w:p w14:paraId="65A04AE7" w14:textId="77777777" w:rsidR="00D71C7D" w:rsidRDefault="00D71C7D" w:rsidP="00D71C7D">
      <w:pPr>
        <w:tabs>
          <w:tab w:val="left" w:pos="709"/>
        </w:tabs>
        <w:spacing w:after="0"/>
        <w:jc w:val="both"/>
        <w:rPr>
          <w:rFonts w:ascii="Arial" w:hAnsi="Arial" w:cs="Arial"/>
          <w:i/>
          <w:sz w:val="26"/>
          <w:szCs w:val="26"/>
        </w:rPr>
      </w:pPr>
    </w:p>
    <w:p w14:paraId="516668D1" w14:textId="77777777" w:rsidR="000B0F9B" w:rsidRPr="0021589C" w:rsidRDefault="00D71C7D" w:rsidP="00D71C7D">
      <w:pPr>
        <w:tabs>
          <w:tab w:val="left" w:pos="709"/>
        </w:tabs>
        <w:spacing w:after="0"/>
        <w:jc w:val="both"/>
        <w:rPr>
          <w:rFonts w:ascii="Arial" w:hAnsi="Arial" w:cs="Arial"/>
          <w:i/>
          <w:sz w:val="26"/>
          <w:szCs w:val="26"/>
          <w:lang w:val="ru-RU"/>
        </w:rPr>
      </w:pPr>
      <w:r>
        <w:rPr>
          <w:rFonts w:ascii="Arial" w:hAnsi="Arial" w:cs="Arial"/>
          <w:i/>
          <w:sz w:val="26"/>
          <w:szCs w:val="26"/>
        </w:rPr>
        <w:t>Заб. При изразходване на утвърдените средства докторантите са длъжни да съгласуват планирания разход с ръководителя си преди предявяването му.</w:t>
      </w:r>
    </w:p>
    <w:p w14:paraId="60CFFF27" w14:textId="77777777" w:rsidR="00762DB3" w:rsidRDefault="00762DB3" w:rsidP="003C7D1A">
      <w:pPr>
        <w:jc w:val="both"/>
        <w:rPr>
          <w:rFonts w:ascii="Arial" w:hAnsi="Arial" w:cs="Arial"/>
          <w:i/>
          <w:sz w:val="26"/>
          <w:szCs w:val="26"/>
        </w:rPr>
      </w:pPr>
    </w:p>
    <w:p w14:paraId="267C6438" w14:textId="77777777" w:rsidR="00AE336C" w:rsidRPr="007B63C1" w:rsidRDefault="00BD07B1" w:rsidP="003C7D1A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  <w:lang w:val="en-US"/>
        </w:rPr>
        <w:t>V</w:t>
      </w:r>
      <w:r w:rsidR="00AE336C">
        <w:rPr>
          <w:rFonts w:ascii="Arial" w:hAnsi="Arial" w:cs="Arial"/>
          <w:i/>
          <w:sz w:val="26"/>
          <w:szCs w:val="26"/>
          <w:lang w:val="en-US"/>
        </w:rPr>
        <w:t xml:space="preserve">. </w:t>
      </w:r>
      <w:r w:rsidR="007B63C1">
        <w:rPr>
          <w:rFonts w:ascii="Arial" w:hAnsi="Arial" w:cs="Arial"/>
          <w:i/>
          <w:sz w:val="26"/>
          <w:szCs w:val="26"/>
        </w:rPr>
        <w:t>НАУЧЕН</w:t>
      </w:r>
      <w:r w:rsidR="00AE336C" w:rsidRPr="00AE336C">
        <w:rPr>
          <w:rFonts w:ascii="Arial" w:hAnsi="Arial" w:cs="Arial"/>
          <w:i/>
          <w:sz w:val="26"/>
          <w:szCs w:val="26"/>
          <w:lang w:val="en-US"/>
        </w:rPr>
        <w:t xml:space="preserve"> </w:t>
      </w:r>
      <w:r w:rsidR="007B63C1">
        <w:rPr>
          <w:rFonts w:ascii="Arial" w:hAnsi="Arial" w:cs="Arial"/>
          <w:i/>
          <w:sz w:val="26"/>
          <w:szCs w:val="26"/>
        </w:rPr>
        <w:t>ЕКИП</w:t>
      </w:r>
    </w:p>
    <w:tbl>
      <w:tblPr>
        <w:tblW w:w="10481" w:type="dxa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5"/>
        <w:gridCol w:w="4318"/>
        <w:gridCol w:w="2835"/>
        <w:gridCol w:w="2693"/>
      </w:tblGrid>
      <w:tr w:rsidR="00AE336C" w:rsidRPr="00AE336C" w14:paraId="3E9FC91F" w14:textId="77777777" w:rsidTr="00C509A0">
        <w:trPr>
          <w:trHeight w:val="1362"/>
        </w:trPr>
        <w:tc>
          <w:tcPr>
            <w:tcW w:w="635" w:type="dxa"/>
            <w:vAlign w:val="center"/>
          </w:tcPr>
          <w:p w14:paraId="0D1D8526" w14:textId="77777777" w:rsidR="00AE336C" w:rsidRPr="00AE336C" w:rsidRDefault="00AE336C" w:rsidP="0070711C">
            <w:pPr>
              <w:pStyle w:val="NormalBDS"/>
              <w:widowControl/>
              <w:spacing w:line="240" w:lineRule="auto"/>
              <w:jc w:val="center"/>
              <w:rPr>
                <w:rFonts w:ascii="Arial" w:hAnsi="Arial" w:cs="Arial"/>
                <w:b/>
                <w:i/>
                <w:sz w:val="20"/>
                <w:lang w:val="bg-BG"/>
              </w:rPr>
            </w:pPr>
            <w:r w:rsidRPr="00AE336C">
              <w:rPr>
                <w:rFonts w:ascii="Arial" w:hAnsi="Arial" w:cs="Arial"/>
                <w:b/>
                <w:i/>
                <w:sz w:val="20"/>
                <w:lang w:val="bg-BG"/>
              </w:rPr>
              <w:t>№</w:t>
            </w:r>
          </w:p>
          <w:p w14:paraId="4089BD40" w14:textId="77777777" w:rsidR="00AE336C" w:rsidRPr="00AE336C" w:rsidRDefault="00AE336C" w:rsidP="0070711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E336C">
              <w:rPr>
                <w:rFonts w:ascii="Arial" w:hAnsi="Arial" w:cs="Arial"/>
                <w:b/>
                <w:i/>
                <w:sz w:val="20"/>
                <w:szCs w:val="20"/>
              </w:rPr>
              <w:t>по</w:t>
            </w:r>
          </w:p>
          <w:p w14:paraId="7F2E0DCC" w14:textId="77777777" w:rsidR="00AE336C" w:rsidRPr="00AE336C" w:rsidRDefault="00AE336C" w:rsidP="0070711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E336C">
              <w:rPr>
                <w:rFonts w:ascii="Arial" w:hAnsi="Arial" w:cs="Arial"/>
                <w:b/>
                <w:i/>
                <w:sz w:val="20"/>
                <w:szCs w:val="20"/>
              </w:rPr>
              <w:t>ред</w:t>
            </w:r>
          </w:p>
        </w:tc>
        <w:tc>
          <w:tcPr>
            <w:tcW w:w="4318" w:type="dxa"/>
            <w:vAlign w:val="center"/>
          </w:tcPr>
          <w:p w14:paraId="24D44B3D" w14:textId="77777777" w:rsidR="00AE336C" w:rsidRPr="00FD4925" w:rsidRDefault="00AE336C" w:rsidP="0070711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  <w:t>Участници</w:t>
            </w:r>
          </w:p>
          <w:p w14:paraId="7F572E03" w14:textId="77777777" w:rsidR="00AE336C" w:rsidRPr="00FD4925" w:rsidRDefault="00AE336C" w:rsidP="007B63C1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  <w:t xml:space="preserve">(име, презиме, фамилия, </w:t>
            </w:r>
            <w:r w:rsidR="007B63C1" w:rsidRPr="00FD4925"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  <w:t>академична длъжност</w:t>
            </w:r>
            <w:r w:rsidRPr="00FD4925"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  <w:t>, научна степен)</w:t>
            </w:r>
          </w:p>
        </w:tc>
        <w:tc>
          <w:tcPr>
            <w:tcW w:w="2835" w:type="dxa"/>
            <w:vAlign w:val="center"/>
          </w:tcPr>
          <w:p w14:paraId="4E8D1489" w14:textId="77777777" w:rsidR="00AE336C" w:rsidRPr="00FD4925" w:rsidRDefault="00AE336C" w:rsidP="0070711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</w:pPr>
          </w:p>
          <w:p w14:paraId="1559B7E5" w14:textId="77777777" w:rsidR="00AE336C" w:rsidRPr="00FD4925" w:rsidRDefault="00AE336C" w:rsidP="0070711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  <w:t>Месторабота, научно звено, длъжност</w:t>
            </w:r>
          </w:p>
          <w:p w14:paraId="2DF083CA" w14:textId="77777777" w:rsidR="00AE336C" w:rsidRPr="00FD4925" w:rsidRDefault="00AE336C" w:rsidP="0070711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</w:pPr>
          </w:p>
        </w:tc>
        <w:tc>
          <w:tcPr>
            <w:tcW w:w="2693" w:type="dxa"/>
            <w:vAlign w:val="center"/>
          </w:tcPr>
          <w:p w14:paraId="7EFCADAD" w14:textId="77777777" w:rsidR="00AE336C" w:rsidRPr="00FD4925" w:rsidRDefault="00AE336C" w:rsidP="0070711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  <w:t>Координати (телефон, електронен адрес)</w:t>
            </w:r>
          </w:p>
        </w:tc>
      </w:tr>
      <w:tr w:rsidR="00AE336C" w:rsidRPr="00AE336C" w14:paraId="6C2C2151" w14:textId="77777777" w:rsidTr="00C509A0">
        <w:trPr>
          <w:trHeight w:val="691"/>
        </w:trPr>
        <w:tc>
          <w:tcPr>
            <w:tcW w:w="635" w:type="dxa"/>
          </w:tcPr>
          <w:p w14:paraId="12F38D18" w14:textId="77777777" w:rsidR="00AE336C" w:rsidRPr="00AE336C" w:rsidRDefault="00AE336C" w:rsidP="007071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8" w:type="dxa"/>
          </w:tcPr>
          <w:p w14:paraId="24789B9A" w14:textId="77777777" w:rsidR="00FD4925" w:rsidRPr="00FD4925" w:rsidRDefault="00AE336C" w:rsidP="0070711C">
            <w:pPr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>Ръководител:</w:t>
            </w:r>
            <w:r w:rsidR="007533D6" w:rsidRPr="00FD4925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</w:p>
          <w:p w14:paraId="41F61A2B" w14:textId="77777777" w:rsidR="00AE336C" w:rsidRPr="00FD4925" w:rsidRDefault="00FD4925" w:rsidP="0070711C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>доц. д-р Павел Стоянов Петров</w:t>
            </w:r>
          </w:p>
        </w:tc>
        <w:tc>
          <w:tcPr>
            <w:tcW w:w="2835" w:type="dxa"/>
          </w:tcPr>
          <w:p w14:paraId="1956B871" w14:textId="77777777" w:rsidR="00AE336C" w:rsidRPr="00FD4925" w:rsidRDefault="00FD4925" w:rsidP="00FD4925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>ИУ-Варна, кат."Информатика", преподавател</w:t>
            </w:r>
          </w:p>
        </w:tc>
        <w:tc>
          <w:tcPr>
            <w:tcW w:w="2693" w:type="dxa"/>
          </w:tcPr>
          <w:p w14:paraId="2EEE9235" w14:textId="77777777" w:rsidR="00FD4925" w:rsidRPr="00FD4925" w:rsidRDefault="00FD4925" w:rsidP="00FD4925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>0882164704</w:t>
            </w:r>
          </w:p>
          <w:p w14:paraId="116BB5DA" w14:textId="77777777" w:rsidR="00AE336C" w:rsidRPr="00FD4925" w:rsidRDefault="00FD4925" w:rsidP="00FD4925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>petrov@ue-varna.bg</w:t>
            </w:r>
          </w:p>
        </w:tc>
      </w:tr>
      <w:tr w:rsidR="00AE336C" w:rsidRPr="00AE336C" w14:paraId="0865DF72" w14:textId="77777777" w:rsidTr="00C509A0">
        <w:tc>
          <w:tcPr>
            <w:tcW w:w="635" w:type="dxa"/>
          </w:tcPr>
          <w:p w14:paraId="7407184F" w14:textId="77777777" w:rsidR="00AE336C" w:rsidRPr="00AE336C" w:rsidRDefault="00AE336C" w:rsidP="007071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8" w:type="dxa"/>
          </w:tcPr>
          <w:p w14:paraId="4F3C8084" w14:textId="77777777" w:rsidR="00AE336C" w:rsidRPr="00FD4925" w:rsidRDefault="007C36E8" w:rsidP="0070711C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>Изпълнител</w:t>
            </w:r>
            <w:r w:rsidR="00AE336C" w:rsidRPr="00FD4925">
              <w:rPr>
                <w:rFonts w:ascii="Arial" w:hAnsi="Arial" w:cs="Arial"/>
                <w:sz w:val="20"/>
                <w:szCs w:val="20"/>
                <w:highlight w:val="green"/>
              </w:rPr>
              <w:t>:</w:t>
            </w:r>
          </w:p>
          <w:p w14:paraId="5F1B1E7E" w14:textId="77777777" w:rsidR="003B6EFD" w:rsidRPr="00FD4925" w:rsidRDefault="003B6EFD" w:rsidP="0070711C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 xml:space="preserve">докторант </w:t>
            </w:r>
            <w:r w:rsidR="00FD4925" w:rsidRPr="00FD4925">
              <w:rPr>
                <w:rFonts w:ascii="Arial" w:hAnsi="Arial" w:cs="Arial"/>
                <w:sz w:val="20"/>
                <w:szCs w:val="20"/>
                <w:highlight w:val="green"/>
              </w:rPr>
              <w:t>Йордан Иванов Йорданов</w:t>
            </w:r>
          </w:p>
          <w:p w14:paraId="2E6DC01C" w14:textId="77777777" w:rsidR="00AE336C" w:rsidRPr="00FD4925" w:rsidRDefault="00AE336C" w:rsidP="0070711C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2835" w:type="dxa"/>
          </w:tcPr>
          <w:p w14:paraId="436FC112" w14:textId="77777777" w:rsidR="00AE336C" w:rsidRPr="00FD4925" w:rsidRDefault="00AE336C" w:rsidP="0070711C">
            <w:pPr>
              <w:pStyle w:val="Foo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14:paraId="314EB3A5" w14:textId="77777777" w:rsidR="00AE336C" w:rsidRPr="00FD4925" w:rsidRDefault="00FD4925" w:rsidP="0070711C">
            <w:pPr>
              <w:pStyle w:val="Foo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>ИУ-Варна, кат."Информатика", докторант</w:t>
            </w:r>
          </w:p>
        </w:tc>
        <w:tc>
          <w:tcPr>
            <w:tcW w:w="2693" w:type="dxa"/>
          </w:tcPr>
          <w:p w14:paraId="334E8E32" w14:textId="77777777" w:rsidR="00AE336C" w:rsidRPr="0021589C" w:rsidRDefault="00FD4925" w:rsidP="0070711C">
            <w:pPr>
              <w:pStyle w:val="Foo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1589C">
              <w:rPr>
                <w:rFonts w:ascii="Arial" w:hAnsi="Arial" w:cs="Arial"/>
                <w:sz w:val="20"/>
                <w:szCs w:val="20"/>
                <w:highlight w:val="green"/>
              </w:rPr>
              <w:t>0879317180</w:t>
            </w:r>
          </w:p>
          <w:p w14:paraId="67B1D20E" w14:textId="77777777" w:rsidR="00FD4925" w:rsidRPr="0021589C" w:rsidRDefault="00FD4925" w:rsidP="0070711C">
            <w:pPr>
              <w:pStyle w:val="Foo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14:paraId="2BD43E46" w14:textId="77777777" w:rsidR="00FD4925" w:rsidRPr="0021589C" w:rsidRDefault="00FD4925" w:rsidP="0070711C">
            <w:pPr>
              <w:pStyle w:val="Foo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jordanov</w:t>
            </w:r>
            <w:r w:rsidRPr="0021589C">
              <w:rPr>
                <w:rFonts w:ascii="Arial" w:hAnsi="Arial" w:cs="Arial"/>
                <w:sz w:val="20"/>
                <w:szCs w:val="20"/>
                <w:highlight w:val="green"/>
              </w:rPr>
              <w:t>.</w:t>
            </w:r>
            <w:r w:rsidRPr="00FD49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jordan</w:t>
            </w:r>
            <w:r w:rsidRPr="0021589C">
              <w:rPr>
                <w:rFonts w:ascii="Arial" w:hAnsi="Arial" w:cs="Arial"/>
                <w:sz w:val="20"/>
                <w:szCs w:val="20"/>
                <w:highlight w:val="green"/>
              </w:rPr>
              <w:t>@</w:t>
            </w:r>
            <w:r w:rsidRPr="00FD49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ue</w:t>
            </w:r>
            <w:r w:rsidRPr="0021589C">
              <w:rPr>
                <w:rFonts w:ascii="Arial" w:hAnsi="Arial" w:cs="Arial"/>
                <w:sz w:val="20"/>
                <w:szCs w:val="20"/>
                <w:highlight w:val="green"/>
              </w:rPr>
              <w:t>-</w:t>
            </w:r>
            <w:r w:rsidRPr="00FD49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varna</w:t>
            </w:r>
            <w:r w:rsidRPr="0021589C">
              <w:rPr>
                <w:rFonts w:ascii="Arial" w:hAnsi="Arial" w:cs="Arial"/>
                <w:sz w:val="20"/>
                <w:szCs w:val="20"/>
                <w:highlight w:val="green"/>
              </w:rPr>
              <w:t>.</w:t>
            </w:r>
            <w:r w:rsidRPr="00FD49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bg</w:t>
            </w:r>
          </w:p>
        </w:tc>
      </w:tr>
    </w:tbl>
    <w:p w14:paraId="4739CDFD" w14:textId="77777777" w:rsidR="00A36BDD" w:rsidRPr="004F3668" w:rsidRDefault="00A36BDD" w:rsidP="00727ED0">
      <w:pPr>
        <w:tabs>
          <w:tab w:val="left" w:pos="-180"/>
          <w:tab w:val="left" w:pos="994"/>
        </w:tabs>
        <w:spacing w:line="264" w:lineRule="auto"/>
        <w:ind w:firstLine="714"/>
        <w:jc w:val="both"/>
        <w:rPr>
          <w:rFonts w:ascii="Arial" w:hAnsi="Arial" w:cs="Arial"/>
          <w:i/>
          <w:lang w:eastAsia="zh-TW"/>
        </w:rPr>
      </w:pPr>
    </w:p>
    <w:p w14:paraId="0FA037E2" w14:textId="77777777" w:rsidR="00727ED0" w:rsidRPr="004F3668" w:rsidRDefault="00727ED0" w:rsidP="00727ED0">
      <w:pPr>
        <w:tabs>
          <w:tab w:val="left" w:pos="-180"/>
          <w:tab w:val="left" w:pos="994"/>
        </w:tabs>
        <w:spacing w:line="264" w:lineRule="auto"/>
        <w:ind w:firstLine="714"/>
        <w:jc w:val="both"/>
        <w:rPr>
          <w:rFonts w:ascii="Arial" w:hAnsi="Arial" w:cs="Arial"/>
          <w:i/>
          <w:lang w:eastAsia="zh-TW"/>
        </w:rPr>
      </w:pPr>
      <w:r w:rsidRPr="007533D6">
        <w:rPr>
          <w:rFonts w:ascii="Arial" w:hAnsi="Arial" w:cs="Arial"/>
          <w:i/>
          <w:lang w:val="ru-RU" w:eastAsia="zh-TW"/>
        </w:rPr>
        <w:t xml:space="preserve">Запознат съм с </w:t>
      </w:r>
      <w:r w:rsidRPr="004F3668">
        <w:rPr>
          <w:rFonts w:ascii="Arial" w:hAnsi="Arial" w:cs="Arial"/>
          <w:i/>
          <w:lang w:eastAsia="zh-TW"/>
        </w:rPr>
        <w:t xml:space="preserve">1) </w:t>
      </w:r>
      <w:r w:rsidRPr="007533D6">
        <w:rPr>
          <w:rFonts w:ascii="Arial" w:hAnsi="Arial" w:cs="Arial"/>
          <w:i/>
          <w:lang w:val="ru-RU" w:eastAsia="zh-TW"/>
        </w:rPr>
        <w:t>Правилата за условията и реда за планиране, разпределение и разходване на средства за научна дейност, финансирани целево от държавния бюджет</w:t>
      </w:r>
      <w:r w:rsidRPr="004F3668">
        <w:rPr>
          <w:rFonts w:ascii="Arial" w:hAnsi="Arial" w:cs="Arial"/>
          <w:i/>
          <w:lang w:eastAsia="zh-TW"/>
        </w:rPr>
        <w:t>. 2) Правилника за наблюдение и оценка на научно-изследователската дейност, осъществяване от висшите училища и научните организации, както и на дейност</w:t>
      </w:r>
      <w:r w:rsidR="00762DB3" w:rsidRPr="004F3668">
        <w:rPr>
          <w:rFonts w:ascii="Arial" w:hAnsi="Arial" w:cs="Arial"/>
          <w:i/>
          <w:lang w:eastAsia="zh-TW"/>
        </w:rPr>
        <w:t>та на Фонд „Научни изследван</w:t>
      </w:r>
      <w:r w:rsidR="00445DB2" w:rsidRPr="004F3668">
        <w:rPr>
          <w:rFonts w:ascii="Arial" w:hAnsi="Arial" w:cs="Arial"/>
          <w:i/>
          <w:lang w:eastAsia="zh-TW"/>
        </w:rPr>
        <w:t>ия“, 3) Указанията на ректора, у</w:t>
      </w:r>
      <w:r w:rsidR="00762DB3" w:rsidRPr="004F3668">
        <w:rPr>
          <w:rFonts w:ascii="Arial" w:hAnsi="Arial" w:cs="Arial"/>
          <w:i/>
          <w:lang w:eastAsia="zh-TW"/>
        </w:rPr>
        <w:t>твърдени в съответната конкурсна година.</w:t>
      </w:r>
    </w:p>
    <w:p w14:paraId="108C8BD5" w14:textId="77777777" w:rsidR="00A36BDD" w:rsidRDefault="00A36BDD" w:rsidP="00727ED0">
      <w:pPr>
        <w:tabs>
          <w:tab w:val="left" w:pos="-180"/>
          <w:tab w:val="left" w:pos="994"/>
        </w:tabs>
        <w:spacing w:line="264" w:lineRule="auto"/>
        <w:ind w:firstLine="714"/>
        <w:jc w:val="both"/>
        <w:rPr>
          <w:rFonts w:ascii="Arial" w:hAnsi="Arial" w:cs="Arial"/>
          <w:i/>
          <w:sz w:val="20"/>
          <w:szCs w:val="20"/>
          <w:lang w:eastAsia="zh-TW"/>
        </w:rPr>
      </w:pPr>
    </w:p>
    <w:p w14:paraId="7ADD1CBA" w14:textId="77777777" w:rsidR="00A36BDD" w:rsidRPr="007533D6" w:rsidRDefault="00A36BDD" w:rsidP="00727ED0">
      <w:pPr>
        <w:tabs>
          <w:tab w:val="left" w:pos="-180"/>
          <w:tab w:val="left" w:pos="994"/>
        </w:tabs>
        <w:spacing w:line="264" w:lineRule="auto"/>
        <w:ind w:firstLine="714"/>
        <w:jc w:val="both"/>
        <w:rPr>
          <w:rFonts w:ascii="Arial" w:hAnsi="Arial" w:cs="Arial"/>
          <w:i/>
          <w:sz w:val="20"/>
          <w:szCs w:val="20"/>
          <w:lang w:val="ru-RU" w:eastAsia="zh-TW"/>
        </w:rPr>
      </w:pPr>
    </w:p>
    <w:tbl>
      <w:tblPr>
        <w:tblStyle w:val="TableGrid"/>
        <w:tblW w:w="9911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1"/>
        <w:gridCol w:w="4720"/>
      </w:tblGrid>
      <w:tr w:rsidR="00AA3568" w14:paraId="29DD15B5" w14:textId="77777777" w:rsidTr="000B0F9B">
        <w:trPr>
          <w:trHeight w:val="379"/>
        </w:trPr>
        <w:tc>
          <w:tcPr>
            <w:tcW w:w="5191" w:type="dxa"/>
          </w:tcPr>
          <w:p w14:paraId="0FA40E2C" w14:textId="77777777" w:rsidR="00AA3568" w:rsidRPr="00AA3568" w:rsidRDefault="00AA3568" w:rsidP="00AA3568">
            <w:pPr>
              <w:pStyle w:val="NormalBDS"/>
              <w:spacing w:line="240" w:lineRule="auto"/>
              <w:rPr>
                <w:rFonts w:ascii="Arial" w:hAnsi="Arial" w:cs="Arial"/>
                <w:i/>
                <w:lang w:val="bg-BG"/>
              </w:rPr>
            </w:pPr>
            <w:r w:rsidRPr="00E501EE">
              <w:rPr>
                <w:rFonts w:ascii="Arial" w:hAnsi="Arial" w:cs="Arial"/>
                <w:i/>
                <w:sz w:val="22"/>
                <w:szCs w:val="22"/>
                <w:lang w:val="bg-BG"/>
              </w:rPr>
              <w:lastRenderedPageBreak/>
              <w:t>Длъжностно лице приело проекта</w:t>
            </w:r>
            <w:r w:rsidR="00E501EE">
              <w:rPr>
                <w:rFonts w:ascii="Arial" w:hAnsi="Arial" w:cs="Arial"/>
                <w:i/>
                <w:sz w:val="22"/>
                <w:szCs w:val="22"/>
                <w:lang w:val="bg-BG"/>
              </w:rPr>
              <w:t xml:space="preserve"> </w:t>
            </w:r>
            <w:r>
              <w:rPr>
                <w:rFonts w:ascii="Arial" w:hAnsi="Arial" w:cs="Arial"/>
                <w:i/>
                <w:lang w:val="bg-BG"/>
              </w:rPr>
              <w:t>…</w:t>
            </w:r>
            <w:r w:rsidR="00E501EE">
              <w:rPr>
                <w:rFonts w:ascii="Arial" w:hAnsi="Arial" w:cs="Arial"/>
                <w:i/>
                <w:lang w:val="bg-BG"/>
              </w:rPr>
              <w:t>…</w:t>
            </w:r>
            <w:r>
              <w:rPr>
                <w:rFonts w:ascii="Arial" w:hAnsi="Arial" w:cs="Arial"/>
                <w:i/>
                <w:lang w:val="bg-BG"/>
              </w:rPr>
              <w:t>……</w:t>
            </w:r>
            <w:r w:rsidR="00E501EE">
              <w:rPr>
                <w:rFonts w:ascii="Arial" w:hAnsi="Arial" w:cs="Arial"/>
                <w:i/>
                <w:lang w:val="bg-BG"/>
              </w:rPr>
              <w:t>..</w:t>
            </w:r>
            <w:r>
              <w:rPr>
                <w:rFonts w:ascii="Arial" w:hAnsi="Arial" w:cs="Arial"/>
                <w:i/>
                <w:lang w:val="bg-BG"/>
              </w:rPr>
              <w:t>..</w:t>
            </w:r>
          </w:p>
        </w:tc>
        <w:tc>
          <w:tcPr>
            <w:tcW w:w="4720" w:type="dxa"/>
          </w:tcPr>
          <w:p w14:paraId="23C0788A" w14:textId="77777777" w:rsidR="00AA3568" w:rsidRPr="00221B62" w:rsidRDefault="00AA3568" w:rsidP="00E501EE">
            <w:pPr>
              <w:pStyle w:val="NormalBDS"/>
              <w:spacing w:line="240" w:lineRule="auto"/>
              <w:jc w:val="right"/>
              <w:rPr>
                <w:rFonts w:ascii="Arial" w:hAnsi="Arial" w:cs="Arial"/>
                <w:i/>
                <w:highlight w:val="green"/>
                <w:lang w:val="bg-BG"/>
              </w:rPr>
            </w:pPr>
            <w:r w:rsidRPr="00221B62">
              <w:rPr>
                <w:rFonts w:ascii="Arial" w:hAnsi="Arial" w:cs="Arial"/>
                <w:i/>
                <w:highlight w:val="green"/>
                <w:lang w:val="bg-BG"/>
              </w:rPr>
              <w:t xml:space="preserve">     Ръководител проект:………………</w:t>
            </w:r>
          </w:p>
        </w:tc>
      </w:tr>
      <w:tr w:rsidR="00AA3568" w14:paraId="38119C58" w14:textId="77777777" w:rsidTr="000B0F9B">
        <w:trPr>
          <w:trHeight w:val="400"/>
        </w:trPr>
        <w:tc>
          <w:tcPr>
            <w:tcW w:w="5191" w:type="dxa"/>
          </w:tcPr>
          <w:p w14:paraId="219696D9" w14:textId="77777777" w:rsidR="00E501EE" w:rsidRDefault="00E501EE" w:rsidP="00AA3568">
            <w:pPr>
              <w:pStyle w:val="NormalBDS"/>
              <w:spacing w:line="240" w:lineRule="auto"/>
              <w:jc w:val="right"/>
              <w:rPr>
                <w:rFonts w:ascii="Arial" w:hAnsi="Arial" w:cs="Arial"/>
                <w:i/>
                <w:lang w:val="bg-BG"/>
              </w:rPr>
            </w:pPr>
          </w:p>
          <w:p w14:paraId="2925D15C" w14:textId="77777777" w:rsidR="00AA3568" w:rsidRPr="00AA3568" w:rsidRDefault="00AA3568" w:rsidP="00AA3568">
            <w:pPr>
              <w:pStyle w:val="NormalBDS"/>
              <w:spacing w:line="240" w:lineRule="auto"/>
              <w:jc w:val="right"/>
              <w:rPr>
                <w:rFonts w:ascii="Arial" w:hAnsi="Arial" w:cs="Arial"/>
                <w:i/>
                <w:lang w:val="bg-BG"/>
              </w:rPr>
            </w:pPr>
            <w:r>
              <w:rPr>
                <w:rFonts w:ascii="Arial" w:hAnsi="Arial" w:cs="Arial"/>
                <w:i/>
                <w:lang w:val="bg-BG"/>
              </w:rPr>
              <w:t>/……………………../</w:t>
            </w:r>
          </w:p>
        </w:tc>
        <w:tc>
          <w:tcPr>
            <w:tcW w:w="4720" w:type="dxa"/>
          </w:tcPr>
          <w:p w14:paraId="2ADD77B0" w14:textId="77777777" w:rsidR="00E501EE" w:rsidRPr="00221B62" w:rsidRDefault="00E501EE" w:rsidP="00AA3568">
            <w:pPr>
              <w:pStyle w:val="NormalBDS"/>
              <w:spacing w:line="240" w:lineRule="auto"/>
              <w:jc w:val="right"/>
              <w:rPr>
                <w:rFonts w:ascii="Arial" w:hAnsi="Arial" w:cs="Arial"/>
                <w:i/>
                <w:highlight w:val="green"/>
                <w:lang w:val="bg-BG"/>
              </w:rPr>
            </w:pPr>
          </w:p>
          <w:p w14:paraId="0D45566F" w14:textId="77777777" w:rsidR="00AA3568" w:rsidRPr="00221B62" w:rsidRDefault="00AA3568" w:rsidP="00221B62">
            <w:pPr>
              <w:pStyle w:val="NormalBDS"/>
              <w:spacing w:line="240" w:lineRule="auto"/>
              <w:jc w:val="right"/>
              <w:rPr>
                <w:rFonts w:ascii="Arial" w:hAnsi="Arial" w:cs="Arial"/>
                <w:i/>
                <w:highlight w:val="green"/>
                <w:lang w:val="bg-BG"/>
              </w:rPr>
            </w:pPr>
            <w:r w:rsidRPr="00221B62">
              <w:rPr>
                <w:rFonts w:ascii="Arial" w:hAnsi="Arial" w:cs="Arial"/>
                <w:i/>
                <w:highlight w:val="green"/>
                <w:lang w:val="bg-BG"/>
              </w:rPr>
              <w:t>/</w:t>
            </w:r>
            <w:r w:rsidR="00FD4925" w:rsidRPr="00221B62">
              <w:rPr>
                <w:highlight w:val="green"/>
                <w:lang w:val="ru-RU"/>
              </w:rPr>
              <w:t xml:space="preserve"> </w:t>
            </w:r>
            <w:r w:rsidR="00FD4925" w:rsidRPr="00221B62">
              <w:rPr>
                <w:rFonts w:ascii="Arial" w:hAnsi="Arial" w:cs="Arial"/>
                <w:i/>
                <w:highlight w:val="green"/>
                <w:lang w:val="bg-BG"/>
              </w:rPr>
              <w:t>доц. д</w:t>
            </w:r>
            <w:r w:rsidR="00221B62" w:rsidRPr="00221B62">
              <w:rPr>
                <w:rFonts w:ascii="Arial" w:hAnsi="Arial" w:cs="Arial"/>
                <w:i/>
                <w:highlight w:val="green"/>
                <w:lang w:val="bg-BG"/>
              </w:rPr>
              <w:t>.н.</w:t>
            </w:r>
            <w:r w:rsidR="00FD4925" w:rsidRPr="00221B62">
              <w:rPr>
                <w:rFonts w:ascii="Arial" w:hAnsi="Arial" w:cs="Arial"/>
                <w:i/>
                <w:highlight w:val="green"/>
                <w:lang w:val="bg-BG"/>
              </w:rPr>
              <w:t xml:space="preserve"> Павел Петров </w:t>
            </w:r>
            <w:r w:rsidRPr="00221B62">
              <w:rPr>
                <w:rFonts w:ascii="Arial" w:hAnsi="Arial" w:cs="Arial"/>
                <w:i/>
                <w:highlight w:val="green"/>
                <w:lang w:val="bg-BG"/>
              </w:rPr>
              <w:t>/</w:t>
            </w:r>
          </w:p>
        </w:tc>
      </w:tr>
      <w:tr w:rsidR="00AA3568" w14:paraId="08789189" w14:textId="77777777" w:rsidTr="000B0F9B">
        <w:trPr>
          <w:trHeight w:val="379"/>
        </w:trPr>
        <w:tc>
          <w:tcPr>
            <w:tcW w:w="5191" w:type="dxa"/>
          </w:tcPr>
          <w:p w14:paraId="16A7A267" w14:textId="77777777" w:rsidR="00E501EE" w:rsidRDefault="00E501EE" w:rsidP="00AA3568">
            <w:pPr>
              <w:pStyle w:val="NormalBDS"/>
              <w:spacing w:line="240" w:lineRule="auto"/>
              <w:rPr>
                <w:rFonts w:ascii="Arial" w:hAnsi="Arial" w:cs="Arial"/>
                <w:i/>
                <w:lang w:val="bg-BG"/>
              </w:rPr>
            </w:pPr>
          </w:p>
          <w:p w14:paraId="380E195E" w14:textId="77777777" w:rsidR="00D71C7D" w:rsidRDefault="00D71C7D" w:rsidP="00AA3568">
            <w:pPr>
              <w:pStyle w:val="NormalBDS"/>
              <w:spacing w:line="240" w:lineRule="auto"/>
              <w:rPr>
                <w:rFonts w:ascii="Arial" w:hAnsi="Arial" w:cs="Arial"/>
                <w:i/>
                <w:lang w:val="bg-BG"/>
              </w:rPr>
            </w:pPr>
          </w:p>
          <w:p w14:paraId="0FEFFDB9" w14:textId="77777777" w:rsidR="00AA3568" w:rsidRPr="00AA3568" w:rsidRDefault="00AA3568" w:rsidP="00AA3568">
            <w:pPr>
              <w:pStyle w:val="NormalBDS"/>
              <w:spacing w:line="240" w:lineRule="auto"/>
              <w:rPr>
                <w:rFonts w:ascii="Arial" w:hAnsi="Arial" w:cs="Arial"/>
                <w:i/>
                <w:lang w:val="bg-BG"/>
              </w:rPr>
            </w:pPr>
            <w:r>
              <w:rPr>
                <w:rFonts w:ascii="Arial" w:hAnsi="Arial" w:cs="Arial"/>
                <w:i/>
                <w:lang w:val="bg-BG"/>
              </w:rPr>
              <w:t>Дата:</w:t>
            </w:r>
          </w:p>
        </w:tc>
        <w:tc>
          <w:tcPr>
            <w:tcW w:w="4720" w:type="dxa"/>
          </w:tcPr>
          <w:p w14:paraId="04E55C21" w14:textId="77777777" w:rsidR="00E501EE" w:rsidRPr="00221B62" w:rsidRDefault="00E501EE" w:rsidP="00AA3568">
            <w:pPr>
              <w:pStyle w:val="NormalBDS"/>
              <w:spacing w:line="240" w:lineRule="auto"/>
              <w:rPr>
                <w:rFonts w:ascii="Arial" w:hAnsi="Arial" w:cs="Arial"/>
                <w:i/>
                <w:highlight w:val="green"/>
                <w:lang w:val="bg-BG"/>
              </w:rPr>
            </w:pPr>
          </w:p>
          <w:p w14:paraId="6E0C211F" w14:textId="77777777" w:rsidR="00D71C7D" w:rsidRPr="00221B62" w:rsidRDefault="00D71C7D" w:rsidP="00AA3568">
            <w:pPr>
              <w:pStyle w:val="NormalBDS"/>
              <w:spacing w:line="240" w:lineRule="auto"/>
              <w:rPr>
                <w:rFonts w:ascii="Arial" w:hAnsi="Arial" w:cs="Arial"/>
                <w:i/>
                <w:highlight w:val="green"/>
                <w:lang w:val="bg-BG"/>
              </w:rPr>
            </w:pPr>
          </w:p>
          <w:p w14:paraId="625F98DF" w14:textId="77777777" w:rsidR="00AA3568" w:rsidRPr="00221B62" w:rsidRDefault="00AA3568" w:rsidP="00FD4925">
            <w:pPr>
              <w:pStyle w:val="NormalBDS"/>
              <w:spacing w:line="240" w:lineRule="auto"/>
              <w:rPr>
                <w:rFonts w:ascii="Arial" w:hAnsi="Arial" w:cs="Arial"/>
                <w:i/>
                <w:highlight w:val="green"/>
              </w:rPr>
            </w:pPr>
            <w:r w:rsidRPr="00221B62">
              <w:rPr>
                <w:rFonts w:ascii="Arial" w:hAnsi="Arial" w:cs="Arial"/>
                <w:i/>
                <w:highlight w:val="green"/>
                <w:lang w:val="bg-BG"/>
              </w:rPr>
              <w:t>Дата:</w:t>
            </w:r>
            <w:r w:rsidR="00FD4925" w:rsidRPr="00221B62">
              <w:rPr>
                <w:rFonts w:ascii="Arial" w:hAnsi="Arial" w:cs="Arial"/>
                <w:i/>
                <w:highlight w:val="green"/>
              </w:rPr>
              <w:t xml:space="preserve"> 15.05.2023 </w:t>
            </w:r>
            <w:r w:rsidR="00FD4925" w:rsidRPr="00221B62">
              <w:rPr>
                <w:rFonts w:ascii="Arial" w:hAnsi="Arial" w:cs="Arial"/>
                <w:i/>
                <w:highlight w:val="green"/>
                <w:lang w:val="bg-BG"/>
              </w:rPr>
              <w:t>г</w:t>
            </w:r>
            <w:r w:rsidR="00FD4925" w:rsidRPr="00221B62">
              <w:rPr>
                <w:rFonts w:ascii="Arial" w:hAnsi="Arial" w:cs="Arial"/>
                <w:i/>
                <w:highlight w:val="green"/>
              </w:rPr>
              <w:t>.</w:t>
            </w:r>
          </w:p>
        </w:tc>
      </w:tr>
      <w:tr w:rsidR="00AA3568" w14:paraId="500673D2" w14:textId="77777777" w:rsidTr="000B0F9B">
        <w:trPr>
          <w:trHeight w:val="379"/>
        </w:trPr>
        <w:tc>
          <w:tcPr>
            <w:tcW w:w="5191" w:type="dxa"/>
          </w:tcPr>
          <w:p w14:paraId="1473E52D" w14:textId="77777777" w:rsidR="00AA3568" w:rsidRDefault="00AA3568" w:rsidP="00AA3568">
            <w:pPr>
              <w:pStyle w:val="NormalBDS"/>
              <w:spacing w:line="240" w:lineRule="auto"/>
              <w:rPr>
                <w:rFonts w:ascii="Arial" w:hAnsi="Arial" w:cs="Arial"/>
                <w:i/>
              </w:rPr>
            </w:pPr>
          </w:p>
        </w:tc>
        <w:tc>
          <w:tcPr>
            <w:tcW w:w="4720" w:type="dxa"/>
          </w:tcPr>
          <w:p w14:paraId="3D2BAFDD" w14:textId="77777777" w:rsidR="00AA3568" w:rsidRDefault="00AA3568" w:rsidP="00AA3568">
            <w:pPr>
              <w:pStyle w:val="NormalBDS"/>
              <w:spacing w:line="240" w:lineRule="auto"/>
              <w:rPr>
                <w:rFonts w:ascii="Arial" w:hAnsi="Arial" w:cs="Arial"/>
                <w:i/>
              </w:rPr>
            </w:pPr>
          </w:p>
        </w:tc>
      </w:tr>
    </w:tbl>
    <w:p w14:paraId="22962485" w14:textId="77777777" w:rsidR="00A36BDD" w:rsidRDefault="00A36BDD" w:rsidP="00AA3568">
      <w:pPr>
        <w:pStyle w:val="NormalBDS"/>
        <w:spacing w:line="240" w:lineRule="auto"/>
        <w:jc w:val="right"/>
        <w:rPr>
          <w:rFonts w:ascii="Arial" w:hAnsi="Arial" w:cs="Arial"/>
          <w:i/>
        </w:rPr>
      </w:pPr>
    </w:p>
    <w:p w14:paraId="7503C500" w14:textId="77777777" w:rsidR="00A36BDD" w:rsidRDefault="00A36BDD">
      <w:pPr>
        <w:rPr>
          <w:rFonts w:ascii="Arial" w:eastAsia="PMingLiU" w:hAnsi="Arial" w:cs="Arial"/>
          <w:i/>
          <w:sz w:val="24"/>
          <w:szCs w:val="20"/>
          <w:lang w:val="en-US"/>
        </w:rPr>
      </w:pPr>
      <w:r>
        <w:rPr>
          <w:rFonts w:ascii="Arial" w:hAnsi="Arial" w:cs="Arial"/>
          <w:i/>
        </w:rPr>
        <w:br w:type="page"/>
      </w:r>
    </w:p>
    <w:p w14:paraId="2CA9842B" w14:textId="77777777" w:rsidR="00AA3568" w:rsidRPr="00AA3568" w:rsidRDefault="000B0F9B" w:rsidP="00AA3568">
      <w:pPr>
        <w:pStyle w:val="NormalBDS"/>
        <w:spacing w:line="240" w:lineRule="auto"/>
        <w:jc w:val="right"/>
        <w:rPr>
          <w:rFonts w:ascii="Arial" w:hAnsi="Arial" w:cs="Arial"/>
          <w:i/>
          <w:lang w:val="bg-BG"/>
        </w:rPr>
      </w:pPr>
      <w:r>
        <w:rPr>
          <w:rFonts w:ascii="Arial" w:hAnsi="Arial" w:cs="Arial"/>
          <w:i/>
        </w:rPr>
        <w:lastRenderedPageBreak/>
        <w:t xml:space="preserve">Приложение </w:t>
      </w:r>
      <w:r>
        <w:rPr>
          <w:rFonts w:ascii="Arial" w:hAnsi="Arial" w:cs="Arial"/>
          <w:i/>
          <w:lang w:val="bg-BG"/>
        </w:rPr>
        <w:t>1</w:t>
      </w:r>
    </w:p>
    <w:p w14:paraId="7E402023" w14:textId="77777777" w:rsidR="000B0F9B" w:rsidRDefault="000B0F9B" w:rsidP="00AA3568">
      <w:pPr>
        <w:ind w:left="4678"/>
        <w:rPr>
          <w:rFonts w:ascii="Arial" w:hAnsi="Arial" w:cs="Arial"/>
          <w:i/>
        </w:rPr>
      </w:pPr>
    </w:p>
    <w:p w14:paraId="7D1DD998" w14:textId="77777777" w:rsidR="000B0F9B" w:rsidRDefault="000B0F9B" w:rsidP="00AA3568">
      <w:pPr>
        <w:ind w:left="4678"/>
        <w:rPr>
          <w:rFonts w:ascii="Arial" w:hAnsi="Arial" w:cs="Arial"/>
          <w:i/>
        </w:rPr>
      </w:pPr>
    </w:p>
    <w:p w14:paraId="7D319839" w14:textId="77777777" w:rsidR="00AE336C" w:rsidRPr="00AA3568" w:rsidRDefault="00D11FD8" w:rsidP="00AA3568">
      <w:pPr>
        <w:ind w:left="4678"/>
        <w:rPr>
          <w:rFonts w:ascii="Arial" w:hAnsi="Arial" w:cs="Arial"/>
          <w:i/>
        </w:rPr>
      </w:pPr>
      <w:r>
        <w:rPr>
          <w:rFonts w:ascii="Arial" w:hAnsi="Arial" w:cs="Arial"/>
          <w:i/>
        </w:rPr>
        <w:t>До</w:t>
      </w:r>
      <w:r w:rsidR="00AE336C" w:rsidRPr="00AA3568">
        <w:rPr>
          <w:rFonts w:ascii="Arial" w:hAnsi="Arial" w:cs="Arial"/>
          <w:i/>
        </w:rPr>
        <w:t xml:space="preserve"> Централна конкурсна комисия</w:t>
      </w:r>
      <w:r w:rsidR="00AA3568" w:rsidRPr="007533D6">
        <w:rPr>
          <w:rFonts w:ascii="Arial" w:hAnsi="Arial" w:cs="Arial"/>
          <w:i/>
          <w:lang w:val="ru-RU"/>
        </w:rPr>
        <w:t xml:space="preserve"> </w:t>
      </w:r>
      <w:r w:rsidR="00AE336C" w:rsidRPr="00AA3568">
        <w:rPr>
          <w:rFonts w:ascii="Arial" w:hAnsi="Arial" w:cs="Arial"/>
          <w:i/>
        </w:rPr>
        <w:t>за научни проекти, финансирани от целева субсидия от държавния бюджет</w:t>
      </w:r>
    </w:p>
    <w:p w14:paraId="72A9B438" w14:textId="77777777" w:rsidR="00AE336C" w:rsidRPr="00AA3568" w:rsidRDefault="00AE336C" w:rsidP="00AE336C">
      <w:pPr>
        <w:spacing w:line="360" w:lineRule="auto"/>
        <w:rPr>
          <w:rFonts w:ascii="Arial" w:hAnsi="Arial" w:cs="Arial"/>
          <w:i/>
        </w:rPr>
      </w:pPr>
      <w:r w:rsidRPr="00AA3568">
        <w:rPr>
          <w:rFonts w:ascii="Arial" w:hAnsi="Arial" w:cs="Arial"/>
          <w:i/>
        </w:rPr>
        <w:tab/>
      </w:r>
      <w:r w:rsidRPr="00AA3568">
        <w:rPr>
          <w:rFonts w:ascii="Arial" w:hAnsi="Arial" w:cs="Arial"/>
          <w:i/>
        </w:rPr>
        <w:tab/>
      </w:r>
      <w:r w:rsidRPr="00AA3568">
        <w:rPr>
          <w:rFonts w:ascii="Arial" w:hAnsi="Arial" w:cs="Arial"/>
          <w:i/>
        </w:rPr>
        <w:tab/>
      </w:r>
      <w:r w:rsidRPr="00AA3568">
        <w:rPr>
          <w:rFonts w:ascii="Arial" w:hAnsi="Arial" w:cs="Arial"/>
          <w:i/>
        </w:rPr>
        <w:tab/>
      </w:r>
      <w:r w:rsidRPr="00AA3568">
        <w:rPr>
          <w:rFonts w:ascii="Arial" w:hAnsi="Arial" w:cs="Arial"/>
          <w:i/>
        </w:rPr>
        <w:tab/>
      </w:r>
    </w:p>
    <w:p w14:paraId="7373CFBD" w14:textId="77777777" w:rsidR="00AE336C" w:rsidRPr="0021589C" w:rsidRDefault="00AE336C" w:rsidP="00AE336C">
      <w:pPr>
        <w:spacing w:line="360" w:lineRule="auto"/>
        <w:jc w:val="center"/>
        <w:rPr>
          <w:rFonts w:ascii="Arial" w:hAnsi="Arial" w:cs="Arial"/>
          <w:b/>
          <w:i/>
          <w:highlight w:val="yellow"/>
        </w:rPr>
      </w:pPr>
      <w:r w:rsidRPr="0021589C">
        <w:rPr>
          <w:rFonts w:ascii="Arial" w:hAnsi="Arial" w:cs="Arial"/>
          <w:b/>
          <w:i/>
          <w:highlight w:val="yellow"/>
        </w:rPr>
        <w:t>ПРЕДЛОЖЕНИЕ</w:t>
      </w:r>
    </w:p>
    <w:p w14:paraId="3CF56831" w14:textId="77777777" w:rsidR="00AE336C" w:rsidRPr="0021589C" w:rsidRDefault="00AE336C" w:rsidP="005E3CC0">
      <w:pPr>
        <w:spacing w:line="360" w:lineRule="auto"/>
        <w:jc w:val="center"/>
        <w:rPr>
          <w:rFonts w:ascii="Arial" w:hAnsi="Arial" w:cs="Arial"/>
          <w:i/>
          <w:highlight w:val="yellow"/>
        </w:rPr>
      </w:pPr>
      <w:r w:rsidRPr="0021589C">
        <w:rPr>
          <w:rFonts w:ascii="Arial" w:hAnsi="Arial" w:cs="Arial"/>
          <w:i/>
          <w:highlight w:val="yellow"/>
        </w:rPr>
        <w:t>за избор на рецензенти*</w:t>
      </w:r>
    </w:p>
    <w:tbl>
      <w:tblPr>
        <w:tblW w:w="97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5398"/>
        <w:gridCol w:w="3567"/>
      </w:tblGrid>
      <w:tr w:rsidR="00AE336C" w:rsidRPr="0021589C" w14:paraId="50B89E24" w14:textId="77777777" w:rsidTr="00FF3E95">
        <w:trPr>
          <w:jc w:val="center"/>
        </w:trPr>
        <w:tc>
          <w:tcPr>
            <w:tcW w:w="746" w:type="dxa"/>
            <w:vAlign w:val="center"/>
          </w:tcPr>
          <w:p w14:paraId="2DAAF43F" w14:textId="77777777" w:rsidR="00AE336C" w:rsidRPr="0021589C" w:rsidRDefault="00AE336C" w:rsidP="0070711C">
            <w:pPr>
              <w:jc w:val="center"/>
              <w:rPr>
                <w:rFonts w:ascii="Arial" w:hAnsi="Arial" w:cs="Arial"/>
                <w:b/>
                <w:i/>
                <w:highlight w:val="yellow"/>
              </w:rPr>
            </w:pPr>
            <w:r w:rsidRPr="0021589C">
              <w:rPr>
                <w:rFonts w:ascii="Arial" w:hAnsi="Arial" w:cs="Arial"/>
                <w:b/>
                <w:i/>
                <w:highlight w:val="yellow"/>
              </w:rPr>
              <w:t>№ по ред</w:t>
            </w:r>
          </w:p>
        </w:tc>
        <w:tc>
          <w:tcPr>
            <w:tcW w:w="5398" w:type="dxa"/>
            <w:vAlign w:val="center"/>
          </w:tcPr>
          <w:p w14:paraId="1268E391" w14:textId="77777777" w:rsidR="00AE336C" w:rsidRPr="0021589C" w:rsidRDefault="00AE336C" w:rsidP="0070711C">
            <w:pPr>
              <w:jc w:val="center"/>
              <w:rPr>
                <w:rFonts w:ascii="Arial" w:hAnsi="Arial" w:cs="Arial"/>
                <w:b/>
                <w:i/>
                <w:highlight w:val="yellow"/>
              </w:rPr>
            </w:pPr>
            <w:r w:rsidRPr="0021589C">
              <w:rPr>
                <w:rFonts w:ascii="Arial" w:hAnsi="Arial" w:cs="Arial"/>
                <w:b/>
                <w:i/>
                <w:highlight w:val="yellow"/>
              </w:rPr>
              <w:t>Име, презиме, фамилия,</w:t>
            </w:r>
          </w:p>
          <w:p w14:paraId="5CEEDA83" w14:textId="77777777" w:rsidR="00AE336C" w:rsidRPr="0021589C" w:rsidRDefault="00425F19" w:rsidP="0070711C">
            <w:pPr>
              <w:jc w:val="center"/>
              <w:rPr>
                <w:rFonts w:ascii="Arial" w:hAnsi="Arial" w:cs="Arial"/>
                <w:b/>
                <w:i/>
                <w:highlight w:val="yellow"/>
              </w:rPr>
            </w:pPr>
            <w:r w:rsidRPr="0021589C">
              <w:rPr>
                <w:rFonts w:ascii="Arial" w:hAnsi="Arial" w:cs="Arial"/>
                <w:b/>
                <w:i/>
                <w:highlight w:val="yellow"/>
              </w:rPr>
              <w:t>академична длъжност</w:t>
            </w:r>
            <w:r w:rsidR="00AE336C" w:rsidRPr="0021589C">
              <w:rPr>
                <w:rFonts w:ascii="Arial" w:hAnsi="Arial" w:cs="Arial"/>
                <w:b/>
                <w:i/>
                <w:highlight w:val="yellow"/>
              </w:rPr>
              <w:t xml:space="preserve"> и научна степен на предложените рецензенти</w:t>
            </w:r>
          </w:p>
        </w:tc>
        <w:tc>
          <w:tcPr>
            <w:tcW w:w="3567" w:type="dxa"/>
            <w:vAlign w:val="center"/>
          </w:tcPr>
          <w:p w14:paraId="5241AD34" w14:textId="77777777" w:rsidR="00AE336C" w:rsidRPr="0021589C" w:rsidRDefault="00AE336C" w:rsidP="0070711C">
            <w:pPr>
              <w:jc w:val="center"/>
              <w:rPr>
                <w:rFonts w:ascii="Arial" w:hAnsi="Arial" w:cs="Arial"/>
                <w:b/>
                <w:i/>
                <w:highlight w:val="yellow"/>
              </w:rPr>
            </w:pPr>
            <w:r w:rsidRPr="0021589C">
              <w:rPr>
                <w:rFonts w:ascii="Arial" w:hAnsi="Arial" w:cs="Arial"/>
                <w:b/>
                <w:i/>
                <w:highlight w:val="yellow"/>
              </w:rPr>
              <w:t>Организация (звено)</w:t>
            </w:r>
          </w:p>
          <w:p w14:paraId="3C9E8705" w14:textId="77777777" w:rsidR="00AE336C" w:rsidRPr="0021589C" w:rsidRDefault="00AE336C" w:rsidP="0070711C">
            <w:pPr>
              <w:jc w:val="center"/>
              <w:rPr>
                <w:rFonts w:ascii="Arial" w:hAnsi="Arial" w:cs="Arial"/>
                <w:b/>
                <w:i/>
                <w:highlight w:val="yellow"/>
              </w:rPr>
            </w:pPr>
            <w:r w:rsidRPr="0021589C">
              <w:rPr>
                <w:rFonts w:ascii="Arial" w:hAnsi="Arial" w:cs="Arial"/>
                <w:b/>
                <w:i/>
                <w:highlight w:val="yellow"/>
              </w:rPr>
              <w:t>e-mail адрес</w:t>
            </w:r>
          </w:p>
          <w:p w14:paraId="28AEB092" w14:textId="77777777" w:rsidR="00AE336C" w:rsidRPr="0021589C" w:rsidRDefault="00AE336C" w:rsidP="0070711C">
            <w:pPr>
              <w:jc w:val="center"/>
              <w:rPr>
                <w:rFonts w:ascii="Arial" w:hAnsi="Arial" w:cs="Arial"/>
                <w:b/>
                <w:i/>
                <w:highlight w:val="yellow"/>
              </w:rPr>
            </w:pPr>
            <w:r w:rsidRPr="0021589C">
              <w:rPr>
                <w:rFonts w:ascii="Arial" w:hAnsi="Arial" w:cs="Arial"/>
                <w:b/>
                <w:i/>
                <w:highlight w:val="yellow"/>
              </w:rPr>
              <w:t>телефон</w:t>
            </w:r>
          </w:p>
        </w:tc>
      </w:tr>
      <w:tr w:rsidR="00AE336C" w:rsidRPr="0021589C" w14:paraId="67D4F535" w14:textId="77777777" w:rsidTr="00FF3E95">
        <w:trPr>
          <w:jc w:val="center"/>
        </w:trPr>
        <w:tc>
          <w:tcPr>
            <w:tcW w:w="746" w:type="dxa"/>
            <w:vAlign w:val="center"/>
          </w:tcPr>
          <w:p w14:paraId="5597A165" w14:textId="77777777" w:rsidR="00AE336C" w:rsidRPr="0021589C" w:rsidRDefault="00AE336C" w:rsidP="0070711C">
            <w:pPr>
              <w:spacing w:line="360" w:lineRule="auto"/>
              <w:jc w:val="center"/>
              <w:rPr>
                <w:rFonts w:ascii="Arial" w:hAnsi="Arial" w:cs="Arial"/>
                <w:i/>
                <w:highlight w:val="yellow"/>
              </w:rPr>
            </w:pPr>
            <w:r w:rsidRPr="0021589C">
              <w:rPr>
                <w:rFonts w:ascii="Arial" w:hAnsi="Arial" w:cs="Arial"/>
                <w:i/>
                <w:highlight w:val="yellow"/>
              </w:rPr>
              <w:t>1.</w:t>
            </w:r>
          </w:p>
        </w:tc>
        <w:tc>
          <w:tcPr>
            <w:tcW w:w="5398" w:type="dxa"/>
          </w:tcPr>
          <w:p w14:paraId="3517831F" w14:textId="77777777" w:rsidR="00AE336C" w:rsidRPr="0021589C" w:rsidRDefault="00AE336C" w:rsidP="0070711C">
            <w:pPr>
              <w:spacing w:line="360" w:lineRule="auto"/>
              <w:rPr>
                <w:rFonts w:ascii="Arial" w:hAnsi="Arial" w:cs="Arial"/>
                <w:i/>
                <w:highlight w:val="yellow"/>
              </w:rPr>
            </w:pPr>
            <w:r w:rsidRPr="0021589C">
              <w:rPr>
                <w:rFonts w:ascii="Arial" w:hAnsi="Arial" w:cs="Arial"/>
                <w:i/>
                <w:highlight w:val="yellow"/>
              </w:rPr>
              <w:t>Външен рецензент:</w:t>
            </w:r>
          </w:p>
          <w:p w14:paraId="620E1786" w14:textId="77777777" w:rsidR="00AE336C" w:rsidRPr="0021589C" w:rsidRDefault="00AE336C" w:rsidP="0070711C">
            <w:pPr>
              <w:spacing w:line="360" w:lineRule="auto"/>
              <w:rPr>
                <w:rFonts w:ascii="Arial" w:hAnsi="Arial" w:cs="Arial"/>
                <w:i/>
                <w:highlight w:val="yellow"/>
                <w:u w:val="single"/>
              </w:rPr>
            </w:pPr>
          </w:p>
        </w:tc>
        <w:tc>
          <w:tcPr>
            <w:tcW w:w="3567" w:type="dxa"/>
          </w:tcPr>
          <w:p w14:paraId="51A952A9" w14:textId="77777777" w:rsidR="00AE336C" w:rsidRPr="0021589C" w:rsidRDefault="00AE336C" w:rsidP="0070711C">
            <w:pPr>
              <w:spacing w:line="360" w:lineRule="auto"/>
              <w:rPr>
                <w:rFonts w:ascii="Arial" w:hAnsi="Arial" w:cs="Arial"/>
                <w:i/>
                <w:highlight w:val="yellow"/>
              </w:rPr>
            </w:pPr>
          </w:p>
        </w:tc>
      </w:tr>
      <w:tr w:rsidR="00AE336C" w:rsidRPr="00AA3568" w14:paraId="63A0AD02" w14:textId="77777777" w:rsidTr="00FF3E95">
        <w:trPr>
          <w:jc w:val="center"/>
        </w:trPr>
        <w:tc>
          <w:tcPr>
            <w:tcW w:w="746" w:type="dxa"/>
            <w:vAlign w:val="center"/>
          </w:tcPr>
          <w:p w14:paraId="6FCFEDF5" w14:textId="77777777" w:rsidR="00AE336C" w:rsidRPr="0021589C" w:rsidRDefault="00AE336C" w:rsidP="0070711C">
            <w:pPr>
              <w:spacing w:line="360" w:lineRule="auto"/>
              <w:jc w:val="center"/>
              <w:rPr>
                <w:rFonts w:ascii="Arial" w:hAnsi="Arial" w:cs="Arial"/>
                <w:i/>
                <w:highlight w:val="yellow"/>
              </w:rPr>
            </w:pPr>
            <w:r w:rsidRPr="0021589C">
              <w:rPr>
                <w:rFonts w:ascii="Arial" w:hAnsi="Arial" w:cs="Arial"/>
                <w:i/>
                <w:highlight w:val="yellow"/>
              </w:rPr>
              <w:t>2.</w:t>
            </w:r>
          </w:p>
        </w:tc>
        <w:tc>
          <w:tcPr>
            <w:tcW w:w="5398" w:type="dxa"/>
          </w:tcPr>
          <w:p w14:paraId="16E8CBF0" w14:textId="77777777" w:rsidR="00AE336C" w:rsidRPr="00AA3568" w:rsidRDefault="00AE336C" w:rsidP="0070711C">
            <w:pPr>
              <w:spacing w:line="360" w:lineRule="auto"/>
              <w:rPr>
                <w:rFonts w:ascii="Arial" w:hAnsi="Arial" w:cs="Arial"/>
                <w:i/>
              </w:rPr>
            </w:pPr>
            <w:r w:rsidRPr="0021589C">
              <w:rPr>
                <w:rFonts w:ascii="Arial" w:hAnsi="Arial" w:cs="Arial"/>
                <w:i/>
                <w:highlight w:val="yellow"/>
              </w:rPr>
              <w:t>Хабилитирано лице от ИУ – Варна:</w:t>
            </w:r>
          </w:p>
          <w:p w14:paraId="7BE47A72" w14:textId="77777777" w:rsidR="00AE336C" w:rsidRPr="00AA3568" w:rsidRDefault="00AE336C" w:rsidP="0070711C">
            <w:pPr>
              <w:spacing w:line="360" w:lineRule="auto"/>
              <w:rPr>
                <w:rFonts w:ascii="Arial" w:hAnsi="Arial" w:cs="Arial"/>
                <w:i/>
              </w:rPr>
            </w:pPr>
          </w:p>
        </w:tc>
        <w:tc>
          <w:tcPr>
            <w:tcW w:w="3567" w:type="dxa"/>
          </w:tcPr>
          <w:p w14:paraId="073A5377" w14:textId="77777777" w:rsidR="00AE336C" w:rsidRPr="00AA3568" w:rsidRDefault="00AE336C" w:rsidP="0070711C">
            <w:pPr>
              <w:spacing w:line="360" w:lineRule="auto"/>
              <w:rPr>
                <w:rFonts w:ascii="Arial" w:hAnsi="Arial" w:cs="Arial"/>
                <w:i/>
              </w:rPr>
            </w:pPr>
          </w:p>
        </w:tc>
      </w:tr>
    </w:tbl>
    <w:p w14:paraId="261A0915" w14:textId="77777777" w:rsidR="00AE336C" w:rsidRPr="00AA3568" w:rsidRDefault="00AE336C" w:rsidP="00AE336C">
      <w:pPr>
        <w:pStyle w:val="BodyText3"/>
        <w:spacing w:line="360" w:lineRule="auto"/>
        <w:rPr>
          <w:rFonts w:ascii="Arial" w:hAnsi="Arial" w:cs="Arial"/>
          <w:sz w:val="22"/>
          <w:szCs w:val="22"/>
        </w:rPr>
      </w:pPr>
    </w:p>
    <w:p w14:paraId="4FDB3EEC" w14:textId="77777777" w:rsidR="000B0F9B" w:rsidRPr="005E3CC0" w:rsidRDefault="00AE336C" w:rsidP="005E3CC0">
      <w:pPr>
        <w:pStyle w:val="BodyText3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A3568">
        <w:rPr>
          <w:rFonts w:ascii="Arial" w:hAnsi="Arial" w:cs="Arial"/>
          <w:sz w:val="22"/>
          <w:szCs w:val="22"/>
        </w:rPr>
        <w:t>*Забележка: Посочени са имена на изявени специалисти в съответната област,  дали предварително съгласие за рецензиране в срок до 10 дни от получаване на материалите, ср</w:t>
      </w:r>
      <w:r w:rsidR="000B0F9B">
        <w:rPr>
          <w:rFonts w:ascii="Arial" w:hAnsi="Arial" w:cs="Arial"/>
          <w:sz w:val="22"/>
          <w:szCs w:val="22"/>
        </w:rPr>
        <w:t xml:space="preserve">ещу възнаграждение </w:t>
      </w:r>
      <w:r w:rsidR="00F50B38">
        <w:rPr>
          <w:rFonts w:ascii="Arial" w:hAnsi="Arial" w:cs="Arial"/>
          <w:sz w:val="22"/>
          <w:szCs w:val="22"/>
        </w:rPr>
        <w:t>по заповед на ректора на ИУ-Варна</w:t>
      </w:r>
      <w:r w:rsidRPr="00AA3568">
        <w:rPr>
          <w:rFonts w:ascii="Arial" w:hAnsi="Arial" w:cs="Arial"/>
          <w:sz w:val="22"/>
          <w:szCs w:val="22"/>
        </w:rPr>
        <w:t>.</w:t>
      </w:r>
      <w:r w:rsidR="000B0F9B">
        <w:rPr>
          <w:rFonts w:ascii="Arial" w:hAnsi="Arial" w:cs="Arial"/>
          <w:sz w:val="22"/>
          <w:szCs w:val="22"/>
        </w:rPr>
        <w:t xml:space="preserve"> Вътрешният рецензент не може да бъде от звеното (катедрата) на кандидатстващия екип.</w:t>
      </w:r>
    </w:p>
    <w:p w14:paraId="2909CAD6" w14:textId="77777777" w:rsidR="00AE336C" w:rsidRPr="00AA3568" w:rsidRDefault="00AE336C" w:rsidP="00AE336C">
      <w:pPr>
        <w:ind w:left="3540" w:right="-1350" w:firstLine="708"/>
        <w:rPr>
          <w:rFonts w:ascii="Arial" w:hAnsi="Arial" w:cs="Arial"/>
          <w:i/>
        </w:rPr>
      </w:pPr>
      <w:r w:rsidRPr="00AA3568">
        <w:rPr>
          <w:rFonts w:ascii="Arial" w:hAnsi="Arial" w:cs="Arial"/>
          <w:i/>
        </w:rPr>
        <w:t>РЪКОВОДИТЕЛ НА ПРОЕКТА:  ………………..</w:t>
      </w:r>
    </w:p>
    <w:p w14:paraId="77B74B2E" w14:textId="77777777" w:rsidR="00AE336C" w:rsidRPr="00AA3568" w:rsidRDefault="00AE336C" w:rsidP="00AE336C">
      <w:pPr>
        <w:ind w:left="3540" w:right="-1350" w:firstLine="708"/>
        <w:rPr>
          <w:rFonts w:ascii="Arial" w:hAnsi="Arial" w:cs="Arial"/>
          <w:i/>
        </w:rPr>
      </w:pPr>
      <w:r w:rsidRPr="00AA3568">
        <w:rPr>
          <w:rFonts w:ascii="Arial" w:hAnsi="Arial" w:cs="Arial"/>
          <w:i/>
        </w:rPr>
        <w:tab/>
      </w:r>
      <w:r w:rsidRPr="00AA3568">
        <w:rPr>
          <w:rFonts w:ascii="Arial" w:hAnsi="Arial" w:cs="Arial"/>
          <w:i/>
        </w:rPr>
        <w:tab/>
      </w:r>
      <w:r w:rsidRPr="00AA3568">
        <w:rPr>
          <w:rFonts w:ascii="Arial" w:hAnsi="Arial" w:cs="Arial"/>
          <w:i/>
        </w:rPr>
        <w:tab/>
      </w:r>
      <w:r w:rsidRPr="00AA3568">
        <w:rPr>
          <w:rFonts w:ascii="Arial" w:hAnsi="Arial" w:cs="Arial"/>
          <w:i/>
        </w:rPr>
        <w:tab/>
      </w:r>
      <w:r w:rsidRPr="0021589C">
        <w:rPr>
          <w:rFonts w:ascii="Arial" w:hAnsi="Arial" w:cs="Arial"/>
          <w:i/>
          <w:highlight w:val="green"/>
        </w:rPr>
        <w:t>/</w:t>
      </w:r>
      <w:r w:rsidR="0021589C" w:rsidRPr="0021589C">
        <w:rPr>
          <w:highlight w:val="green"/>
        </w:rPr>
        <w:t xml:space="preserve"> </w:t>
      </w:r>
      <w:r w:rsidR="0021589C" w:rsidRPr="0021589C">
        <w:rPr>
          <w:rFonts w:ascii="Arial" w:hAnsi="Arial" w:cs="Arial"/>
          <w:i/>
          <w:highlight w:val="green"/>
        </w:rPr>
        <w:t xml:space="preserve">доц. д.н. Павел Петров </w:t>
      </w:r>
      <w:r w:rsidRPr="0021589C">
        <w:rPr>
          <w:rFonts w:ascii="Arial" w:hAnsi="Arial" w:cs="Arial"/>
          <w:i/>
          <w:highlight w:val="green"/>
        </w:rPr>
        <w:t>/</w:t>
      </w:r>
    </w:p>
    <w:p w14:paraId="4DCC22F0" w14:textId="77777777" w:rsidR="00AE336C" w:rsidRPr="00AA3568" w:rsidRDefault="00AE336C" w:rsidP="00AA3568">
      <w:pPr>
        <w:spacing w:before="200"/>
        <w:rPr>
          <w:rFonts w:ascii="Arial" w:hAnsi="Arial" w:cs="Arial"/>
          <w:i/>
        </w:rPr>
      </w:pPr>
      <w:r w:rsidRPr="00AA3568">
        <w:rPr>
          <w:rFonts w:ascii="Arial" w:hAnsi="Arial" w:cs="Arial"/>
          <w:i/>
        </w:rPr>
        <w:t xml:space="preserve">Дата: </w:t>
      </w:r>
      <w:r w:rsidR="0021589C">
        <w:rPr>
          <w:rFonts w:ascii="Arial" w:hAnsi="Arial" w:cs="Arial"/>
          <w:i/>
        </w:rPr>
        <w:t>15.05.2023</w:t>
      </w:r>
      <w:r w:rsidRPr="00AA3568">
        <w:rPr>
          <w:rFonts w:ascii="Arial" w:hAnsi="Arial" w:cs="Arial"/>
          <w:i/>
        </w:rPr>
        <w:t xml:space="preserve"> г.</w:t>
      </w:r>
      <w:r w:rsidRPr="00AA3568">
        <w:rPr>
          <w:rFonts w:ascii="Arial" w:hAnsi="Arial" w:cs="Arial"/>
          <w:i/>
        </w:rPr>
        <w:tab/>
      </w:r>
    </w:p>
    <w:sectPr w:rsidR="00AE336C" w:rsidRPr="00AA3568" w:rsidSect="00751460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312D8" w14:textId="77777777" w:rsidR="001370FE" w:rsidRDefault="001370FE" w:rsidP="003C7D1A">
      <w:pPr>
        <w:spacing w:after="0" w:line="240" w:lineRule="auto"/>
      </w:pPr>
      <w:r>
        <w:separator/>
      </w:r>
    </w:p>
  </w:endnote>
  <w:endnote w:type="continuationSeparator" w:id="0">
    <w:p w14:paraId="3A53371F" w14:textId="77777777" w:rsidR="001370FE" w:rsidRDefault="001370FE" w:rsidP="003C7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okU">
    <w:altName w:val="Courier New"/>
    <w:charset w:val="00"/>
    <w:family w:val="auto"/>
    <w:pitch w:val="variable"/>
    <w:sig w:usb0="00000001" w:usb1="00000000" w:usb2="00000000" w:usb3="00000000" w:csb0="0000009F" w:csb1="00000000"/>
  </w:font>
  <w:font w:name="SwissCyr">
    <w:charset w:val="00"/>
    <w:family w:val="swiss"/>
    <w:pitch w:val="variable"/>
    <w:sig w:usb0="00000287" w:usb1="00000000" w:usb2="00000000" w:usb3="00000000" w:csb0="0000001F" w:csb1="00000000"/>
  </w:font>
  <w:font w:name="ExcelciorCyr">
    <w:altName w:val="Times New Roman"/>
    <w:charset w:val="00"/>
    <w:family w:val="roman"/>
    <w:pitch w:val="variable"/>
    <w:sig w:usb0="00000287" w:usb1="000000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CE245" w14:textId="77777777" w:rsidR="00FA4B26" w:rsidRPr="005E3CC0" w:rsidRDefault="00FA4B26" w:rsidP="005E3CC0">
    <w:pPr>
      <w:pStyle w:val="Footer"/>
      <w:jc w:val="center"/>
      <w:rPr>
        <w:rFonts w:ascii="Times New Roman" w:hAnsi="Times New Roman" w:cs="Times New Roman"/>
        <w:i/>
        <w:sz w:val="18"/>
        <w:szCs w:val="18"/>
      </w:rPr>
    </w:pPr>
    <w:r w:rsidRPr="005E3CC0">
      <w:rPr>
        <w:rFonts w:ascii="Times New Roman" w:hAnsi="Times New Roman" w:cs="Times New Roman"/>
        <w:i/>
        <w:sz w:val="18"/>
        <w:szCs w:val="18"/>
      </w:rPr>
      <w:t xml:space="preserve">08.04.04 </w:t>
    </w:r>
    <w:r w:rsidRPr="005E3CC0">
      <w:rPr>
        <w:rFonts w:ascii="Times New Roman" w:hAnsi="Times New Roman" w:cs="Times New Roman"/>
        <w:i/>
        <w:sz w:val="18"/>
        <w:szCs w:val="18"/>
        <w:lang w:val="en-US"/>
      </w:rPr>
      <w:t xml:space="preserve">FM                                                    </w:t>
    </w:r>
    <w:r w:rsidRPr="005E3CC0">
      <w:rPr>
        <w:rFonts w:ascii="Times New Roman" w:hAnsi="Times New Roman" w:cs="Times New Roman"/>
        <w:i/>
        <w:sz w:val="18"/>
        <w:szCs w:val="18"/>
      </w:rPr>
      <w:t xml:space="preserve">Ревизия 06/23.03.2022 г.                                                       </w:t>
    </w:r>
    <w:sdt>
      <w:sdtPr>
        <w:rPr>
          <w:rFonts w:ascii="Times New Roman" w:hAnsi="Times New Roman" w:cs="Times New Roman"/>
          <w:i/>
          <w:sz w:val="18"/>
          <w:szCs w:val="18"/>
        </w:rPr>
        <w:id w:val="-14718963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E3CC0">
          <w:rPr>
            <w:rFonts w:ascii="Times New Roman" w:hAnsi="Times New Roman" w:cs="Times New Roman"/>
            <w:i/>
            <w:sz w:val="18"/>
            <w:szCs w:val="18"/>
          </w:rPr>
          <w:fldChar w:fldCharType="begin"/>
        </w:r>
        <w:r w:rsidRPr="005E3CC0">
          <w:rPr>
            <w:rFonts w:ascii="Times New Roman" w:hAnsi="Times New Roman" w:cs="Times New Roman"/>
            <w:i/>
            <w:sz w:val="18"/>
            <w:szCs w:val="18"/>
          </w:rPr>
          <w:instrText xml:space="preserve"> PAGE   \* MERGEFORMAT </w:instrText>
        </w:r>
        <w:r w:rsidRPr="005E3CC0">
          <w:rPr>
            <w:rFonts w:ascii="Times New Roman" w:hAnsi="Times New Roman" w:cs="Times New Roman"/>
            <w:i/>
            <w:sz w:val="18"/>
            <w:szCs w:val="18"/>
          </w:rPr>
          <w:fldChar w:fldCharType="separate"/>
        </w:r>
        <w:r w:rsidR="00635A3F">
          <w:rPr>
            <w:rFonts w:ascii="Times New Roman" w:hAnsi="Times New Roman" w:cs="Times New Roman"/>
            <w:i/>
            <w:noProof/>
            <w:sz w:val="18"/>
            <w:szCs w:val="18"/>
          </w:rPr>
          <w:t>2</w:t>
        </w:r>
        <w:r w:rsidRPr="005E3CC0">
          <w:rPr>
            <w:rFonts w:ascii="Times New Roman" w:hAnsi="Times New Roman" w:cs="Times New Roman"/>
            <w:i/>
            <w:noProof/>
            <w:sz w:val="18"/>
            <w:szCs w:val="18"/>
          </w:rPr>
          <w:fldChar w:fldCharType="end"/>
        </w:r>
      </w:sdtContent>
    </w:sdt>
  </w:p>
  <w:p w14:paraId="06512D8A" w14:textId="77777777" w:rsidR="00FF3E95" w:rsidRPr="009958BF" w:rsidRDefault="00FF3E95" w:rsidP="009958B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DE255" w14:textId="77777777" w:rsidR="001370FE" w:rsidRDefault="001370FE" w:rsidP="003C7D1A">
      <w:pPr>
        <w:spacing w:after="0" w:line="240" w:lineRule="auto"/>
      </w:pPr>
      <w:r>
        <w:separator/>
      </w:r>
    </w:p>
  </w:footnote>
  <w:footnote w:type="continuationSeparator" w:id="0">
    <w:p w14:paraId="7C6FBB0D" w14:textId="77777777" w:rsidR="001370FE" w:rsidRDefault="001370FE" w:rsidP="003C7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869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314"/>
      <w:gridCol w:w="7166"/>
      <w:gridCol w:w="1389"/>
    </w:tblGrid>
    <w:tr w:rsidR="003A1B93" w14:paraId="1A7A77DA" w14:textId="77777777" w:rsidTr="003A1B93">
      <w:trPr>
        <w:trHeight w:val="1214"/>
      </w:trPr>
      <w:tc>
        <w:tcPr>
          <w:tcW w:w="1314" w:type="dxa"/>
          <w:vMerge w:val="restart"/>
        </w:tcPr>
        <w:p w14:paraId="54F67376" w14:textId="77777777" w:rsidR="003A1B93" w:rsidRDefault="003A1B93" w:rsidP="003A1B93">
          <w:bookmarkStart w:id="0" w:name="_Hlk98246298"/>
          <w:r w:rsidRPr="004E3566">
            <w:rPr>
              <w:rFonts w:ascii="Times New Roman" w:hAnsi="Times New Roman"/>
              <w:i/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08A622BA" wp14:editId="688EE554">
                <wp:simplePos x="0" y="0"/>
                <wp:positionH relativeFrom="column">
                  <wp:posOffset>-47625</wp:posOffset>
                </wp:positionH>
                <wp:positionV relativeFrom="paragraph">
                  <wp:posOffset>95250</wp:posOffset>
                </wp:positionV>
                <wp:extent cx="781050" cy="790575"/>
                <wp:effectExtent l="0" t="0" r="0" b="9525"/>
                <wp:wrapNone/>
                <wp:docPr id="3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66" w:type="dxa"/>
          <w:tcBorders>
            <w:bottom w:val="single" w:sz="4" w:space="0" w:color="auto"/>
          </w:tcBorders>
        </w:tcPr>
        <w:p w14:paraId="0DB845F8" w14:textId="77777777" w:rsidR="003A1B93" w:rsidRPr="00813CB1" w:rsidRDefault="003A1B93" w:rsidP="003A1B93">
          <w:pPr>
            <w:spacing w:before="240"/>
            <w:jc w:val="center"/>
            <w:rPr>
              <w:rFonts w:ascii="Times New Roman" w:hAnsi="Times New Roman"/>
              <w:i/>
              <w:spacing w:val="8"/>
              <w:sz w:val="36"/>
              <w:szCs w:val="36"/>
            </w:rPr>
          </w:pPr>
          <w:r w:rsidRPr="00F10993">
            <w:rPr>
              <w:rFonts w:ascii="Times New Roman" w:hAnsi="Times New Roman"/>
              <w:i/>
              <w:spacing w:val="8"/>
              <w:sz w:val="36"/>
              <w:szCs w:val="36"/>
            </w:rPr>
            <w:t xml:space="preserve">ИКОНОМИЧЕСКИ УНИВЕРСИТЕТ </w:t>
          </w:r>
          <w:r>
            <w:rPr>
              <w:rFonts w:ascii="Times New Roman" w:hAnsi="Times New Roman"/>
              <w:i/>
              <w:spacing w:val="8"/>
              <w:sz w:val="36"/>
              <w:szCs w:val="36"/>
            </w:rPr>
            <w:t>–</w:t>
          </w:r>
          <w:r w:rsidRPr="00F10993">
            <w:rPr>
              <w:rFonts w:ascii="Times New Roman" w:hAnsi="Times New Roman"/>
              <w:i/>
              <w:spacing w:val="8"/>
              <w:sz w:val="36"/>
              <w:szCs w:val="36"/>
            </w:rPr>
            <w:t xml:space="preserve"> ВАРН</w:t>
          </w:r>
          <w:r>
            <w:rPr>
              <w:rFonts w:ascii="Times New Roman" w:hAnsi="Times New Roman"/>
              <w:i/>
              <w:spacing w:val="8"/>
              <w:sz w:val="36"/>
              <w:szCs w:val="36"/>
            </w:rPr>
            <w:t>А</w:t>
          </w:r>
        </w:p>
      </w:tc>
      <w:tc>
        <w:tcPr>
          <w:tcW w:w="1389" w:type="dxa"/>
          <w:vMerge w:val="restart"/>
        </w:tcPr>
        <w:p w14:paraId="7160F53C" w14:textId="77777777" w:rsidR="003A1B93" w:rsidRDefault="003A1B93" w:rsidP="003A1B93">
          <w:pPr>
            <w:spacing w:before="240" w:line="480" w:lineRule="auto"/>
            <w:rPr>
              <w:noProof/>
            </w:rPr>
          </w:pPr>
          <w:r w:rsidRPr="00DF4B48">
            <w:rPr>
              <w:noProof/>
              <w:lang w:val="en-US" w:eastAsia="en-US"/>
            </w:rPr>
            <w:drawing>
              <wp:inline distT="0" distB="0" distL="0" distR="0" wp14:anchorId="4D00A45A" wp14:editId="2CADEC8F">
                <wp:extent cx="800100" cy="733425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FACFD34" w14:textId="77777777" w:rsidR="003A1B93" w:rsidRDefault="003A1B93" w:rsidP="003A1B93">
          <w:pPr>
            <w:spacing w:before="240" w:line="480" w:lineRule="auto"/>
          </w:pPr>
        </w:p>
      </w:tc>
    </w:tr>
    <w:tr w:rsidR="003A1B93" w14:paraId="1C5C2E86" w14:textId="77777777" w:rsidTr="003A1B93">
      <w:trPr>
        <w:trHeight w:val="565"/>
      </w:trPr>
      <w:tc>
        <w:tcPr>
          <w:tcW w:w="1314" w:type="dxa"/>
          <w:vMerge/>
        </w:tcPr>
        <w:p w14:paraId="6754B65E" w14:textId="77777777" w:rsidR="003A1B93" w:rsidRDefault="003A1B93" w:rsidP="003A1B93"/>
      </w:tc>
      <w:tc>
        <w:tcPr>
          <w:tcW w:w="7166" w:type="dxa"/>
          <w:tcBorders>
            <w:top w:val="single" w:sz="4" w:space="0" w:color="auto"/>
          </w:tcBorders>
        </w:tcPr>
        <w:p w14:paraId="37E51BA0" w14:textId="77777777" w:rsidR="003A1B93" w:rsidRDefault="003A1B93" w:rsidP="003A1B93">
          <w:pPr>
            <w:jc w:val="center"/>
            <w:rPr>
              <w:rFonts w:ascii="Times New Roman" w:hAnsi="Times New Roman"/>
              <w:i/>
              <w:sz w:val="18"/>
              <w:szCs w:val="18"/>
            </w:rPr>
          </w:pPr>
          <w:r w:rsidRPr="00486DBC">
            <w:rPr>
              <w:rFonts w:ascii="Times New Roman" w:hAnsi="Times New Roman"/>
              <w:i/>
              <w:sz w:val="18"/>
              <w:szCs w:val="18"/>
            </w:rPr>
            <w:t xml:space="preserve">9002 Варна </w:t>
          </w:r>
          <w:r w:rsidRPr="00486DBC">
            <w:rPr>
              <w:rFonts w:ascii="Times New Roman" w:hAnsi="Times New Roman"/>
              <w:i/>
              <w:sz w:val="18"/>
              <w:szCs w:val="18"/>
            </w:rPr>
            <w:sym w:font="Symbol" w:char="00B7"/>
          </w:r>
          <w:r w:rsidRPr="00486DBC">
            <w:rPr>
              <w:rFonts w:ascii="Times New Roman" w:hAnsi="Times New Roman"/>
              <w:i/>
              <w:sz w:val="18"/>
              <w:szCs w:val="18"/>
            </w:rPr>
            <w:t xml:space="preserve"> бул. ”Княз Борис I” 77 </w:t>
          </w:r>
          <w:r w:rsidRPr="00486DBC">
            <w:rPr>
              <w:rFonts w:ascii="Times New Roman" w:hAnsi="Times New Roman"/>
              <w:i/>
              <w:sz w:val="18"/>
              <w:szCs w:val="18"/>
            </w:rPr>
            <w:sym w:font="Symbol" w:char="00B7"/>
          </w:r>
          <w:r w:rsidRPr="00486DBC">
            <w:rPr>
              <w:rFonts w:ascii="Times New Roman" w:hAnsi="Times New Roman"/>
              <w:i/>
              <w:sz w:val="18"/>
              <w:szCs w:val="18"/>
            </w:rPr>
            <w:t xml:space="preserve"> Телефон 052 643 360 </w:t>
          </w:r>
          <w:r w:rsidRPr="00486DBC">
            <w:rPr>
              <w:rFonts w:ascii="Times New Roman" w:hAnsi="Times New Roman"/>
              <w:i/>
              <w:sz w:val="18"/>
              <w:szCs w:val="18"/>
            </w:rPr>
            <w:sym w:font="Symbol" w:char="00B7"/>
          </w:r>
        </w:p>
        <w:p w14:paraId="6B619D0B" w14:textId="77777777" w:rsidR="003A1B93" w:rsidRPr="007D0C4C" w:rsidRDefault="003A1B93" w:rsidP="003A1B93">
          <w:pPr>
            <w:jc w:val="center"/>
            <w:rPr>
              <w:rFonts w:ascii="Times New Roman" w:hAnsi="Times New Roman"/>
              <w:i/>
              <w:sz w:val="18"/>
              <w:szCs w:val="18"/>
            </w:rPr>
          </w:pPr>
          <w:r w:rsidRPr="00486DBC">
            <w:rPr>
              <w:rFonts w:ascii="Times New Roman" w:hAnsi="Times New Roman"/>
              <w:i/>
              <w:sz w:val="18"/>
              <w:szCs w:val="18"/>
            </w:rPr>
            <w:t xml:space="preserve">Телефакс 052 643 365 </w:t>
          </w:r>
          <w:r w:rsidRPr="00486DBC">
            <w:rPr>
              <w:rFonts w:ascii="Times New Roman" w:hAnsi="Times New Roman"/>
              <w:i/>
              <w:sz w:val="18"/>
              <w:szCs w:val="18"/>
            </w:rPr>
            <w:sym w:font="Symbol" w:char="00B7"/>
          </w:r>
          <w:r w:rsidRPr="00486DBC">
            <w:rPr>
              <w:rFonts w:ascii="Times New Roman" w:hAnsi="Times New Roman"/>
              <w:i/>
              <w:sz w:val="18"/>
              <w:szCs w:val="18"/>
            </w:rPr>
            <w:t xml:space="preserve"> www.ue-varna.bg</w:t>
          </w:r>
        </w:p>
      </w:tc>
      <w:tc>
        <w:tcPr>
          <w:tcW w:w="1389" w:type="dxa"/>
          <w:vMerge/>
        </w:tcPr>
        <w:p w14:paraId="1AD2999F" w14:textId="77777777" w:rsidR="003A1B93" w:rsidRDefault="003A1B93" w:rsidP="003A1B93"/>
      </w:tc>
    </w:tr>
    <w:bookmarkEnd w:id="0"/>
  </w:tbl>
  <w:p w14:paraId="17718247" w14:textId="77777777" w:rsidR="003C7D1A" w:rsidRPr="003C7D1A" w:rsidRDefault="003C7D1A" w:rsidP="00277A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7978"/>
    <w:multiLevelType w:val="hybridMultilevel"/>
    <w:tmpl w:val="44C81E18"/>
    <w:lvl w:ilvl="0" w:tplc="618EF29E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61C5D"/>
    <w:multiLevelType w:val="hybridMultilevel"/>
    <w:tmpl w:val="7E2A991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A54756D"/>
    <w:multiLevelType w:val="hybridMultilevel"/>
    <w:tmpl w:val="55D2A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B7AA1"/>
    <w:multiLevelType w:val="hybridMultilevel"/>
    <w:tmpl w:val="950A1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545FA"/>
    <w:multiLevelType w:val="hybridMultilevel"/>
    <w:tmpl w:val="55D2A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268102">
    <w:abstractNumId w:val="3"/>
  </w:num>
  <w:num w:numId="2" w16cid:durableId="216287824">
    <w:abstractNumId w:val="2"/>
  </w:num>
  <w:num w:numId="3" w16cid:durableId="534543343">
    <w:abstractNumId w:val="4"/>
  </w:num>
  <w:num w:numId="4" w16cid:durableId="1988628538">
    <w:abstractNumId w:val="0"/>
  </w:num>
  <w:num w:numId="5" w16cid:durableId="1867214149">
    <w:abstractNumId w:val="1"/>
  </w:num>
  <w:num w:numId="6" w16cid:durableId="1225874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7D1A"/>
    <w:rsid w:val="00012D43"/>
    <w:rsid w:val="00061592"/>
    <w:rsid w:val="0008552C"/>
    <w:rsid w:val="000B0F9B"/>
    <w:rsid w:val="000E0D60"/>
    <w:rsid w:val="001370FE"/>
    <w:rsid w:val="00137AAA"/>
    <w:rsid w:val="00151FF3"/>
    <w:rsid w:val="00156CE5"/>
    <w:rsid w:val="001C396A"/>
    <w:rsid w:val="001C446C"/>
    <w:rsid w:val="001C6527"/>
    <w:rsid w:val="001D69ED"/>
    <w:rsid w:val="001E6C09"/>
    <w:rsid w:val="001F5931"/>
    <w:rsid w:val="002050B8"/>
    <w:rsid w:val="0021589C"/>
    <w:rsid w:val="00221B62"/>
    <w:rsid w:val="0022619E"/>
    <w:rsid w:val="00226719"/>
    <w:rsid w:val="002543CB"/>
    <w:rsid w:val="00277ABC"/>
    <w:rsid w:val="00306393"/>
    <w:rsid w:val="00326792"/>
    <w:rsid w:val="00326C93"/>
    <w:rsid w:val="00390D67"/>
    <w:rsid w:val="003A1B93"/>
    <w:rsid w:val="003A65B5"/>
    <w:rsid w:val="003B6EFD"/>
    <w:rsid w:val="003C7D1A"/>
    <w:rsid w:val="00425F19"/>
    <w:rsid w:val="00440730"/>
    <w:rsid w:val="00445DB2"/>
    <w:rsid w:val="00490FDD"/>
    <w:rsid w:val="004F0B07"/>
    <w:rsid w:val="004F3668"/>
    <w:rsid w:val="00527FEB"/>
    <w:rsid w:val="0053301E"/>
    <w:rsid w:val="005B205C"/>
    <w:rsid w:val="005B211D"/>
    <w:rsid w:val="005C4C95"/>
    <w:rsid w:val="005E3CC0"/>
    <w:rsid w:val="005F2CAF"/>
    <w:rsid w:val="00606AAF"/>
    <w:rsid w:val="006316CF"/>
    <w:rsid w:val="00635A3F"/>
    <w:rsid w:val="00655844"/>
    <w:rsid w:val="00655957"/>
    <w:rsid w:val="006C101E"/>
    <w:rsid w:val="006C3F45"/>
    <w:rsid w:val="00727ED0"/>
    <w:rsid w:val="00751460"/>
    <w:rsid w:val="007533D6"/>
    <w:rsid w:val="00762DB3"/>
    <w:rsid w:val="00770988"/>
    <w:rsid w:val="007B63C1"/>
    <w:rsid w:val="007C36E8"/>
    <w:rsid w:val="008059BF"/>
    <w:rsid w:val="0082080E"/>
    <w:rsid w:val="00837268"/>
    <w:rsid w:val="00861DB6"/>
    <w:rsid w:val="008B2699"/>
    <w:rsid w:val="008B3ED1"/>
    <w:rsid w:val="008B5CA3"/>
    <w:rsid w:val="00945AAD"/>
    <w:rsid w:val="009546D6"/>
    <w:rsid w:val="00990B05"/>
    <w:rsid w:val="009958BF"/>
    <w:rsid w:val="009A7860"/>
    <w:rsid w:val="009E181C"/>
    <w:rsid w:val="00A36BDD"/>
    <w:rsid w:val="00A63A45"/>
    <w:rsid w:val="00A830EA"/>
    <w:rsid w:val="00AA3568"/>
    <w:rsid w:val="00AD45A6"/>
    <w:rsid w:val="00AD7BBA"/>
    <w:rsid w:val="00AE336C"/>
    <w:rsid w:val="00AE37AC"/>
    <w:rsid w:val="00AF7F27"/>
    <w:rsid w:val="00B0237C"/>
    <w:rsid w:val="00B02E18"/>
    <w:rsid w:val="00B04BEF"/>
    <w:rsid w:val="00B24ED4"/>
    <w:rsid w:val="00BB4124"/>
    <w:rsid w:val="00BC397F"/>
    <w:rsid w:val="00BD07B1"/>
    <w:rsid w:val="00BD1635"/>
    <w:rsid w:val="00BD32AC"/>
    <w:rsid w:val="00C03FDD"/>
    <w:rsid w:val="00C2411D"/>
    <w:rsid w:val="00C2729F"/>
    <w:rsid w:val="00C31B4F"/>
    <w:rsid w:val="00C34DDE"/>
    <w:rsid w:val="00C509A0"/>
    <w:rsid w:val="00C51A02"/>
    <w:rsid w:val="00C77CCE"/>
    <w:rsid w:val="00CC7BA3"/>
    <w:rsid w:val="00CF44D6"/>
    <w:rsid w:val="00D11FD8"/>
    <w:rsid w:val="00D57DA7"/>
    <w:rsid w:val="00D711CC"/>
    <w:rsid w:val="00D71C7D"/>
    <w:rsid w:val="00D761A2"/>
    <w:rsid w:val="00D87119"/>
    <w:rsid w:val="00DA5E39"/>
    <w:rsid w:val="00DC75ED"/>
    <w:rsid w:val="00E004D2"/>
    <w:rsid w:val="00E31436"/>
    <w:rsid w:val="00E501EE"/>
    <w:rsid w:val="00E56957"/>
    <w:rsid w:val="00E92677"/>
    <w:rsid w:val="00ED5336"/>
    <w:rsid w:val="00EF2505"/>
    <w:rsid w:val="00F14A15"/>
    <w:rsid w:val="00F376F7"/>
    <w:rsid w:val="00F45581"/>
    <w:rsid w:val="00F50B38"/>
    <w:rsid w:val="00F577A0"/>
    <w:rsid w:val="00F579F9"/>
    <w:rsid w:val="00FA4B26"/>
    <w:rsid w:val="00FB643D"/>
    <w:rsid w:val="00FD066F"/>
    <w:rsid w:val="00FD4925"/>
    <w:rsid w:val="00FF3E95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D027E"/>
  <w15:docId w15:val="{2D6959CF-162D-44D5-B083-61B36EEF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E336C"/>
    <w:pPr>
      <w:keepNext/>
      <w:spacing w:after="0" w:line="240" w:lineRule="auto"/>
      <w:outlineLvl w:val="0"/>
    </w:pPr>
    <w:rPr>
      <w:rFonts w:ascii="Times New Roman" w:eastAsia="PMingLiU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D1A"/>
  </w:style>
  <w:style w:type="paragraph" w:styleId="Footer">
    <w:name w:val="footer"/>
    <w:basedOn w:val="Normal"/>
    <w:link w:val="FooterChar"/>
    <w:uiPriority w:val="99"/>
    <w:unhideWhenUsed/>
    <w:rsid w:val="003C7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D1A"/>
  </w:style>
  <w:style w:type="table" w:styleId="TableGrid">
    <w:name w:val="Table Grid"/>
    <w:basedOn w:val="TableNormal"/>
    <w:uiPriority w:val="39"/>
    <w:rsid w:val="00EF2505"/>
    <w:pPr>
      <w:spacing w:after="0" w:line="240" w:lineRule="auto"/>
    </w:pPr>
    <w:rPr>
      <w:rFonts w:ascii="Arial" w:eastAsia="Calibri" w:hAnsi="Arial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BDS">
    <w:name w:val="Normal BDS"/>
    <w:basedOn w:val="Normal"/>
    <w:rsid w:val="00AE336C"/>
    <w:pPr>
      <w:widowControl w:val="0"/>
      <w:spacing w:after="0" w:line="360" w:lineRule="auto"/>
      <w:jc w:val="both"/>
    </w:pPr>
    <w:rPr>
      <w:rFonts w:ascii="TimokU" w:eastAsia="PMingLiU" w:hAnsi="TimokU" w:cs="Times New Roman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AE336C"/>
    <w:rPr>
      <w:rFonts w:ascii="Times New Roman" w:eastAsia="PMingLiU" w:hAnsi="Times New Roman" w:cs="Times New Roman"/>
      <w:sz w:val="24"/>
      <w:szCs w:val="24"/>
      <w:lang w:val="en-US" w:eastAsia="bg-BG"/>
    </w:rPr>
  </w:style>
  <w:style w:type="paragraph" w:styleId="BodyText">
    <w:name w:val="Body Text"/>
    <w:basedOn w:val="Normal"/>
    <w:link w:val="BodyTextChar"/>
    <w:rsid w:val="00AE336C"/>
    <w:pPr>
      <w:spacing w:after="0" w:line="240" w:lineRule="auto"/>
      <w:jc w:val="both"/>
    </w:pPr>
    <w:rPr>
      <w:rFonts w:ascii="SwissCyr" w:eastAsia="PMingLiU" w:hAnsi="SwissCyr" w:cs="Times New Roman"/>
      <w:i/>
      <w:sz w:val="16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AE336C"/>
    <w:rPr>
      <w:rFonts w:ascii="SwissCyr" w:eastAsia="PMingLiU" w:hAnsi="SwissCyr" w:cs="Times New Roman"/>
      <w:i/>
      <w:sz w:val="16"/>
      <w:szCs w:val="20"/>
      <w:lang w:val="en-US" w:eastAsia="bg-BG"/>
    </w:rPr>
  </w:style>
  <w:style w:type="paragraph" w:styleId="BodyText2">
    <w:name w:val="Body Text 2"/>
    <w:basedOn w:val="Normal"/>
    <w:link w:val="BodyText2Char"/>
    <w:rsid w:val="00AE336C"/>
    <w:pPr>
      <w:spacing w:after="0" w:line="240" w:lineRule="auto"/>
      <w:jc w:val="both"/>
    </w:pPr>
    <w:rPr>
      <w:rFonts w:ascii="ExcelciorCyr" w:eastAsia="PMingLiU" w:hAnsi="ExcelciorCyr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AE336C"/>
    <w:rPr>
      <w:rFonts w:ascii="ExcelciorCyr" w:eastAsia="PMingLiU" w:hAnsi="ExcelciorCyr" w:cs="Times New Roman"/>
      <w:szCs w:val="20"/>
      <w:lang w:eastAsia="bg-BG"/>
    </w:rPr>
  </w:style>
  <w:style w:type="paragraph" w:styleId="BodyText3">
    <w:name w:val="Body Text 3"/>
    <w:basedOn w:val="Normal"/>
    <w:link w:val="BodyText3Char"/>
    <w:rsid w:val="00AE336C"/>
    <w:pPr>
      <w:spacing w:after="0" w:line="240" w:lineRule="auto"/>
    </w:pPr>
    <w:rPr>
      <w:rFonts w:ascii="Times New Roman" w:eastAsia="PMingLiU" w:hAnsi="Times New Roman" w:cs="Times New Roman"/>
      <w:i/>
      <w:sz w:val="16"/>
      <w:szCs w:val="20"/>
    </w:rPr>
  </w:style>
  <w:style w:type="character" w:customStyle="1" w:styleId="BodyText3Char">
    <w:name w:val="Body Text 3 Char"/>
    <w:basedOn w:val="DefaultParagraphFont"/>
    <w:link w:val="BodyText3"/>
    <w:rsid w:val="00AE336C"/>
    <w:rPr>
      <w:rFonts w:ascii="Times New Roman" w:eastAsia="PMingLiU" w:hAnsi="Times New Roman" w:cs="Times New Roman"/>
      <w:i/>
      <w:sz w:val="16"/>
      <w:szCs w:val="20"/>
      <w:lang w:eastAsia="bg-BG"/>
    </w:rPr>
  </w:style>
  <w:style w:type="table" w:customStyle="1" w:styleId="TableGrid1">
    <w:name w:val="Table Grid1"/>
    <w:basedOn w:val="TableNormal"/>
    <w:next w:val="TableGrid"/>
    <w:uiPriority w:val="59"/>
    <w:rsid w:val="007B63C1"/>
    <w:pPr>
      <w:spacing w:after="0" w:line="240" w:lineRule="auto"/>
    </w:pPr>
    <w:rPr>
      <w:rFonts w:ascii="Arial" w:eastAsia="Calibri" w:hAnsi="Arial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6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81C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B211D"/>
    <w:pPr>
      <w:spacing w:after="160" w:line="256" w:lineRule="auto"/>
    </w:pPr>
    <w:rPr>
      <w:rFonts w:eastAsiaTheme="minorHAnsi"/>
      <w:lang w:val="cs-CZ" w:eastAsia="en-US"/>
    </w:rPr>
  </w:style>
  <w:style w:type="character" w:styleId="Hyperlink">
    <w:name w:val="Hyperlink"/>
    <w:basedOn w:val="DefaultParagraphFont"/>
    <w:rsid w:val="005B21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infsof.2016.02.004" TargetMode="External"/><Relationship Id="rId13" Type="http://schemas.openxmlformats.org/officeDocument/2006/relationships/hyperlink" Target="https://www.infoq.com/news/2013/06/netflix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09/ms.2018.214102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codecastpublication/red-green-refactor-what-is-test-driven-development-302794e06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thinkmind.org/articles/soft_v10_n34_2017_2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ure.microsoft.com/en-us/blog/get-the-azure-quick-start-guide-for-net-developers/" TargetMode="External"/><Relationship Id="rId14" Type="http://schemas.openxmlformats.org/officeDocument/2006/relationships/hyperlink" Target="https://eng.uber.com/micro-deploy-code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605A119-BA1A-44FC-BFC1-FD204DCC3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11</Pages>
  <Words>2491</Words>
  <Characters>14201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</dc:creator>
  <cp:lastModifiedBy>Yordanov, Yordan (Varna) BGR</cp:lastModifiedBy>
  <cp:revision>69</cp:revision>
  <dcterms:created xsi:type="dcterms:W3CDTF">2018-01-15T09:29:00Z</dcterms:created>
  <dcterms:modified xsi:type="dcterms:W3CDTF">2023-05-14T09:52:00Z</dcterms:modified>
</cp:coreProperties>
</file>