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77777777" w:rsidR="00795E3D" w:rsidRDefault="00795E3D" w:rsidP="00E7764E">
            <w:pPr>
              <w:jc w:val="center"/>
              <w:rPr>
                <w:lang w:val="en-US"/>
              </w:rPr>
            </w:pP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56421FC8"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Amazon EC2</w:t>
      </w:r>
      <w:r w:rsidR="008E192E" w:rsidRPr="008E192E">
        <w:t xml:space="preserve">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r w:rsidR="00346BDE" w:rsidRPr="00346BDE">
        <w:rPr>
          <w:lang w:val="bg-BG"/>
        </w:rPr>
        <w:t>no matter if it is</w:t>
      </w:r>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FE3A6C">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FE3A6C">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FE3A6C">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FE3A6C">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FE3A6C">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FE3A6C">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FE3A6C">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FE3A6C">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FE3A6C">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FE3A6C">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FE3A6C">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FE3A6C">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FE3A6C">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FE3A6C">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FE3A6C">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FE3A6C">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FE3A6C">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FE3A6C">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17EA7"/>
    <w:rsid w:val="0013522A"/>
    <w:rsid w:val="0014038C"/>
    <w:rsid w:val="00152367"/>
    <w:rsid w:val="00170A89"/>
    <w:rsid w:val="00171B4C"/>
    <w:rsid w:val="00194A5B"/>
    <w:rsid w:val="001C2783"/>
    <w:rsid w:val="002038E7"/>
    <w:rsid w:val="00240D85"/>
    <w:rsid w:val="002464F0"/>
    <w:rsid w:val="0025547E"/>
    <w:rsid w:val="00274229"/>
    <w:rsid w:val="00286E7E"/>
    <w:rsid w:val="0029050A"/>
    <w:rsid w:val="002A1260"/>
    <w:rsid w:val="002B4FA6"/>
    <w:rsid w:val="002C6102"/>
    <w:rsid w:val="002D52DC"/>
    <w:rsid w:val="0032146A"/>
    <w:rsid w:val="003224FA"/>
    <w:rsid w:val="00340550"/>
    <w:rsid w:val="00346BDE"/>
    <w:rsid w:val="00366209"/>
    <w:rsid w:val="0037137A"/>
    <w:rsid w:val="00383F5D"/>
    <w:rsid w:val="003B1B74"/>
    <w:rsid w:val="003E7BB4"/>
    <w:rsid w:val="004333E9"/>
    <w:rsid w:val="00442BCA"/>
    <w:rsid w:val="00453180"/>
    <w:rsid w:val="00462664"/>
    <w:rsid w:val="00486BA6"/>
    <w:rsid w:val="004A34F4"/>
    <w:rsid w:val="004B7E41"/>
    <w:rsid w:val="004D189C"/>
    <w:rsid w:val="004D411D"/>
    <w:rsid w:val="004E22E7"/>
    <w:rsid w:val="004E34C6"/>
    <w:rsid w:val="00536F16"/>
    <w:rsid w:val="00541FA8"/>
    <w:rsid w:val="00556E97"/>
    <w:rsid w:val="005731FA"/>
    <w:rsid w:val="0057535F"/>
    <w:rsid w:val="00575543"/>
    <w:rsid w:val="0057632D"/>
    <w:rsid w:val="00587AB1"/>
    <w:rsid w:val="005D6CA6"/>
    <w:rsid w:val="005E2897"/>
    <w:rsid w:val="005F022C"/>
    <w:rsid w:val="00604CF5"/>
    <w:rsid w:val="00616367"/>
    <w:rsid w:val="0063101A"/>
    <w:rsid w:val="0063366B"/>
    <w:rsid w:val="00670F11"/>
    <w:rsid w:val="00672859"/>
    <w:rsid w:val="00697835"/>
    <w:rsid w:val="006B2749"/>
    <w:rsid w:val="006C02D3"/>
    <w:rsid w:val="006F022E"/>
    <w:rsid w:val="00721BB0"/>
    <w:rsid w:val="00724BDE"/>
    <w:rsid w:val="00725B04"/>
    <w:rsid w:val="00727F3A"/>
    <w:rsid w:val="00795E3D"/>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8E192E"/>
    <w:rsid w:val="008E70E1"/>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40BB6"/>
    <w:rsid w:val="00C6400E"/>
    <w:rsid w:val="00C65097"/>
    <w:rsid w:val="00C81F8B"/>
    <w:rsid w:val="00CD22D2"/>
    <w:rsid w:val="00CD31FE"/>
    <w:rsid w:val="00CE6FFC"/>
    <w:rsid w:val="00CF4320"/>
    <w:rsid w:val="00D00B8A"/>
    <w:rsid w:val="00D06B0A"/>
    <w:rsid w:val="00D13F40"/>
    <w:rsid w:val="00D42F31"/>
    <w:rsid w:val="00D62850"/>
    <w:rsid w:val="00D85DCA"/>
    <w:rsid w:val="00D87E5C"/>
    <w:rsid w:val="00D96951"/>
    <w:rsid w:val="00D969A5"/>
    <w:rsid w:val="00DC0916"/>
    <w:rsid w:val="00DF023E"/>
    <w:rsid w:val="00DF1ED9"/>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3A6C"/>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6011</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171</cp:revision>
  <dcterms:created xsi:type="dcterms:W3CDTF">2022-12-27T07:09:00Z</dcterms:created>
  <dcterms:modified xsi:type="dcterms:W3CDTF">2023-01-09T08:17:00Z</dcterms:modified>
</cp:coreProperties>
</file>