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 xml:space="preserve">César de la Torre, Bill Wagner, Mike </w:t>
      </w:r>
      <w:proofErr w:type="spellStart"/>
      <w:r w:rsidR="00E00634" w:rsidRPr="00E00634">
        <w:t>Rousos</w:t>
      </w:r>
      <w:proofErr w:type="spellEnd"/>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405A862" w14:textId="5A65D4E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6"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lastRenderedPageBreak/>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9"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0"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1"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2" w:history="1">
        <w:r>
          <w:rPr>
            <w:rStyle w:val="Hyperlink"/>
            <w:rFonts w:ascii="Segoe UI" w:eastAsiaTheme="majorEastAsia" w:hAnsi="Segoe UI" w:cs="Segoe UI"/>
          </w:rPr>
          <w:t>Persistence Ignorance</w:t>
        </w:r>
      </w:hyperlink>
      <w:r>
        <w:rPr>
          <w:rFonts w:ascii="Segoe UI" w:hAnsi="Segoe UI" w:cs="Segoe UI"/>
          <w:color w:val="171717"/>
        </w:rPr>
        <w:t> and </w:t>
      </w:r>
      <w:hyperlink r:id="rId13"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t xml:space="preserve">Another important part of domain-driven design is the concept of bounded contexts. Often, an application grows so much that it becomes hard to maintain its code </w:t>
      </w:r>
      <w:proofErr w:type="gramStart"/>
      <w:r w:rsidRPr="00021BF3">
        <w:t>base as a whole</w:t>
      </w:r>
      <w:proofErr w:type="gramEnd"/>
      <w:r w:rsidRPr="00021BF3">
        <w:t>.</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best job possible. This knowledge will guide through the code. It will help to look at it from the domain expert's point of view. This skill is indispensable, as it allows you to combine the </w:t>
      </w:r>
      <w:r w:rsidR="005D6ABC" w:rsidRPr="005D6ABC">
        <w:lastRenderedPageBreak/>
        <w:t>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lastRenderedPageBreak/>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r>
        <w:rPr>
          <w:rFonts w:ascii="Roboto" w:hAnsi="Roboto"/>
          <w:color w:val="2E414F"/>
          <w:sz w:val="21"/>
          <w:szCs w:val="21"/>
          <w:shd w:val="clear" w:color="auto" w:fill="FFFFFF"/>
        </w:rPr>
        <w:t>Rademacher, F., Sachweh, S., &amp; Zündorf, A. (2017).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E977E16" w:rsidR="00EF23C6" w:rsidRPr="00EF23C6" w:rsidRDefault="00EF23C6" w:rsidP="00EF23C6">
      <w:pPr>
        <w:autoSpaceDE w:val="0"/>
        <w:autoSpaceDN w:val="0"/>
        <w:adjustRightInd w:val="0"/>
        <w:spacing w:after="0" w:line="240" w:lineRule="auto"/>
        <w:rPr>
          <w:lang w:val="en-US"/>
        </w:rPr>
      </w:pPr>
      <w:r w:rsidRPr="00EF23C6">
        <w:rPr>
          <w:lang w:val="en-US"/>
        </w:rPr>
        <w:t>Domain-driven Design (DDD) is a model-driven approach to</w:t>
      </w:r>
      <w:r>
        <w:rPr>
          <w:lang w:val="en-US"/>
        </w:rPr>
        <w:t xml:space="preserve"> </w:t>
      </w:r>
      <w:r w:rsidRPr="00EF23C6">
        <w:rPr>
          <w:lang w:val="en-US"/>
        </w:rPr>
        <w:t>software development that focuses on capturing the application domain,</w:t>
      </w:r>
      <w:r>
        <w:rPr>
          <w:lang w:val="en-US"/>
        </w:rPr>
        <w:t xml:space="preserve"> </w:t>
      </w:r>
      <w:r w:rsidRPr="00EF23C6">
        <w:rPr>
          <w:lang w:val="en-US"/>
        </w:rPr>
        <w:t xml:space="preserve">its </w:t>
      </w:r>
      <w:proofErr w:type="gramStart"/>
      <w:r w:rsidRPr="00EF23C6">
        <w:rPr>
          <w:lang w:val="en-US"/>
        </w:rPr>
        <w:t>concepts</w:t>
      </w:r>
      <w:proofErr w:type="gramEnd"/>
      <w:r w:rsidRPr="00EF23C6">
        <w:rPr>
          <w:lang w:val="en-US"/>
        </w:rPr>
        <w:t xml:space="preserve"> and relationships in the form of domain models for architecture</w:t>
      </w:r>
      <w:r>
        <w:rPr>
          <w:lang w:val="en-US"/>
        </w:rPr>
        <w:t xml:space="preserve"> </w:t>
      </w:r>
      <w:r w:rsidRPr="00EF23C6">
        <w:rPr>
          <w:lang w:val="en-US"/>
        </w:rPr>
        <w:t>design. 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14FBCC7" w:rsidR="002F4447" w:rsidRDefault="00D90083" w:rsidP="00D90083">
      <w:pPr>
        <w:autoSpaceDE w:val="0"/>
        <w:autoSpaceDN w:val="0"/>
        <w:adjustRightInd w:val="0"/>
        <w:spacing w:after="0" w:line="240" w:lineRule="auto"/>
        <w:rPr>
          <w:lang w:val="en-US"/>
        </w:rPr>
      </w:pPr>
      <w:r w:rsidRPr="00D90083">
        <w:rPr>
          <w:lang w:val="en-US"/>
        </w:rPr>
        <w:t>Domain-driven Design (DDD) [3] is an approach to software development that</w:t>
      </w:r>
      <w:r>
        <w:rPr>
          <w:lang w:val="en-US"/>
        </w:rPr>
        <w:t xml:space="preserve"> </w:t>
      </w:r>
      <w:r w:rsidRPr="00D90083">
        <w:rPr>
          <w:lang w:val="en-US"/>
        </w:rPr>
        <w:t xml:space="preserve">focuses on the application domain, its </w:t>
      </w:r>
      <w:proofErr w:type="gramStart"/>
      <w:r w:rsidRPr="00D90083">
        <w:rPr>
          <w:lang w:val="en-US"/>
        </w:rPr>
        <w:t>concepts</w:t>
      </w:r>
      <w:proofErr w:type="gramEnd"/>
      <w:r w:rsidRPr="00D90083">
        <w:rPr>
          <w:lang w:val="en-US"/>
        </w:rPr>
        <w:t xml:space="preserve"> and their relationships as primary</w:t>
      </w:r>
      <w:r>
        <w:rPr>
          <w:lang w:val="en-US"/>
        </w:rPr>
        <w:t xml:space="preserve"> </w:t>
      </w:r>
      <w:r w:rsidRPr="00D90083">
        <w:rPr>
          <w:lang w:val="en-US"/>
        </w:rPr>
        <w:t>drivers for architecture design. Core principles of DDD comprise (</w:t>
      </w:r>
      <w:proofErr w:type="spellStart"/>
      <w:r w:rsidRPr="00D90083">
        <w:rPr>
          <w:lang w:val="en-US"/>
        </w:rPr>
        <w:t>i</w:t>
      </w:r>
      <w:proofErr w:type="spellEnd"/>
      <w:r w:rsidRPr="00D90083">
        <w:rPr>
          <w:lang w:val="en-US"/>
        </w:rPr>
        <w:t>) capturing</w:t>
      </w:r>
      <w:r>
        <w:rPr>
          <w:lang w:val="en-US"/>
        </w:rPr>
        <w:t xml:space="preserve"> </w:t>
      </w:r>
      <w:r w:rsidRPr="00D90083">
        <w:rPr>
          <w:lang w:val="en-US"/>
        </w:rPr>
        <w:t>relevant domain knowledge in domain models that might comprise structural</w:t>
      </w:r>
      <w:r>
        <w:rPr>
          <w:lang w:val="en-US"/>
        </w:rPr>
        <w:t xml:space="preserve"> </w:t>
      </w:r>
      <w:r w:rsidRPr="00D90083">
        <w:rPr>
          <w:lang w:val="en-US"/>
        </w:rPr>
        <w:t>and behavioral aspects; (ii) collaborative modeling of domain experts and software</w:t>
      </w:r>
      <w:r>
        <w:rPr>
          <w:lang w:val="en-US"/>
        </w:rPr>
        <w:t xml:space="preserve"> </w:t>
      </w:r>
      <w:r w:rsidRPr="00D90083">
        <w:rPr>
          <w:lang w:val="en-US"/>
        </w:rPr>
        <w:t>engineers; (iii) fostering experimental design by strictly aligning model and</w:t>
      </w:r>
      <w:r>
        <w:rPr>
          <w:lang w:val="en-US"/>
        </w:rPr>
        <w:t xml:space="preserve"> </w:t>
      </w:r>
      <w:r w:rsidRPr="00D90083">
        <w:rPr>
          <w:lang w:val="en-US"/>
        </w:rPr>
        <w:t>implementation throughout the software development process as well as continuous</w:t>
      </w:r>
      <w:r>
        <w:rPr>
          <w:lang w:val="en-US"/>
        </w:rPr>
        <w:t xml:space="preserve"> </w:t>
      </w:r>
      <w:r w:rsidRPr="00D90083">
        <w:rPr>
          <w:lang w:val="en-US"/>
        </w:rPr>
        <w:t xml:space="preserve">model refinement;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0EA7AEC1" w:rsidR="00D21C65" w:rsidRDefault="00D21C65" w:rsidP="00D21C65">
      <w:pPr>
        <w:autoSpaceDE w:val="0"/>
        <w:autoSpaceDN w:val="0"/>
        <w:adjustRightInd w:val="0"/>
        <w:spacing w:after="0" w:line="240" w:lineRule="auto"/>
        <w:rPr>
          <w:rFonts w:ascii="SFRM1000" w:hAnsi="SFRM1000" w:cs="SFRM1000"/>
          <w:sz w:val="20"/>
          <w:szCs w:val="20"/>
          <w:lang w:val="en-US"/>
        </w:rPr>
      </w:pPr>
      <w:r>
        <w:rPr>
          <w:noProof/>
        </w:rPr>
        <w:lastRenderedPageBreak/>
        <w:drawing>
          <wp:inline distT="0" distB="0" distL="0" distR="0" wp14:anchorId="51E7E2A0" wp14:editId="6D3BD22E">
            <wp:extent cx="5731510" cy="5572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72760"/>
                    </a:xfrm>
                    <a:prstGeom prst="rect">
                      <a:avLst/>
                    </a:prstGeom>
                  </pic:spPr>
                </pic:pic>
              </a:graphicData>
            </a:graphic>
          </wp:inline>
        </w:drawing>
      </w: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0" w:name="_Hlk123030205"/>
      <w:proofErr w:type="spellStart"/>
      <w:r w:rsidRPr="004558C9">
        <w:rPr>
          <w:lang w:val="en-US"/>
        </w:rPr>
        <w:lastRenderedPageBreak/>
        <w:t>Hippchen</w:t>
      </w:r>
      <w:proofErr w:type="spellEnd"/>
      <w:r w:rsidRPr="004558C9">
        <w:rPr>
          <w:lang w:val="en-US"/>
        </w:rPr>
        <w:t xml:space="preserve">, Benjamin </w:t>
      </w:r>
      <w:bookmarkEnd w:id="0"/>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&amp; Schneider, Michael &amp; </w:t>
      </w:r>
      <w:proofErr w:type="spellStart"/>
      <w:r w:rsidRPr="004558C9">
        <w:rPr>
          <w:lang w:val="en-US"/>
        </w:rPr>
        <w:t>Abeck</w:t>
      </w:r>
      <w:proofErr w:type="spellEnd"/>
      <w:r w:rsidRPr="004558C9">
        <w:rPr>
          <w:lang w:val="en-US"/>
        </w:rPr>
        <w:t>, Sebastian. (2017). Designing Microservice-Based Applications by Using a Domain-Driven Design Approach. International Journal on Advances in Software (1942-2628). 10. 432 - 445.</w:t>
      </w:r>
    </w:p>
    <w:p w14:paraId="04CBAD8C" w14:textId="488D75DE" w:rsidR="004558C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r w:rsidRPr="004558C9">
        <w:rPr>
          <w:lang w:val="en-US"/>
        </w:rPr>
        <w:t>For these reasons, this paper provides a brief overview</w:t>
      </w:r>
      <w:r>
        <w:rPr>
          <w:lang w:val="en-US"/>
        </w:rPr>
        <w:t xml:space="preserve"> </w:t>
      </w:r>
      <w:r w:rsidRPr="004558C9">
        <w:rPr>
          <w:lang w:val="en-US"/>
        </w:rPr>
        <w:t>of domain-driven design-based software development activities</w:t>
      </w:r>
      <w:r>
        <w:rPr>
          <w:lang w:val="en-US"/>
        </w:rPr>
        <w:t xml:space="preserve"> </w:t>
      </w:r>
      <w:r w:rsidRPr="004558C9">
        <w:rPr>
          <w:lang w:val="en-US"/>
        </w:rPr>
        <w:t>and their classification into a well-known software development</w:t>
      </w:r>
      <w:r>
        <w:rPr>
          <w:lang w:val="en-US"/>
        </w:rPr>
        <w:t xml:space="preserve"> </w:t>
      </w:r>
      <w:r w:rsidRPr="004558C9">
        <w:rPr>
          <w:lang w:val="en-US"/>
        </w:rPr>
        <w:t>process.</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5A296D60" w14:textId="04EBB6CA" w:rsidR="004A58A7"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 Domain</w:t>
      </w:r>
      <w:r w:rsidR="00956791">
        <w:t xml:space="preserve"> </w:t>
      </w:r>
      <w:r>
        <w:t>driven design offers principles, patterns, activities, and examples of how to build a domain model, which is its core artifact. 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Further, the classification of the patterns and principles into software architecture concepts, such as architecture perspectives and its requirements, supports software architects in designing microservice architectures.</w:t>
      </w:r>
      <w:r w:rsidR="005E3951">
        <w:t xml:space="preserve">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 w:name="_Hlk123029747"/>
      <w:r>
        <w:t xml:space="preserve">“ubiquitous language” </w:t>
      </w:r>
      <w:bookmarkEnd w:id="1"/>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w:t>
      </w:r>
      <w:r>
        <w:lastRenderedPageBreak/>
        <w:t xml:space="preserve">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lastRenderedPageBreak/>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57011"/>
    <w:rsid w:val="00075541"/>
    <w:rsid w:val="000C15AA"/>
    <w:rsid w:val="000D3145"/>
    <w:rsid w:val="00136501"/>
    <w:rsid w:val="001542DD"/>
    <w:rsid w:val="001859A0"/>
    <w:rsid w:val="001C0312"/>
    <w:rsid w:val="001F384C"/>
    <w:rsid w:val="002057E7"/>
    <w:rsid w:val="00207696"/>
    <w:rsid w:val="0025057C"/>
    <w:rsid w:val="00250D37"/>
    <w:rsid w:val="002C5FB0"/>
    <w:rsid w:val="002F4447"/>
    <w:rsid w:val="002F5ACC"/>
    <w:rsid w:val="00302742"/>
    <w:rsid w:val="00313ACB"/>
    <w:rsid w:val="00331CF9"/>
    <w:rsid w:val="00365E5A"/>
    <w:rsid w:val="003A755C"/>
    <w:rsid w:val="003E1EC6"/>
    <w:rsid w:val="003E3E96"/>
    <w:rsid w:val="003E7D38"/>
    <w:rsid w:val="003E7D46"/>
    <w:rsid w:val="00401B1B"/>
    <w:rsid w:val="00420958"/>
    <w:rsid w:val="00420ADF"/>
    <w:rsid w:val="00425191"/>
    <w:rsid w:val="0043530F"/>
    <w:rsid w:val="004558C9"/>
    <w:rsid w:val="004A58A7"/>
    <w:rsid w:val="004B593C"/>
    <w:rsid w:val="004B7E41"/>
    <w:rsid w:val="004F1845"/>
    <w:rsid w:val="00503030"/>
    <w:rsid w:val="00512BC9"/>
    <w:rsid w:val="00526B8E"/>
    <w:rsid w:val="005453F4"/>
    <w:rsid w:val="00554AB1"/>
    <w:rsid w:val="00556410"/>
    <w:rsid w:val="005867A0"/>
    <w:rsid w:val="00591EB8"/>
    <w:rsid w:val="005C6C82"/>
    <w:rsid w:val="005D6ABC"/>
    <w:rsid w:val="005E3951"/>
    <w:rsid w:val="005F0644"/>
    <w:rsid w:val="00631253"/>
    <w:rsid w:val="006454AA"/>
    <w:rsid w:val="006B4E39"/>
    <w:rsid w:val="006D4AB1"/>
    <w:rsid w:val="006E1356"/>
    <w:rsid w:val="00721709"/>
    <w:rsid w:val="0072173E"/>
    <w:rsid w:val="00735F0F"/>
    <w:rsid w:val="007823C2"/>
    <w:rsid w:val="007860AF"/>
    <w:rsid w:val="007F3BF5"/>
    <w:rsid w:val="00824424"/>
    <w:rsid w:val="00835674"/>
    <w:rsid w:val="008812C1"/>
    <w:rsid w:val="0088315D"/>
    <w:rsid w:val="008B0F41"/>
    <w:rsid w:val="009012C7"/>
    <w:rsid w:val="00901448"/>
    <w:rsid w:val="0090512A"/>
    <w:rsid w:val="0091275C"/>
    <w:rsid w:val="009232EC"/>
    <w:rsid w:val="00931B0D"/>
    <w:rsid w:val="00946E55"/>
    <w:rsid w:val="00956791"/>
    <w:rsid w:val="00970C36"/>
    <w:rsid w:val="00974A9D"/>
    <w:rsid w:val="009D049E"/>
    <w:rsid w:val="00A13517"/>
    <w:rsid w:val="00A47188"/>
    <w:rsid w:val="00A5340A"/>
    <w:rsid w:val="00AC23EB"/>
    <w:rsid w:val="00AD0BC0"/>
    <w:rsid w:val="00AE626C"/>
    <w:rsid w:val="00B2757A"/>
    <w:rsid w:val="00B342E0"/>
    <w:rsid w:val="00BC160B"/>
    <w:rsid w:val="00C930AD"/>
    <w:rsid w:val="00CE2582"/>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52229"/>
    <w:rsid w:val="00F70A6E"/>
    <w:rsid w:val="00F76362"/>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hyperlink" Target="https://ayende.com/blog/3137/infrastructure-ignoranc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hyperlink" Target="https://deviq.com/persistence-ignorance/"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urcemaking.com/refactoring/smells/inappropriate-intimacy" TargetMode="External"/><Relationship Id="rId11" Type="http://schemas.openxmlformats.org/officeDocument/2006/relationships/hyperlink" Target="https://domainlanguage.com/ddd/"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yende.com/blog/3137/infrastructure-ignor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iq.com/persistence-ignora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8</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89</cp:revision>
  <dcterms:created xsi:type="dcterms:W3CDTF">2022-12-24T10:53:00Z</dcterms:created>
  <dcterms:modified xsi:type="dcterms:W3CDTF">2022-12-27T08:52:00Z</dcterms:modified>
</cp:coreProperties>
</file>