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r w:rsidRPr="00486BA6">
        <w:t xml:space="preserve">I. </w:t>
      </w:r>
      <w:r w:rsidR="00FE613A">
        <w:t>Introduction</w:t>
      </w:r>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t>(</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w:t>
      </w:r>
      <w:r w:rsidR="00CE6FFC">
        <w:t xml:space="preserve">, </w:t>
      </w:r>
      <w:r w:rsidRPr="009341DC">
        <w:t>Zündorf, A.</w:t>
      </w:r>
      <w:r w:rsidR="00CE6FFC">
        <w:t>,</w:t>
      </w:r>
      <w:r w:rsidRPr="009341DC">
        <w:t xml:space="preserve"> 2017</w:t>
      </w:r>
      <w:r>
        <w:t>)</w:t>
      </w:r>
      <w:r w:rsidRPr="009341DC">
        <w:t>.</w:t>
      </w:r>
      <w:r w:rsidR="00240D85" w:rsidRPr="00240D85">
        <w:t xml:space="preserve"> </w:t>
      </w:r>
      <w:r w:rsidR="00240D85" w:rsidRPr="00240D85">
        <w:t>Domain-driven design gives patterns, activities, and examples of how to build a domain model, which is its main artifact</w:t>
      </w:r>
      <w:r w:rsidR="00240D85">
        <w:t xml:space="preserve"> (</w:t>
      </w:r>
      <w:bookmarkStart w:id="0"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0"/>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r w:rsidRPr="00486BA6">
        <w:rPr>
          <w:lang w:val="en-US"/>
        </w:rPr>
        <w:lastRenderedPageBreak/>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r>
        <w:rPr>
          <w:lang w:val="en-US"/>
        </w:rPr>
        <w:lastRenderedPageBreak/>
        <w:t>Domain-Driven Design</w:t>
      </w:r>
    </w:p>
    <w:p w14:paraId="05821664" w14:textId="1817D588"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2A1F0ECA" w:rsidR="000B6D0C" w:rsidRDefault="009B255A" w:rsidP="00083C8D">
      <w:pPr>
        <w:rPr>
          <w:lang w:val="en-US"/>
        </w:rPr>
      </w:pPr>
      <w:r w:rsidRPr="009B255A">
        <w:rPr>
          <w:lang w:val="en-US"/>
        </w:rPr>
        <w:t xml:space="preserve">Business logic complexity is the first indicator of how complicated the problem domain in which a software works is. For example, a CRUD application that performs basic create, read, update, and delete operations doesn't carry a lot of complexity with it. At the same time, an </w:t>
      </w:r>
      <w:r w:rsidR="00697835">
        <w:rPr>
          <w:lang w:val="en-US"/>
        </w:rPr>
        <w:t xml:space="preserve">order </w:t>
      </w:r>
      <w:proofErr w:type="gramStart"/>
      <w:r w:rsidR="00697835">
        <w:rPr>
          <w:lang w:val="en-US"/>
        </w:rPr>
        <w:t xml:space="preserve">management </w:t>
      </w:r>
      <w:r w:rsidRPr="009B255A">
        <w:rPr>
          <w:lang w:val="en-US"/>
        </w:rPr>
        <w:t xml:space="preserve"> system</w:t>
      </w:r>
      <w:proofErr w:type="gramEnd"/>
      <w:r w:rsidRPr="009B255A">
        <w:rPr>
          <w:lang w:val="en-US"/>
        </w:rPr>
        <w:t>,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 xml:space="preserve">Domain-driven design (DDD) says that use cases should be modeled based on how the business </w:t>
      </w:r>
      <w:proofErr w:type="gramStart"/>
      <w:r w:rsidRPr="00033DE6">
        <w:t>actually works</w:t>
      </w:r>
      <w:proofErr w:type="gramEnd"/>
      <w:r w:rsidRPr="00033DE6">
        <w:t>.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5D60A88B" w14:textId="25C16E22" w:rsidR="00346BDE" w:rsidRDefault="00B213C7" w:rsidP="00346BDE">
      <w:pPr>
        <w:rPr>
          <w:color w:val="252525"/>
        </w:rPr>
      </w:pPr>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 xml:space="preserve">But the important part is not the patterns </w:t>
      </w:r>
      <w:proofErr w:type="gramStart"/>
      <w:r w:rsidR="00D85DCA" w:rsidRPr="00D85DCA">
        <w:t>themselves, but</w:t>
      </w:r>
      <w:proofErr w:type="gramEnd"/>
      <w:r w:rsidR="00D85DCA" w:rsidRPr="00D85DCA">
        <w:t xml:space="preserve"> organizing the code so it is aligned with the business problems</w:t>
      </w:r>
      <w:r w:rsidR="00D85DCA">
        <w:t xml:space="preserve"> (</w:t>
      </w:r>
      <w:r w:rsidR="00D85DCA" w:rsidRPr="00D85DCA">
        <w:t>Bill Wagner,</w:t>
      </w:r>
      <w:r w:rsidR="00D85DCA">
        <w:t xml:space="preserve"> 2022)</w:t>
      </w:r>
      <w:r w:rsidR="00D85DCA" w:rsidRPr="00D85DCA">
        <w:t>.</w:t>
      </w:r>
      <w:r w:rsidR="00D85DCA">
        <w:t xml:space="preserve"> </w:t>
      </w:r>
      <w:r w:rsidR="00AC14FA">
        <w:t>Core principles of DDD make it easier for domain experts and software engineers to talk to each other by defining an explicit ubiquitous (</w:t>
      </w:r>
      <w:proofErr w:type="gramStart"/>
      <w:r w:rsidR="00803E1B" w:rsidRPr="00803E1B">
        <w:t>universal</w:t>
      </w:r>
      <w:r w:rsidR="00AC14FA">
        <w:t>)  language</w:t>
      </w:r>
      <w:proofErr w:type="gramEnd"/>
      <w:r w:rsidR="00AC14FA">
        <w:t xml:space="preserv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proofErr w:type="spellStart"/>
      <w:r w:rsidR="004D189C" w:rsidRPr="004D189C">
        <w:rPr>
          <w:color w:val="252525"/>
        </w:rPr>
        <w:t>Hippchen</w:t>
      </w:r>
      <w:proofErr w:type="spellEnd"/>
      <w:r w:rsidR="004D189C" w:rsidRPr="004D189C">
        <w:rPr>
          <w:color w:val="252525"/>
        </w:rPr>
        <w:t>,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65839996" w14:textId="4599BFB0" w:rsidR="00697835" w:rsidRDefault="00697835" w:rsidP="00346BDE">
      <w:pPr>
        <w:rPr>
          <w:color w:val="252525"/>
        </w:rPr>
      </w:pPr>
      <w:r w:rsidRPr="00697835">
        <w:rPr>
          <w:color w:val="252525"/>
        </w:rPr>
        <w:t>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lastRenderedPageBreak/>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65957DD8" w14:textId="3E934E56" w:rsidR="00346BDE" w:rsidRPr="00346BDE" w:rsidRDefault="004D411D" w:rsidP="00616367">
      <w:pPr>
        <w:rPr>
          <w:color w:val="252525"/>
        </w:rPr>
      </w:pPr>
      <w:r w:rsidRPr="004D411D">
        <w:rPr>
          <w:color w:val="252525"/>
        </w:rPr>
        <w:t>These three concepts</w:t>
      </w:r>
      <w:r>
        <w:rPr>
          <w:color w:val="252525"/>
        </w:rPr>
        <w:t xml:space="preserve">: </w:t>
      </w:r>
      <w:r w:rsidRPr="004D411D">
        <w:rPr>
          <w:color w:val="252525"/>
        </w:rPr>
        <w:t>ubiquitous language, bounded context, and core domain—</w:t>
      </w:r>
      <w:r w:rsidRPr="004D411D">
        <w:rPr>
          <w:color w:val="252525"/>
        </w:rPr>
        <w:t xml:space="preserve"> </w:t>
      </w:r>
      <w:r w:rsidRPr="004D411D">
        <w:rPr>
          <w:color w:val="252525"/>
        </w:rPr>
        <w:t xml:space="preserve">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 xml:space="preserve">are </w:t>
      </w:r>
      <w:r>
        <w:t>described in Table 2</w:t>
      </w:r>
      <w:r>
        <w:t>:</w:t>
      </w:r>
    </w:p>
    <w:p w14:paraId="0F14660C" w14:textId="46C01154" w:rsidR="004D189C" w:rsidRDefault="00803E1B" w:rsidP="00AC14FA">
      <w:pPr>
        <w:pStyle w:val="NormalWeb"/>
        <w:rPr>
          <w:color w:val="252525"/>
        </w:rPr>
      </w:pPr>
      <w:r>
        <w:rPr>
          <w:color w:val="252525"/>
        </w:rPr>
        <w:t> </w:t>
      </w:r>
      <w:r w:rsidR="006C02D3">
        <w:rPr>
          <w:noProof/>
        </w:rPr>
        <w:drawing>
          <wp:inline distT="0" distB="0" distL="0" distR="0" wp14:anchorId="37F44122" wp14:editId="06FD0C09">
            <wp:extent cx="5632704" cy="54766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4372" cy="5497758"/>
                    </a:xfrm>
                    <a:prstGeom prst="rect">
                      <a:avLst/>
                    </a:prstGeom>
                  </pic:spPr>
                </pic:pic>
              </a:graphicData>
            </a:graphic>
          </wp:inline>
        </w:drawing>
      </w:r>
    </w:p>
    <w:p w14:paraId="162A2197" w14:textId="69575C45" w:rsidR="004D189C" w:rsidRDefault="004D189C" w:rsidP="00AC14FA">
      <w:pPr>
        <w:pStyle w:val="NormalWeb"/>
        <w:rPr>
          <w:color w:val="252525"/>
        </w:rPr>
      </w:pPr>
    </w:p>
    <w:p w14:paraId="577BA8AB" w14:textId="77777777" w:rsidR="004D189C" w:rsidRDefault="004D189C" w:rsidP="00AC14FA">
      <w:pPr>
        <w:pStyle w:val="NormalWeb"/>
        <w:rPr>
          <w:color w:val="252525"/>
        </w:rPr>
      </w:pPr>
    </w:p>
    <w:p w14:paraId="66611D0A" w14:textId="33845085"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7611D30F" w14:textId="3AA93C2C" w:rsidR="00E5004A" w:rsidRDefault="00E5004A" w:rsidP="00E5004A">
      <w:pPr>
        <w:pStyle w:val="Heading3"/>
        <w:numPr>
          <w:ilvl w:val="0"/>
          <w:numId w:val="3"/>
        </w:numPr>
      </w:pPr>
      <w:r w:rsidRPr="00946E55">
        <w:lastRenderedPageBreak/>
        <w:t>Command and Query Responsibility Segregation</w:t>
      </w:r>
    </w:p>
    <w:p w14:paraId="75207309" w14:textId="77777777" w:rsidR="005E2897"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0F88F465"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1DCA82C2" w:rsidR="00E5004A" w:rsidRDefault="00E5004A" w:rsidP="009C1468">
      <w:pPr>
        <w:pStyle w:val="Heading3"/>
        <w:numPr>
          <w:ilvl w:val="0"/>
          <w:numId w:val="3"/>
        </w:numPr>
      </w:pPr>
      <w:r w:rsidRPr="00E5004A">
        <w:t>Event-sourcing</w:t>
      </w:r>
    </w:p>
    <w:p w14:paraId="4304CDEA" w14:textId="37C1141B" w:rsidR="009F1EF1" w:rsidRDefault="000755EA" w:rsidP="009C1468">
      <w:pPr>
        <w:pStyle w:val="Heading3"/>
        <w:numPr>
          <w:ilvl w:val="0"/>
          <w:numId w:val="3"/>
        </w:numPr>
      </w:pPr>
      <w:r>
        <w:t>T</w:t>
      </w:r>
      <w:r w:rsidR="00E5004A" w:rsidRPr="00E5004A">
        <w:t>esting</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09DD90A7" w:rsidR="005F022C" w:rsidRDefault="005F022C" w:rsidP="005F022C">
      <w:pPr>
        <w:rPr>
          <w:lang w:val="en-US"/>
        </w:rPr>
      </w:pPr>
      <w:proofErr w:type="spellStart"/>
      <w:r>
        <w:rPr>
          <w:lang w:val="en-US"/>
        </w:rPr>
        <w:t>Asdasdadas</w:t>
      </w:r>
      <w:proofErr w:type="spellEnd"/>
    </w:p>
    <w:p w14:paraId="7F210C4B" w14:textId="381DB829" w:rsidR="00AB1E90" w:rsidRDefault="00A009C5" w:rsidP="00AB1E90">
      <w:pPr>
        <w:pStyle w:val="Heading2"/>
        <w:rPr>
          <w:lang w:val="en-US"/>
        </w:rPr>
      </w:pPr>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lastRenderedPageBreak/>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r w:rsidRPr="00541FA8">
        <w:t>REFERENCES</w:t>
      </w:r>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5E2BCFFE" w:rsidR="00541FA8" w:rsidRPr="00541FA8" w:rsidRDefault="0063101A" w:rsidP="0063101A">
      <w:r>
        <w:t>[5] E. Evans, Domain-Driven Design: Tackling Complexity in the Heart of Software. Addison-Wesley Professional, 2003.</w:t>
      </w: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10D3B"/>
    <w:rsid w:val="00033DE6"/>
    <w:rsid w:val="00041DF4"/>
    <w:rsid w:val="00043F02"/>
    <w:rsid w:val="00046E71"/>
    <w:rsid w:val="00057011"/>
    <w:rsid w:val="000755EA"/>
    <w:rsid w:val="00083C8D"/>
    <w:rsid w:val="000B6D0C"/>
    <w:rsid w:val="000E0396"/>
    <w:rsid w:val="000E0686"/>
    <w:rsid w:val="0014038C"/>
    <w:rsid w:val="002038E7"/>
    <w:rsid w:val="00240D85"/>
    <w:rsid w:val="002464F0"/>
    <w:rsid w:val="0025547E"/>
    <w:rsid w:val="002D52DC"/>
    <w:rsid w:val="00346BDE"/>
    <w:rsid w:val="00442BCA"/>
    <w:rsid w:val="00453180"/>
    <w:rsid w:val="00486BA6"/>
    <w:rsid w:val="004A34F4"/>
    <w:rsid w:val="004B7E41"/>
    <w:rsid w:val="004D189C"/>
    <w:rsid w:val="004D411D"/>
    <w:rsid w:val="004E22E7"/>
    <w:rsid w:val="004E34C6"/>
    <w:rsid w:val="00541FA8"/>
    <w:rsid w:val="00556E97"/>
    <w:rsid w:val="00587AB1"/>
    <w:rsid w:val="005D6CA6"/>
    <w:rsid w:val="005E2897"/>
    <w:rsid w:val="005F022C"/>
    <w:rsid w:val="00616367"/>
    <w:rsid w:val="0063101A"/>
    <w:rsid w:val="00672859"/>
    <w:rsid w:val="00697835"/>
    <w:rsid w:val="006C02D3"/>
    <w:rsid w:val="00721BB0"/>
    <w:rsid w:val="00724BDE"/>
    <w:rsid w:val="00725B04"/>
    <w:rsid w:val="007A27EF"/>
    <w:rsid w:val="007C685E"/>
    <w:rsid w:val="007F4B53"/>
    <w:rsid w:val="00803E1B"/>
    <w:rsid w:val="00806BD8"/>
    <w:rsid w:val="008113E5"/>
    <w:rsid w:val="00816E2A"/>
    <w:rsid w:val="00844316"/>
    <w:rsid w:val="00856CFD"/>
    <w:rsid w:val="00872508"/>
    <w:rsid w:val="00877930"/>
    <w:rsid w:val="008779BF"/>
    <w:rsid w:val="00890843"/>
    <w:rsid w:val="008D42F4"/>
    <w:rsid w:val="009341DC"/>
    <w:rsid w:val="00947A58"/>
    <w:rsid w:val="00993C1C"/>
    <w:rsid w:val="009A2AC1"/>
    <w:rsid w:val="009B255A"/>
    <w:rsid w:val="009C1468"/>
    <w:rsid w:val="009D2C5F"/>
    <w:rsid w:val="009F1EF1"/>
    <w:rsid w:val="00A009C5"/>
    <w:rsid w:val="00A52F41"/>
    <w:rsid w:val="00A56486"/>
    <w:rsid w:val="00A61D68"/>
    <w:rsid w:val="00AB1E90"/>
    <w:rsid w:val="00AC14FA"/>
    <w:rsid w:val="00AC7992"/>
    <w:rsid w:val="00AD2691"/>
    <w:rsid w:val="00AF1CD1"/>
    <w:rsid w:val="00B213C7"/>
    <w:rsid w:val="00B461F1"/>
    <w:rsid w:val="00B9627C"/>
    <w:rsid w:val="00C00E66"/>
    <w:rsid w:val="00C40BB6"/>
    <w:rsid w:val="00C81F8B"/>
    <w:rsid w:val="00CD31FE"/>
    <w:rsid w:val="00CE6FFC"/>
    <w:rsid w:val="00CF4320"/>
    <w:rsid w:val="00D13F40"/>
    <w:rsid w:val="00D62850"/>
    <w:rsid w:val="00D85DCA"/>
    <w:rsid w:val="00D87E5C"/>
    <w:rsid w:val="00D969A5"/>
    <w:rsid w:val="00DF023E"/>
    <w:rsid w:val="00E5004A"/>
    <w:rsid w:val="00E76B78"/>
    <w:rsid w:val="00EB10FD"/>
    <w:rsid w:val="00EC3131"/>
    <w:rsid w:val="00EE5629"/>
    <w:rsid w:val="00EF0A7E"/>
    <w:rsid w:val="00EF3B53"/>
    <w:rsid w:val="00F234BE"/>
    <w:rsid w:val="00F620D7"/>
    <w:rsid w:val="00FA2718"/>
    <w:rsid w:val="00FB590A"/>
    <w:rsid w:val="00FC138D"/>
    <w:rsid w:val="00FD5C6E"/>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B1E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98</cp:revision>
  <dcterms:created xsi:type="dcterms:W3CDTF">2022-12-27T07:09:00Z</dcterms:created>
  <dcterms:modified xsi:type="dcterms:W3CDTF">2022-12-28T09:07:00Z</dcterms:modified>
</cp:coreProperties>
</file>