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4FBC3056"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1972CB6" w14:textId="65C80ABE" w:rsidR="008E70E1" w:rsidRDefault="008E70E1" w:rsidP="00AC7992">
      <w:r w:rsidRPr="008E70E1">
        <w:t>All of the aforementioned types are created as monolithic large core applications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p>
    <w:p w14:paraId="033AE4D5" w14:textId="5C9E104B" w:rsidR="00043F02" w:rsidRDefault="00043F02" w:rsidP="00043F02">
      <w:pPr>
        <w:pStyle w:val="Heading4"/>
        <w:numPr>
          <w:ilvl w:val="0"/>
          <w:numId w:val="4"/>
        </w:numPr>
      </w:pPr>
      <w:r>
        <w:t>Microservices</w:t>
      </w:r>
    </w:p>
    <w:p w14:paraId="6FDE2580" w14:textId="19DA78F8" w:rsidR="00043F02" w:rsidRPr="00043F02" w:rsidRDefault="00383F5D" w:rsidP="00043F02">
      <w:r w:rsidRPr="00383F5D">
        <w:t>A monolithic application is a solitary, integrated unit, whereas a microservices architecture divides it into a number of smaller units.</w:t>
      </w:r>
      <w:r w:rsidRPr="00383F5D">
        <w:t xml:space="preserve"> </w:t>
      </w:r>
      <w:r w:rsidR="00E14A39"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00E14A39" w:rsidRPr="00E14A39">
        <w:t>. These services communicate with one another via well-defined APIs.</w:t>
      </w:r>
      <w:r w:rsidR="00E14A39">
        <w:t xml:space="preserve"> </w:t>
      </w:r>
      <w:r w:rsidR="00E14A39" w:rsidRPr="00E14A39">
        <w:t>Large, sophisticated applications may be delivered quickly, consistently, and reliably thanks to the microservices design.</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383F5D">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383F5D">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383F5D">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383F5D">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383F5D">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383F5D">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383F5D">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383F5D">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383F5D">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383F5D">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383F5D">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383F5D">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383F5D">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383F5D">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383F5D">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383F5D">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383F5D">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383F5D">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17EA7"/>
    <w:rsid w:val="0013522A"/>
    <w:rsid w:val="0014038C"/>
    <w:rsid w:val="00152367"/>
    <w:rsid w:val="00170A89"/>
    <w:rsid w:val="00171B4C"/>
    <w:rsid w:val="00194A5B"/>
    <w:rsid w:val="001C2783"/>
    <w:rsid w:val="002038E7"/>
    <w:rsid w:val="00240D85"/>
    <w:rsid w:val="002464F0"/>
    <w:rsid w:val="0025547E"/>
    <w:rsid w:val="00274229"/>
    <w:rsid w:val="00286E7E"/>
    <w:rsid w:val="0029050A"/>
    <w:rsid w:val="002A1260"/>
    <w:rsid w:val="002D52DC"/>
    <w:rsid w:val="0032146A"/>
    <w:rsid w:val="003224FA"/>
    <w:rsid w:val="00340550"/>
    <w:rsid w:val="00346BDE"/>
    <w:rsid w:val="00366209"/>
    <w:rsid w:val="00383F5D"/>
    <w:rsid w:val="003B1B74"/>
    <w:rsid w:val="003E7BB4"/>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8E70E1"/>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C00E66"/>
    <w:rsid w:val="00C40BB6"/>
    <w:rsid w:val="00C6400E"/>
    <w:rsid w:val="00C81F8B"/>
    <w:rsid w:val="00CD22D2"/>
    <w:rsid w:val="00CD31FE"/>
    <w:rsid w:val="00CE6FFC"/>
    <w:rsid w:val="00CF4320"/>
    <w:rsid w:val="00D00B8A"/>
    <w:rsid w:val="00D06B0A"/>
    <w:rsid w:val="00D13F40"/>
    <w:rsid w:val="00D42F31"/>
    <w:rsid w:val="00D62850"/>
    <w:rsid w:val="00D85DCA"/>
    <w:rsid w:val="00D87E5C"/>
    <w:rsid w:val="00D96951"/>
    <w:rsid w:val="00D969A5"/>
    <w:rsid w:val="00DC0916"/>
    <w:rsid w:val="00DF023E"/>
    <w:rsid w:val="00DF1ED9"/>
    <w:rsid w:val="00E034FF"/>
    <w:rsid w:val="00E14A39"/>
    <w:rsid w:val="00E36C63"/>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17</Pages>
  <Words>5983</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160</cp:revision>
  <dcterms:created xsi:type="dcterms:W3CDTF">2022-12-27T07:09:00Z</dcterms:created>
  <dcterms:modified xsi:type="dcterms:W3CDTF">2023-01-08T16:46:00Z</dcterms:modified>
</cp:coreProperties>
</file>