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w:t>
      </w:r>
      <w:r w:rsidR="007F36F3" w:rsidRPr="007F36F3">
        <w:t xml:space="preserve"> (Fowler, </w:t>
      </w:r>
      <w:r w:rsidR="007F36F3" w:rsidRPr="007F36F3">
        <w:t>2011</w:t>
      </w:r>
      <w:r w:rsidR="007F36F3" w:rsidRPr="007F36F3">
        <w:t>)</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lastRenderedPageBreak/>
        <w:t>Event-sourcing</w:t>
      </w:r>
      <w:bookmarkEnd w:id="8"/>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7B5B791F" w14:textId="3D6AE503"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lastRenderedPageBreak/>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542D7F">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542D7F">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542D7F">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542D7F">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542D7F">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542D7F">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542D7F">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542D7F">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542D7F">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542D7F">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542D7F">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542D7F">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542D7F">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542D7F">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542D7F">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542D7F">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542D7F">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542D7F">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94A4D"/>
    <w:rsid w:val="003B1B74"/>
    <w:rsid w:val="003B4DFA"/>
    <w:rsid w:val="003C0CE0"/>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26C36"/>
    <w:rsid w:val="00536F16"/>
    <w:rsid w:val="00541FA8"/>
    <w:rsid w:val="00542D7F"/>
    <w:rsid w:val="00556E97"/>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B2749"/>
    <w:rsid w:val="006B6F33"/>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D273A"/>
    <w:rsid w:val="008D42F4"/>
    <w:rsid w:val="008D6166"/>
    <w:rsid w:val="008E192E"/>
    <w:rsid w:val="008E70E1"/>
    <w:rsid w:val="009341DC"/>
    <w:rsid w:val="00947A58"/>
    <w:rsid w:val="00960C3D"/>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F1CD1"/>
    <w:rsid w:val="00B10BB7"/>
    <w:rsid w:val="00B213C7"/>
    <w:rsid w:val="00B461F1"/>
    <w:rsid w:val="00B9627C"/>
    <w:rsid w:val="00BA017B"/>
    <w:rsid w:val="00BB7FAC"/>
    <w:rsid w:val="00BD1523"/>
    <w:rsid w:val="00BE2C1B"/>
    <w:rsid w:val="00BF1914"/>
    <w:rsid w:val="00C00E66"/>
    <w:rsid w:val="00C068B4"/>
    <w:rsid w:val="00C078D9"/>
    <w:rsid w:val="00C40BB6"/>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85FFD"/>
    <w:rsid w:val="00FA2718"/>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5</Pages>
  <Words>5759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243</cp:revision>
  <dcterms:created xsi:type="dcterms:W3CDTF">2022-12-27T07:09:00Z</dcterms:created>
  <dcterms:modified xsi:type="dcterms:W3CDTF">2023-01-10T11:09:00Z</dcterms:modified>
</cp:coreProperties>
</file>