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p>
    <w:p w14:paraId="425B815D" w14:textId="4B7EB187" w:rsidR="00FE613A" w:rsidRDefault="00FE613A" w:rsidP="00FE613A">
      <w:pPr>
        <w:rPr>
          <w:lang w:val="en-US"/>
        </w:rPr>
      </w:pPr>
    </w:p>
    <w:p w14:paraId="3BB01F87" w14:textId="108640B5" w:rsidR="00FE613A" w:rsidRDefault="00FE613A" w:rsidP="00FE613A">
      <w:pPr>
        <w:pStyle w:val="Heading2"/>
        <w:jc w:val="both"/>
      </w:pPr>
      <w:r w:rsidRPr="00FA0234">
        <w:t>Abstract</w:t>
      </w:r>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r w:rsidRPr="00486BA6">
        <w:t xml:space="preserve">I. </w:t>
      </w:r>
      <w:r w:rsidR="00FE613A">
        <w:t>Introduction</w:t>
      </w:r>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0"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0"/>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r w:rsidRPr="00486BA6">
        <w:rPr>
          <w:lang w:val="en-US"/>
        </w:rPr>
        <w:t xml:space="preserve">II. </w:t>
      </w:r>
      <w:r w:rsidR="00083C8D">
        <w:rPr>
          <w:lang w:val="en-US"/>
        </w:rPr>
        <w:t>T</w:t>
      </w:r>
      <w:r w:rsidR="00083C8D" w:rsidRPr="00083C8D">
        <w:rPr>
          <w:lang w:val="en-US"/>
        </w:rPr>
        <w:t>heoretical foundation</w:t>
      </w:r>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r>
        <w:rPr>
          <w:lang w:val="en-US"/>
        </w:rPr>
        <w:t>Cloud</w:t>
      </w:r>
      <w:r w:rsidR="009C1468">
        <w:rPr>
          <w:lang w:val="en-US"/>
        </w:rPr>
        <w:t>-</w:t>
      </w:r>
      <w:r>
        <w:rPr>
          <w:lang w:val="en-US"/>
        </w:rPr>
        <w:t>Native Services</w:t>
      </w:r>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028D5678"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33AE4D5" w14:textId="5C9E104B" w:rsidR="00043F02" w:rsidRDefault="00043F02" w:rsidP="00043F02">
      <w:pPr>
        <w:pStyle w:val="Heading4"/>
        <w:numPr>
          <w:ilvl w:val="0"/>
          <w:numId w:val="4"/>
        </w:numPr>
      </w:pPr>
      <w:r>
        <w:t>Microservices</w:t>
      </w:r>
    </w:p>
    <w:p w14:paraId="36E3FCBE" w14:textId="38519B35" w:rsidR="009A2AC1" w:rsidRDefault="00721BB0" w:rsidP="00043F02">
      <w:r>
        <w:t>.....</w:t>
      </w:r>
    </w:p>
    <w:p w14:paraId="6FDE2580" w14:textId="559B1A76" w:rsidR="00043F02" w:rsidRPr="00043F02" w:rsidRDefault="009A2AC1" w:rsidP="00043F02">
      <w:r>
        <w:br w:type="page"/>
      </w:r>
    </w:p>
    <w:p w14:paraId="6A72E5E4" w14:textId="56956313" w:rsidR="00083C8D" w:rsidRDefault="00083C8D" w:rsidP="00083C8D">
      <w:pPr>
        <w:pStyle w:val="Heading3"/>
        <w:numPr>
          <w:ilvl w:val="0"/>
          <w:numId w:val="3"/>
        </w:numPr>
        <w:rPr>
          <w:lang w:val="en-US"/>
        </w:rPr>
      </w:pPr>
      <w:r>
        <w:rPr>
          <w:lang w:val="en-US"/>
        </w:rPr>
        <w:t>Domain-Driven Design</w:t>
      </w:r>
    </w:p>
    <w:p w14:paraId="05821664" w14:textId="1817D588"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5D60A88B" w14:textId="25C16E22" w:rsidR="00346BDE" w:rsidRDefault="00B213C7" w:rsidP="00346BDE">
      <w:pPr>
        <w:rPr>
          <w:color w:val="252525"/>
        </w:rPr>
      </w:pPr>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r w:rsidR="00D85DCA">
        <w:t xml:space="preserve"> </w:t>
      </w:r>
      <w:r w:rsidR="00AC14FA">
        <w:t>Core principles of DDD make it easier for domain experts and software engineers to talk to each other by defining an explicit ubiquitous (</w:t>
      </w:r>
      <w:r w:rsidR="00803E1B" w:rsidRPr="00803E1B">
        <w:t>universal</w:t>
      </w:r>
      <w:r w:rsidR="00AC14FA">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65839996" w14:textId="4599BFB0"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65957DD8" w14:textId="3E934E56" w:rsidR="00346BDE" w:rsidRPr="00346BDE" w:rsidRDefault="004D411D" w:rsidP="00616367">
      <w:pPr>
        <w:rPr>
          <w:color w:val="252525"/>
        </w:rPr>
      </w:pPr>
      <w:r w:rsidRPr="004D411D">
        <w:rPr>
          <w:color w:val="252525"/>
        </w:rPr>
        <w:t>These three concepts</w:t>
      </w:r>
      <w:r>
        <w:rPr>
          <w:color w:val="252525"/>
        </w:rPr>
        <w:t xml:space="preserve">: </w:t>
      </w:r>
      <w:r w:rsidRPr="004D411D">
        <w:rPr>
          <w:color w:val="252525"/>
        </w:rPr>
        <w:t xml:space="preserve">ubiquitous language, bounded context, and core domain— are the strategic elements </w:t>
      </w:r>
      <w:r>
        <w:rPr>
          <w:color w:val="252525"/>
        </w:rPr>
        <w:t xml:space="preserve">and </w:t>
      </w:r>
      <w:r w:rsidRPr="004D411D">
        <w:rPr>
          <w:color w:val="252525"/>
        </w:rPr>
        <w:t>the most important parts of domain-driven designThe other notions, such as entities, value objects, and repositories, comprise the tactics of how a software project should be built.</w:t>
      </w:r>
      <w:r>
        <w:rPr>
          <w:color w:val="252525"/>
        </w:rPr>
        <w:t xml:space="preserve"> They </w:t>
      </w:r>
      <w:r>
        <w:t>are described in Table 2:</w:t>
      </w:r>
    </w:p>
    <w:p w14:paraId="0F14660C" w14:textId="46C01154" w:rsidR="004D189C" w:rsidRDefault="00803E1B" w:rsidP="00AC14FA">
      <w:pPr>
        <w:pStyle w:val="NormalWeb"/>
        <w:rPr>
          <w:color w:val="252525"/>
        </w:rPr>
      </w:pPr>
      <w:r>
        <w:rPr>
          <w:color w:val="252525"/>
        </w:rPr>
        <w:t> </w:t>
      </w:r>
      <w:r w:rsidR="006C02D3">
        <w:rPr>
          <w:noProof/>
        </w:rPr>
        <w:drawing>
          <wp:inline distT="0" distB="0" distL="0" distR="0" wp14:anchorId="37F44122" wp14:editId="06FD0C09">
            <wp:extent cx="5632704" cy="54766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4372" cy="5497758"/>
                    </a:xfrm>
                    <a:prstGeom prst="rect">
                      <a:avLst/>
                    </a:prstGeom>
                  </pic:spPr>
                </pic:pic>
              </a:graphicData>
            </a:graphic>
          </wp:inline>
        </w:drawing>
      </w:r>
    </w:p>
    <w:p w14:paraId="162A2197" w14:textId="69575C45" w:rsidR="004D189C" w:rsidRDefault="004D189C" w:rsidP="00AC14FA">
      <w:pPr>
        <w:pStyle w:val="NormalWeb"/>
        <w:rPr>
          <w:color w:val="252525"/>
        </w:rPr>
      </w:pPr>
    </w:p>
    <w:p w14:paraId="577BA8AB" w14:textId="77777777" w:rsidR="004D189C" w:rsidRDefault="004D189C" w:rsidP="00AC14FA">
      <w:pPr>
        <w:pStyle w:val="NormalWeb"/>
        <w:rPr>
          <w:color w:val="252525"/>
        </w:rPr>
      </w:pPr>
    </w:p>
    <w:p w14:paraId="66611D0A" w14:textId="33845085" w:rsidR="00803E1B" w:rsidRDefault="00803E1B" w:rsidP="00AC14FA">
      <w:pPr>
        <w:pStyle w:val="NormalWeb"/>
        <w:rPr>
          <w:color w:val="252525"/>
        </w:rPr>
      </w:pPr>
      <w:r>
        <w:rPr>
          <w:color w:val="252525"/>
        </w:rPr>
        <w:t>The author of the DDD has emphasized the importance of using design patterns to enrich the ubiquitous language since its inception.</w:t>
      </w:r>
    </w:p>
    <w:p w14:paraId="7611D30F" w14:textId="3AA93C2C" w:rsidR="00E5004A" w:rsidRDefault="00E5004A" w:rsidP="00E5004A">
      <w:pPr>
        <w:pStyle w:val="Heading3"/>
        <w:numPr>
          <w:ilvl w:val="0"/>
          <w:numId w:val="3"/>
        </w:numPr>
      </w:pPr>
      <w:r w:rsidRPr="00946E55">
        <w:t>Command and Query Responsibility Segregation</w:t>
      </w:r>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6EF13D04" w14:textId="1E324B08" w:rsidR="00890843" w:rsidRPr="00890843"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5298C957" w14:textId="25E7FAA0" w:rsidR="00E5004A" w:rsidRDefault="00E5004A" w:rsidP="009C1468">
      <w:pPr>
        <w:pStyle w:val="Heading3"/>
        <w:numPr>
          <w:ilvl w:val="0"/>
          <w:numId w:val="3"/>
        </w:numPr>
      </w:pPr>
      <w:r w:rsidRPr="00E5004A">
        <w:t>Event-sourcing</w:t>
      </w:r>
    </w:p>
    <w:p w14:paraId="4F8681A0" w14:textId="33D6C428" w:rsidR="00033323" w:rsidRPr="00033323" w:rsidRDefault="00033323" w:rsidP="00033323">
      <w:r w:rsidRPr="00033323">
        <w:rPr>
          <w:shd w:val="clear" w:color="auto" w:fill="FFFFFF"/>
        </w:rPr>
        <w:t>Event sourcing is a strategy wherein the applications store the transactions but not the states. All the transactions since the beginning of time are applied when state is required</w:t>
      </w:r>
      <w:r w:rsidRPr="00033323">
        <w:rPr>
          <w:shd w:val="clear" w:color="auto" w:fill="FFFFFF"/>
        </w:rPr>
        <w:t xml:space="preserve"> </w:t>
      </w:r>
      <w:r>
        <w:rPr>
          <w:shd w:val="clear" w:color="auto" w:fill="FFFFFF"/>
        </w:rPr>
        <w:t>(</w:t>
      </w:r>
      <w:r>
        <w:rPr>
          <w:shd w:val="clear" w:color="auto" w:fill="FFFFFF"/>
        </w:rPr>
        <w:t>Martin, R. C.</w:t>
      </w:r>
      <w:r>
        <w:rPr>
          <w:shd w:val="clear" w:color="auto" w:fill="FFFFFF"/>
        </w:rPr>
        <w:t>,</w:t>
      </w:r>
      <w:r>
        <w:rPr>
          <w:shd w:val="clear" w:color="auto" w:fill="FFFFFF"/>
        </w:rPr>
        <w:t xml:space="preserve"> 2017</w:t>
      </w:r>
      <w:r>
        <w:rPr>
          <w:shd w:val="clear" w:color="auto" w:fill="FFFFFF"/>
        </w:rPr>
        <w:t>).</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408F09EF" w14:textId="02E0CDD8" w:rsidR="00AB1E90" w:rsidRDefault="00C40BB6" w:rsidP="00AB1E90">
      <w:pPr>
        <w:pStyle w:val="Heading2"/>
        <w:rPr>
          <w:lang w:val="en-US"/>
        </w:rPr>
      </w:pPr>
      <w:r w:rsidRPr="00486BA6">
        <w:rPr>
          <w:lang w:val="en-US"/>
        </w:rPr>
        <w:t>III.</w:t>
      </w:r>
      <w:r>
        <w:rPr>
          <w:lang w:val="en-US"/>
        </w:rPr>
        <w:t xml:space="preserve"> </w:t>
      </w:r>
      <w:r w:rsidR="00AB1E90" w:rsidRPr="00AB1E90">
        <w:rPr>
          <w:lang w:val="en-US"/>
        </w:rPr>
        <w:t>Dealing with the business complexity</w:t>
      </w:r>
    </w:p>
    <w:p w14:paraId="05458F72" w14:textId="7EB08AAC" w:rsidR="005F022C" w:rsidRDefault="006B2749" w:rsidP="006B2749">
      <w:pPr>
        <w:pStyle w:val="Heading3"/>
        <w:numPr>
          <w:ilvl w:val="0"/>
          <w:numId w:val="8"/>
        </w:numPr>
        <w:rPr>
          <w:lang w:val="en-US"/>
        </w:rPr>
      </w:pPr>
      <w:r w:rsidRPr="006B2749">
        <w:rPr>
          <w:lang w:val="en-US"/>
        </w:rPr>
        <w:t>Design</w:t>
      </w:r>
      <w:r w:rsidR="00DF1ED9">
        <w:rPr>
          <w:lang w:val="en-US"/>
        </w:rPr>
        <w:t>ing</w:t>
      </w:r>
      <w:r w:rsidRPr="006B2749">
        <w:rPr>
          <w:lang w:val="en-US"/>
        </w:rPr>
        <w:t xml:space="preserve"> a DDD-oriented service</w:t>
      </w:r>
    </w:p>
    <w:p w14:paraId="57528B9D" w14:textId="72C3F644"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CB8A68" w14:textId="4201C6EF" w:rsidR="00670F11" w:rsidRDefault="00670F11" w:rsidP="00670F11">
      <w:pPr>
        <w:pStyle w:val="Heading3"/>
        <w:numPr>
          <w:ilvl w:val="0"/>
          <w:numId w:val="8"/>
        </w:numPr>
        <w:rPr>
          <w:lang w:val="en-US"/>
        </w:rPr>
      </w:pPr>
      <w:r w:rsidRPr="00670F11">
        <w:rPr>
          <w:lang w:val="en-US"/>
        </w:rPr>
        <w:t>Layers in DDD</w:t>
      </w:r>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 xml:space="preserve">The domain model layer is where the business is expressed; it is the </w:t>
      </w:r>
      <w:r w:rsidR="005731FA">
        <w:lastRenderedPageBreak/>
        <w:t>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 w:name="_Hlk123040421"/>
      <w:r w:rsidR="001C2783" w:rsidRPr="00E00634">
        <w:t>César de la Torre</w:t>
      </w:r>
      <w:bookmarkEnd w:id="1"/>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2" w:name="_Hlk123126986"/>
      <w:r w:rsidR="00F16AD9" w:rsidRPr="00E00634">
        <w:t>Bill Wagner</w:t>
      </w:r>
      <w:bookmarkEnd w:id="2"/>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r>
        <w:rPr>
          <w:rFonts w:eastAsia="Times New Roman"/>
          <w:lang w:val="en-US"/>
        </w:rPr>
        <w:lastRenderedPageBreak/>
        <w:t>P</w:t>
      </w:r>
      <w:r w:rsidRPr="003E3E96">
        <w:rPr>
          <w:rFonts w:eastAsia="Times New Roman"/>
          <w:lang w:val="en-US"/>
        </w:rPr>
        <w:t>rinciples</w:t>
      </w:r>
    </w:p>
    <w:p w14:paraId="4FAFC7BF" w14:textId="25243429" w:rsidR="00F85FFD" w:rsidRPr="00F85FFD"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r w:rsidRPr="00F85FFD">
        <w:t>Clean code reads like well-written prose. Clean code never obscures the designer’s intent but rather is full of crisp abstractions and straightforward lines of control</w:t>
      </w:r>
      <w:r>
        <w:t xml:space="preserve"> (</w:t>
      </w:r>
      <w:r w:rsidRPr="00F85FFD">
        <w:t xml:space="preserve">Grady </w:t>
      </w:r>
      <w:proofErr w:type="spellStart"/>
      <w:r w:rsidRPr="00F85FFD">
        <w:t>Booch</w:t>
      </w:r>
      <w:proofErr w:type="spellEnd"/>
      <w:r>
        <w:t xml:space="preserve"> at all, 2007)</w:t>
      </w:r>
      <w:r w:rsidRPr="00F85FFD">
        <w:t>.</w:t>
      </w:r>
    </w:p>
    <w:p w14:paraId="46B23934" w14:textId="22092E89" w:rsidR="008B0043" w:rsidRDefault="008B0043" w:rsidP="008B0043">
      <w:pPr>
        <w:pStyle w:val="Heading3"/>
        <w:numPr>
          <w:ilvl w:val="0"/>
          <w:numId w:val="8"/>
        </w:numPr>
        <w:rPr>
          <w:lang w:val="en-US"/>
        </w:rPr>
      </w:pPr>
      <w:r>
        <w:rPr>
          <w:lang w:val="en-US"/>
        </w:rPr>
        <w:t>Limitations</w:t>
      </w:r>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r w:rsidRPr="00541FA8">
        <w:t>REFERENCES</w:t>
      </w:r>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8"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33323"/>
    <w:rsid w:val="00033DE6"/>
    <w:rsid w:val="00041DF4"/>
    <w:rsid w:val="00043F02"/>
    <w:rsid w:val="00046E71"/>
    <w:rsid w:val="00057011"/>
    <w:rsid w:val="000755EA"/>
    <w:rsid w:val="00083C8D"/>
    <w:rsid w:val="000B6D0C"/>
    <w:rsid w:val="000E0396"/>
    <w:rsid w:val="000E0686"/>
    <w:rsid w:val="0013522A"/>
    <w:rsid w:val="0014038C"/>
    <w:rsid w:val="00152367"/>
    <w:rsid w:val="00171B4C"/>
    <w:rsid w:val="00194A5B"/>
    <w:rsid w:val="001C2783"/>
    <w:rsid w:val="002038E7"/>
    <w:rsid w:val="00240D85"/>
    <w:rsid w:val="002464F0"/>
    <w:rsid w:val="0025547E"/>
    <w:rsid w:val="002D52DC"/>
    <w:rsid w:val="003224FA"/>
    <w:rsid w:val="00346BDE"/>
    <w:rsid w:val="00366209"/>
    <w:rsid w:val="00442BCA"/>
    <w:rsid w:val="00453180"/>
    <w:rsid w:val="00486BA6"/>
    <w:rsid w:val="004A34F4"/>
    <w:rsid w:val="004B7E41"/>
    <w:rsid w:val="004D189C"/>
    <w:rsid w:val="004D411D"/>
    <w:rsid w:val="004E22E7"/>
    <w:rsid w:val="004E34C6"/>
    <w:rsid w:val="00541FA8"/>
    <w:rsid w:val="00556E97"/>
    <w:rsid w:val="005731FA"/>
    <w:rsid w:val="0057632D"/>
    <w:rsid w:val="00587AB1"/>
    <w:rsid w:val="005D6CA6"/>
    <w:rsid w:val="005E2897"/>
    <w:rsid w:val="005F022C"/>
    <w:rsid w:val="00604CF5"/>
    <w:rsid w:val="00616367"/>
    <w:rsid w:val="0063101A"/>
    <w:rsid w:val="00670F11"/>
    <w:rsid w:val="00672859"/>
    <w:rsid w:val="00697835"/>
    <w:rsid w:val="006B2749"/>
    <w:rsid w:val="006C02D3"/>
    <w:rsid w:val="006F022E"/>
    <w:rsid w:val="00721BB0"/>
    <w:rsid w:val="00724BDE"/>
    <w:rsid w:val="00725B04"/>
    <w:rsid w:val="00727F3A"/>
    <w:rsid w:val="007A07C1"/>
    <w:rsid w:val="007A27EF"/>
    <w:rsid w:val="007C6765"/>
    <w:rsid w:val="007C685E"/>
    <w:rsid w:val="007F4B53"/>
    <w:rsid w:val="00803E1B"/>
    <w:rsid w:val="00806BD8"/>
    <w:rsid w:val="008113E5"/>
    <w:rsid w:val="00816E2A"/>
    <w:rsid w:val="00844316"/>
    <w:rsid w:val="00856CFD"/>
    <w:rsid w:val="00872508"/>
    <w:rsid w:val="00877930"/>
    <w:rsid w:val="008779BF"/>
    <w:rsid w:val="0088560E"/>
    <w:rsid w:val="00890843"/>
    <w:rsid w:val="008B0043"/>
    <w:rsid w:val="008D42F4"/>
    <w:rsid w:val="008D6166"/>
    <w:rsid w:val="009341DC"/>
    <w:rsid w:val="00947A58"/>
    <w:rsid w:val="00972744"/>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C14FA"/>
    <w:rsid w:val="00AC7992"/>
    <w:rsid w:val="00AD2691"/>
    <w:rsid w:val="00AF1CD1"/>
    <w:rsid w:val="00B213C7"/>
    <w:rsid w:val="00B461F1"/>
    <w:rsid w:val="00B9627C"/>
    <w:rsid w:val="00BB7FAC"/>
    <w:rsid w:val="00C00E66"/>
    <w:rsid w:val="00C40BB6"/>
    <w:rsid w:val="00C6400E"/>
    <w:rsid w:val="00C81F8B"/>
    <w:rsid w:val="00CD31FE"/>
    <w:rsid w:val="00CE6FFC"/>
    <w:rsid w:val="00CF4320"/>
    <w:rsid w:val="00D00B8A"/>
    <w:rsid w:val="00D13F40"/>
    <w:rsid w:val="00D62850"/>
    <w:rsid w:val="00D85DCA"/>
    <w:rsid w:val="00D87E5C"/>
    <w:rsid w:val="00D96951"/>
    <w:rsid w:val="00D969A5"/>
    <w:rsid w:val="00DF023E"/>
    <w:rsid w:val="00DF1ED9"/>
    <w:rsid w:val="00E034FF"/>
    <w:rsid w:val="00E5004A"/>
    <w:rsid w:val="00E55D9E"/>
    <w:rsid w:val="00E76B78"/>
    <w:rsid w:val="00E94FCA"/>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ende.com/blog/3137/infrastructure-ignoranc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132</cp:revision>
  <dcterms:created xsi:type="dcterms:W3CDTF">2022-12-27T07:09:00Z</dcterms:created>
  <dcterms:modified xsi:type="dcterms:W3CDTF">2022-12-28T16:35:00Z</dcterms:modified>
</cp:coreProperties>
</file>