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r w:rsidRPr="00420958">
        <w:rPr>
          <w:lang w:val="en-US"/>
        </w:rPr>
        <w:t>Erl</w:t>
      </w:r>
      <w:proofErr w:type="spellEnd"/>
      <w:r w:rsidRPr="00420958">
        <w:rPr>
          <w:lang w:val="en-US"/>
        </w:rPr>
        <w:t xml:space="preserve">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r w:rsidRPr="00302742">
        <w:rPr>
          <w:lang w:val="en-US"/>
        </w:rPr>
        <w:t>blocks.We</w:t>
      </w:r>
      <w:proofErr w:type="spell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Evans refers to this as a navigation map, and it lays out all of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This is a concept of the big picture. Many of these terms are described later on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307EB53A" w:rsidR="00A246C1" w:rsidRDefault="00A246C1" w:rsidP="00A246C1">
      <w:pPr>
        <w:rPr>
          <w:lang w:val="en-US"/>
        </w:rPr>
      </w:pPr>
      <w:r w:rsidRPr="00A246C1">
        <w:t>subdomains and bounded contexts are different.</w:t>
      </w:r>
      <w:r>
        <w:rPr>
          <w:lang w:val="bg-BG"/>
        </w:rPr>
        <w:t xml:space="preserve"> </w:t>
      </w:r>
      <w:r w:rsidRPr="00A246C1">
        <w:rPr>
          <w:lang w:val="bg-BG"/>
        </w:rPr>
        <w:t xml:space="preserve">A </w:t>
      </w:r>
      <w:proofErr w:type="spellStart"/>
      <w:r w:rsidRPr="00A246C1">
        <w:rPr>
          <w:lang w:val="bg-BG"/>
        </w:rPr>
        <w:t>subdomain</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business</w:t>
      </w:r>
      <w:proofErr w:type="spellEnd"/>
      <w:r w:rsidRPr="00A246C1">
        <w:rPr>
          <w:lang w:val="bg-BG"/>
        </w:rPr>
        <w:t xml:space="preserve"> </w:t>
      </w:r>
      <w:proofErr w:type="spellStart"/>
      <w:r w:rsidRPr="00A246C1">
        <w:rPr>
          <w:lang w:val="bg-BG"/>
        </w:rPr>
        <w:t>or</w:t>
      </w:r>
      <w:proofErr w:type="spellEnd"/>
      <w:r w:rsidRPr="00A246C1">
        <w:rPr>
          <w:lang w:val="bg-BG"/>
        </w:rPr>
        <w:t xml:space="preserve"> </w:t>
      </w:r>
      <w:proofErr w:type="spellStart"/>
      <w:r w:rsidRPr="00A246C1">
        <w:rPr>
          <w:lang w:val="bg-BG"/>
        </w:rPr>
        <w:t>domain</w:t>
      </w:r>
      <w:proofErr w:type="spellEnd"/>
      <w:r w:rsidRPr="00A246C1">
        <w:rPr>
          <w:lang w:val="bg-BG"/>
        </w:rPr>
        <w:t xml:space="preserve"> </w:t>
      </w:r>
      <w:proofErr w:type="spellStart"/>
      <w:r w:rsidRPr="00A246C1">
        <w:rPr>
          <w:lang w:val="bg-BG"/>
        </w:rPr>
        <w:t>activity</w:t>
      </w:r>
      <w:proofErr w:type="spellEnd"/>
      <w:r w:rsidRPr="00A246C1">
        <w:rPr>
          <w:lang w:val="bg-BG"/>
        </w:rPr>
        <w:t xml:space="preserve"> </w:t>
      </w:r>
      <w:proofErr w:type="spellStart"/>
      <w:r w:rsidRPr="00A246C1">
        <w:rPr>
          <w:lang w:val="bg-BG"/>
        </w:rPr>
        <w:t>is</w:t>
      </w:r>
      <w:proofErr w:type="spellEnd"/>
      <w:r w:rsidRPr="00A246C1">
        <w:rPr>
          <w:lang w:val="bg-BG"/>
        </w:rPr>
        <w:t xml:space="preserve"> </w:t>
      </w:r>
      <w:proofErr w:type="spellStart"/>
      <w:r w:rsidRPr="00A246C1">
        <w:rPr>
          <w:lang w:val="bg-BG"/>
        </w:rPr>
        <w:t>broken</w:t>
      </w:r>
      <w:proofErr w:type="spellEnd"/>
      <w:r w:rsidRPr="00A246C1">
        <w:rPr>
          <w:lang w:val="bg-BG"/>
        </w:rPr>
        <w:t xml:space="preserve"> </w:t>
      </w:r>
      <w:proofErr w:type="spellStart"/>
      <w:r w:rsidRPr="00A246C1">
        <w:rPr>
          <w:lang w:val="bg-BG"/>
        </w:rPr>
        <w:t>up</w:t>
      </w:r>
      <w:proofErr w:type="spellEnd"/>
      <w:r w:rsidRPr="00A246C1">
        <w:rPr>
          <w:lang w:val="bg-BG"/>
        </w:rPr>
        <w:t xml:space="preserve">, </w:t>
      </w:r>
      <w:proofErr w:type="spellStart"/>
      <w:r w:rsidRPr="00A246C1">
        <w:rPr>
          <w:lang w:val="bg-BG"/>
        </w:rPr>
        <w:t>while</w:t>
      </w:r>
      <w:proofErr w:type="spellEnd"/>
      <w:r w:rsidRPr="00A246C1">
        <w:rPr>
          <w:lang w:val="bg-BG"/>
        </w:rPr>
        <w:t xml:space="preserve"> a </w:t>
      </w:r>
      <w:proofErr w:type="spellStart"/>
      <w:r w:rsidRPr="00A246C1">
        <w:rPr>
          <w:lang w:val="bg-BG"/>
        </w:rPr>
        <w:t>bound</w:t>
      </w:r>
      <w:proofErr w:type="spellEnd"/>
      <w:r w:rsidRPr="00A246C1">
        <w:rPr>
          <w:lang w:val="bg-BG"/>
        </w:rPr>
        <w:t xml:space="preserve"> </w:t>
      </w:r>
      <w:proofErr w:type="spellStart"/>
      <w:r w:rsidRPr="00A246C1">
        <w:rPr>
          <w:lang w:val="bg-BG"/>
        </w:rPr>
        <w:t>context</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software</w:t>
      </w:r>
      <w:proofErr w:type="spellEnd"/>
      <w:r w:rsidRPr="00A246C1">
        <w:rPr>
          <w:lang w:val="bg-BG"/>
        </w:rPr>
        <w:t xml:space="preserve"> </w:t>
      </w:r>
      <w:proofErr w:type="spellStart"/>
      <w:r w:rsidRPr="00A246C1">
        <w:rPr>
          <w:lang w:val="bg-BG"/>
        </w:rPr>
        <w:t>and</w:t>
      </w:r>
      <w:proofErr w:type="spellEnd"/>
      <w:r w:rsidRPr="00A246C1">
        <w:rPr>
          <w:lang w:val="bg-BG"/>
        </w:rPr>
        <w:t xml:space="preserve"> </w:t>
      </w:r>
      <w:proofErr w:type="spellStart"/>
      <w:r w:rsidRPr="00A246C1">
        <w:rPr>
          <w:lang w:val="bg-BG"/>
        </w:rPr>
        <w:t>its</w:t>
      </w:r>
      <w:proofErr w:type="spellEnd"/>
      <w:r w:rsidRPr="00A246C1">
        <w:rPr>
          <w:lang w:val="bg-BG"/>
        </w:rPr>
        <w:t xml:space="preserve"> </w:t>
      </w:r>
      <w:proofErr w:type="spellStart"/>
      <w:r w:rsidRPr="00A246C1">
        <w:rPr>
          <w:lang w:val="bg-BG"/>
        </w:rPr>
        <w:t>development</w:t>
      </w:r>
      <w:proofErr w:type="spellEnd"/>
      <w:r w:rsidRPr="00A246C1">
        <w:rPr>
          <w:lang w:val="bg-BG"/>
        </w:rPr>
        <w:t xml:space="preserve"> </w:t>
      </w:r>
      <w:proofErr w:type="spellStart"/>
      <w:r w:rsidRPr="00A246C1">
        <w:rPr>
          <w:lang w:val="bg-BG"/>
        </w:rPr>
        <w:t>have</w:t>
      </w:r>
      <w:proofErr w:type="spellEnd"/>
      <w:r w:rsidRPr="00A246C1">
        <w:rPr>
          <w:lang w:val="bg-BG"/>
        </w:rPr>
        <w:t xml:space="preserve"> </w:t>
      </w:r>
      <w:proofErr w:type="spellStart"/>
      <w:r w:rsidRPr="00A246C1">
        <w:rPr>
          <w:lang w:val="bg-BG"/>
        </w:rPr>
        <w:t>been</w:t>
      </w:r>
      <w:proofErr w:type="spellEnd"/>
      <w:r w:rsidRPr="00A246C1">
        <w:rPr>
          <w:lang w:val="bg-BG"/>
        </w:rPr>
        <w:t xml:space="preserve"> </w:t>
      </w:r>
      <w:proofErr w:type="spellStart"/>
      <w:r w:rsidRPr="00A246C1">
        <w:rPr>
          <w:lang w:val="bg-BG"/>
        </w:rPr>
        <w:t>organized</w:t>
      </w:r>
      <w:proofErr w:type="spellEnd"/>
      <w:r w:rsidRPr="00A246C1">
        <w:rPr>
          <w:lang w:val="bg-BG"/>
        </w:rPr>
        <w:t>. </w:t>
      </w:r>
      <w:r>
        <w:rPr>
          <w:lang w:val="en-US"/>
        </w:rPr>
        <w:t xml:space="preserve"> </w:t>
      </w:r>
      <w:r w:rsidRPr="00A246C1">
        <w:rPr>
          <w:lang w:val="en-US"/>
        </w:rPr>
        <w:t>Quite often, these will match up perfectly, but not always.</w:t>
      </w:r>
    </w:p>
    <w:p w14:paraId="07FB4F6F" w14:textId="76C6A474" w:rsidR="005128EC" w:rsidRDefault="005128EC" w:rsidP="005128EC">
      <w:pPr>
        <w:pStyle w:val="Heading2"/>
        <w:rPr>
          <w:lang w:val="en-US"/>
        </w:rPr>
      </w:pPr>
      <w:r w:rsidRPr="005128EC">
        <w:rPr>
          <w:lang w:val="en-US"/>
        </w:rPr>
        <w:t>Understanding Entities</w:t>
      </w:r>
    </w:p>
    <w:p w14:paraId="3DA000AF" w14:textId="0D6CDFAA" w:rsidR="005128EC" w:rsidRDefault="005128EC" w:rsidP="005128EC">
      <w:pPr>
        <w:rPr>
          <w:lang w:val="en-US"/>
        </w:rPr>
      </w:pPr>
      <w:r w:rsidRPr="005128EC">
        <w:rPr>
          <w:lang w:val="en-US"/>
        </w:rPr>
        <w:t>Even though a DDD app is driven by behavior, objects are still needed.</w:t>
      </w:r>
      <w:r>
        <w:rPr>
          <w:lang w:val="en-US"/>
        </w:rPr>
        <w:t xml:space="preserve"> </w:t>
      </w:r>
      <w:r w:rsidRPr="005128EC">
        <w:rPr>
          <w:lang w:val="en-US"/>
        </w:rPr>
        <w:t>DDD expresses two types of objects: those that are defined by an identity and those that are defined by their values.</w:t>
      </w:r>
    </w:p>
    <w:p w14:paraId="24CD267F" w14:textId="27B91CFB" w:rsidR="005128EC" w:rsidRDefault="005128EC" w:rsidP="005128EC">
      <w:pPr>
        <w:rPr>
          <w:lang w:val="en-US"/>
        </w:rPr>
      </w:pPr>
      <w:r w:rsidRPr="005128EC">
        <w:rPr>
          <w:lang w:val="en-US"/>
        </w:rPr>
        <w:t>An entity is something that can be tracked, located, retrieved, and stored by an identity key.</w:t>
      </w:r>
      <w:r>
        <w:rPr>
          <w:lang w:val="en-US"/>
        </w:rPr>
        <w:t xml:space="preserve"> </w:t>
      </w:r>
      <w:r w:rsidRPr="005128EC">
        <w:rPr>
          <w:lang w:val="en-US"/>
        </w:rPr>
        <w:t>Entities naturally accumulate a ton of functionality because they play such a crucial role in the system.</w:t>
      </w:r>
      <w:r>
        <w:rPr>
          <w:lang w:val="en-US"/>
        </w:rPr>
        <w:t xml:space="preserve"> </w:t>
      </w:r>
      <w:r w:rsidRPr="005128EC">
        <w:rPr>
          <w:lang w:val="en-US"/>
        </w:rPr>
        <w:t>Applying the single responsibility</w:t>
      </w:r>
      <w:r w:rsidR="006E1362">
        <w:rPr>
          <w:lang w:val="en-US"/>
        </w:rPr>
        <w:t xml:space="preserve"> pattern</w:t>
      </w:r>
      <w:r w:rsidRPr="005128EC">
        <w:rPr>
          <w:lang w:val="en-US"/>
        </w:rPr>
        <w:t xml:space="preserve"> to entities is indeed a nice idea.</w:t>
      </w:r>
      <w:r w:rsidR="006E1362">
        <w:rPr>
          <w:lang w:val="en-US"/>
        </w:rPr>
        <w:t xml:space="preserve"> </w:t>
      </w:r>
      <w:r w:rsidR="006E1362" w:rsidRPr="006E1362">
        <w:rPr>
          <w:lang w:val="en-US"/>
        </w:rPr>
        <w:t>Anything that doesn't fit that description should be placed elsewhere.</w:t>
      </w:r>
    </w:p>
    <w:p w14:paraId="039995FD" w14:textId="24E2CFD7" w:rsidR="006E1362" w:rsidRDefault="006E1362" w:rsidP="005128EC">
      <w:pPr>
        <w:rPr>
          <w:lang w:val="en-US"/>
        </w:rPr>
      </w:pPr>
      <w:r w:rsidRPr="006E1362">
        <w:rPr>
          <w:lang w:val="en-US"/>
        </w:rPr>
        <w:t>Instead of being defined by their values, entities are things that were defined by a thread of continuity and identity.</w:t>
      </w:r>
      <w:r>
        <w:rPr>
          <w:lang w:val="en-US"/>
        </w:rPr>
        <w:t xml:space="preserve"> </w:t>
      </w:r>
    </w:p>
    <w:p w14:paraId="2C4C38F5" w14:textId="1F8B16A6" w:rsidR="006E1362" w:rsidRDefault="006E1362" w:rsidP="006E1362">
      <w:pPr>
        <w:pStyle w:val="Heading2"/>
        <w:rPr>
          <w:lang w:val="en-US"/>
        </w:rPr>
      </w:pPr>
      <w:r w:rsidRPr="006E1362">
        <w:rPr>
          <w:lang w:val="en-US"/>
        </w:rPr>
        <w:t>Value Objects</w:t>
      </w:r>
    </w:p>
    <w:p w14:paraId="35F09BD2" w14:textId="726A0849" w:rsidR="006E1362" w:rsidRDefault="006E1362" w:rsidP="006E1362">
      <w:pPr>
        <w:rPr>
          <w:lang w:val="en-US"/>
        </w:rPr>
      </w:pPr>
      <w:r w:rsidRPr="006E1362">
        <w:rPr>
          <w:lang w:val="en-US"/>
        </w:rPr>
        <w:t>A value object has very specific characteristics.</w:t>
      </w:r>
      <w:r>
        <w:rPr>
          <w:lang w:val="en-US"/>
        </w:rPr>
        <w:t xml:space="preserve"> </w:t>
      </w:r>
      <w:r w:rsidRPr="006E1362">
        <w:rPr>
          <w:lang w:val="en-US"/>
        </w:rPr>
        <w:t>It is an item that is used to quantify, measure, or characterize a certain topic.</w:t>
      </w:r>
      <w:r w:rsidR="004B22A6">
        <w:rPr>
          <w:lang w:val="en-US"/>
        </w:rPr>
        <w:t xml:space="preserve"> </w:t>
      </w:r>
      <w:r w:rsidR="004B22A6" w:rsidRPr="004B22A6">
        <w:rPr>
          <w:lang w:val="en-US"/>
        </w:rPr>
        <w:t>Because the property values define it, it ought to be immutable. </w:t>
      </w:r>
      <w:r>
        <w:rPr>
          <w:lang w:val="en-US"/>
        </w:rPr>
        <w:t xml:space="preserve"> </w:t>
      </w:r>
      <w:r w:rsidR="004B22A6" w:rsidRPr="004B22A6">
        <w:rPr>
          <w:lang w:val="en-US"/>
        </w:rPr>
        <w:t>Value objects may have methods and behavior, but they should never have side effects.</w:t>
      </w:r>
      <w:r w:rsidR="000B6EFD">
        <w:rPr>
          <w:lang w:val="en-US"/>
        </w:rPr>
        <w:t xml:space="preserve"> </w:t>
      </w:r>
      <w:r w:rsidR="000B6EFD" w:rsidRPr="000B6EFD">
        <w:rPr>
          <w:lang w:val="en-US"/>
        </w:rPr>
        <w:t>Vaughn Vernon says in his book Implementing Domain-Driven Design that value objects should be used instead of entities whenever possible. Even if a domain concept has to be modeled as an entity, the entity should be designed so that it is more likely to hold values than to hold other entities. Value objects are a really good place to put methods and logic because reasoning can be done without side effects, especially with the complications that identity brings along—all those things that make logic tricky.</w:t>
      </w:r>
    </w:p>
    <w:p w14:paraId="68CCC996" w14:textId="2BEBACE5" w:rsidR="00E9631C" w:rsidRDefault="00E9631C" w:rsidP="00E9631C">
      <w:pPr>
        <w:pStyle w:val="Heading2"/>
        <w:rPr>
          <w:lang w:val="en-US"/>
        </w:rPr>
      </w:pPr>
      <w:r w:rsidRPr="00E9631C">
        <w:rPr>
          <w:lang w:val="en-US"/>
        </w:rPr>
        <w:t>Aggregates</w:t>
      </w:r>
    </w:p>
    <w:p w14:paraId="0B549966" w14:textId="4706DC6E" w:rsidR="00E9631C" w:rsidRPr="00E9631C" w:rsidRDefault="00F7649F" w:rsidP="00E9631C">
      <w:pPr>
        <w:rPr>
          <w:lang w:val="en-US"/>
        </w:rPr>
      </w:pPr>
      <w:r w:rsidRPr="00F7649F">
        <w:rPr>
          <w:lang w:val="en-US"/>
        </w:rPr>
        <w:t>Aggregates consist of one or more entities and value objects that change together</w:t>
      </w:r>
      <w:r>
        <w:rPr>
          <w:lang w:val="en-US"/>
        </w:rPr>
        <w:t xml:space="preserve">. </w:t>
      </w:r>
      <w:r w:rsidRPr="00F7649F">
        <w:rPr>
          <w:lang w:val="en-US"/>
        </w:rPr>
        <w:t>Aggregates are treated as a unit for data changes.</w:t>
      </w:r>
      <w:r>
        <w:rPr>
          <w:lang w:val="en-US"/>
        </w:rPr>
        <w:t xml:space="preserve"> </w:t>
      </w:r>
      <w:r w:rsidRPr="00F7649F">
        <w:rPr>
          <w:lang w:val="en-US"/>
        </w:rPr>
        <w:t>The entire aggregate's consistency needs to be considered before any changes are applied.</w:t>
      </w:r>
      <w:r>
        <w:rPr>
          <w:lang w:val="en-US"/>
        </w:rPr>
        <w:t xml:space="preserve"> </w:t>
      </w:r>
    </w:p>
    <w:p w14:paraId="6536E412" w14:textId="77777777" w:rsidR="004B22A6" w:rsidRPr="006E1362" w:rsidRDefault="004B22A6" w:rsidP="006E1362">
      <w:pPr>
        <w:rPr>
          <w:lang w:val="en-US"/>
        </w:rPr>
      </w:pPr>
    </w:p>
    <w:p w14:paraId="0391D328" w14:textId="268AF284" w:rsidR="0096757C" w:rsidRPr="0096757C" w:rsidRDefault="0096757C" w:rsidP="0096757C">
      <w:pPr>
        <w:pStyle w:val="NormalWeb"/>
      </w:pPr>
    </w:p>
    <w:p w14:paraId="6BA78D61" w14:textId="0C5E45AE" w:rsidR="0096757C" w:rsidRPr="0096757C" w:rsidRDefault="0096757C" w:rsidP="0096757C">
      <w:pPr>
        <w:pStyle w:val="NormalWeb"/>
        <w:rPr>
          <w:color w:val="252525"/>
        </w:rPr>
      </w:pPr>
    </w:p>
    <w:p w14:paraId="32679D09" w14:textId="15E7B94D" w:rsidR="00FE79F6" w:rsidRPr="00FE79F6" w:rsidRDefault="00FE79F6" w:rsidP="00FE79F6">
      <w:pPr>
        <w:pStyle w:val="NormalWeb"/>
      </w:pPr>
    </w:p>
    <w:p w14:paraId="240CCA90" w14:textId="4C003690" w:rsidR="00821332" w:rsidRPr="00106721" w:rsidRDefault="00821332" w:rsidP="00106721">
      <w:pPr>
        <w:spacing w:before="100" w:beforeAutospacing="1" w:after="100" w:afterAutospacing="1" w:line="240" w:lineRule="auto"/>
        <w:rPr>
          <w:rFonts w:ascii="Times New Roman" w:eastAsia="Times New Roman" w:hAnsi="Times New Roman" w:cs="Times New Roman"/>
          <w:sz w:val="24"/>
          <w:szCs w:val="24"/>
          <w:lang w:val="en-US"/>
        </w:rPr>
      </w:pPr>
    </w:p>
    <w:p w14:paraId="20BE81D1" w14:textId="77777777" w:rsidR="00DE063C" w:rsidRP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B6EFD"/>
    <w:rsid w:val="000C15AA"/>
    <w:rsid w:val="000C6D08"/>
    <w:rsid w:val="000D3145"/>
    <w:rsid w:val="000F1AC3"/>
    <w:rsid w:val="00106721"/>
    <w:rsid w:val="00136501"/>
    <w:rsid w:val="001542DD"/>
    <w:rsid w:val="00155751"/>
    <w:rsid w:val="00182331"/>
    <w:rsid w:val="001859A0"/>
    <w:rsid w:val="001937D2"/>
    <w:rsid w:val="001B70EA"/>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E1EC6"/>
    <w:rsid w:val="003E2F0B"/>
    <w:rsid w:val="003E3E96"/>
    <w:rsid w:val="003E7D38"/>
    <w:rsid w:val="003E7D46"/>
    <w:rsid w:val="00401B1B"/>
    <w:rsid w:val="00420958"/>
    <w:rsid w:val="00420ADF"/>
    <w:rsid w:val="00425191"/>
    <w:rsid w:val="0043530F"/>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B4E39"/>
    <w:rsid w:val="006D4AB1"/>
    <w:rsid w:val="006E1356"/>
    <w:rsid w:val="006E1362"/>
    <w:rsid w:val="00721709"/>
    <w:rsid w:val="0072173E"/>
    <w:rsid w:val="00735F0F"/>
    <w:rsid w:val="00736866"/>
    <w:rsid w:val="007823C2"/>
    <w:rsid w:val="007860AF"/>
    <w:rsid w:val="007A26E9"/>
    <w:rsid w:val="007F3BF5"/>
    <w:rsid w:val="00821332"/>
    <w:rsid w:val="00824424"/>
    <w:rsid w:val="00835674"/>
    <w:rsid w:val="00843CC0"/>
    <w:rsid w:val="008812C1"/>
    <w:rsid w:val="0088315D"/>
    <w:rsid w:val="008B0F41"/>
    <w:rsid w:val="009012C7"/>
    <w:rsid w:val="00901448"/>
    <w:rsid w:val="0090512A"/>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D049E"/>
    <w:rsid w:val="00A13517"/>
    <w:rsid w:val="00A246C1"/>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930AD"/>
    <w:rsid w:val="00CB0A0B"/>
    <w:rsid w:val="00CE19B6"/>
    <w:rsid w:val="00CE2582"/>
    <w:rsid w:val="00CE2F55"/>
    <w:rsid w:val="00D21C65"/>
    <w:rsid w:val="00D50D9C"/>
    <w:rsid w:val="00D61A05"/>
    <w:rsid w:val="00D90083"/>
    <w:rsid w:val="00DB3AC5"/>
    <w:rsid w:val="00DE063C"/>
    <w:rsid w:val="00E00634"/>
    <w:rsid w:val="00E0489D"/>
    <w:rsid w:val="00E54794"/>
    <w:rsid w:val="00E63339"/>
    <w:rsid w:val="00E715C6"/>
    <w:rsid w:val="00E74B87"/>
    <w:rsid w:val="00E9631C"/>
    <w:rsid w:val="00EB4242"/>
    <w:rsid w:val="00EF23C6"/>
    <w:rsid w:val="00F0646C"/>
    <w:rsid w:val="00F1499B"/>
    <w:rsid w:val="00F234BE"/>
    <w:rsid w:val="00F30949"/>
    <w:rsid w:val="00F52229"/>
    <w:rsid w:val="00F6624A"/>
    <w:rsid w:val="00F70A6E"/>
    <w:rsid w:val="00F76362"/>
    <w:rsid w:val="00F7649F"/>
    <w:rsid w:val="00F94C29"/>
    <w:rsid w:val="00FA0234"/>
    <w:rsid w:val="00FA7572"/>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19</Pages>
  <Words>5789</Words>
  <Characters>33001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120</cp:revision>
  <dcterms:created xsi:type="dcterms:W3CDTF">2022-12-24T10:53:00Z</dcterms:created>
  <dcterms:modified xsi:type="dcterms:W3CDTF">2023-01-04T17:35:00Z</dcterms:modified>
</cp:coreProperties>
</file>