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5D343E9"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This study examines the incorporation of Domain-Driven Design (DDD) into the cloud computing elements of the Microsoft ecosystem. The study seeks to showcase an effective approach for developing a software architecture that is capable of scaling, easy to maintain, and highly efficient. This research aims to address the need for connecting the theoretical concepts of DDD with their practical applications in cloud-native services. The use of a case study approach indicates that DDD is an important factor to consider when it comes to the application and data layers in Platform-as-a-Service (PaaS) and Infrastructure-as-a-Service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3D15F73D"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r w:rsidR="00541DFE">
        <w:rPr>
          <w:sz w:val="22"/>
        </w:rPr>
        <w:t xml:space="preserve"> </w:t>
      </w:r>
      <w:r w:rsidR="00541DFE" w:rsidRPr="006677A6">
        <w:rPr>
          <w:sz w:val="22"/>
        </w:rPr>
        <w:t>developing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41DFE" w:rsidRPr="006677A6">
        <w:rPr>
          <w:sz w:val="22"/>
        </w:rPr>
        <w:t>a notable</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52F83"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r w:rsidR="00000000">
        <w:fldChar w:fldCharType="begin"/>
      </w:r>
      <w:r w:rsidR="00000000">
        <w:instrText>HYPERLINK "https://www.temjournal.com/"</w:instrText>
      </w:r>
      <w:r w:rsidR="00000000">
        <w:fldChar w:fldCharType="separate"/>
      </w:r>
      <w:r>
        <w:rPr>
          <w:rFonts w:eastAsia="Times New Roman" w:cs="Calibri"/>
          <w:color w:val="0000FF"/>
          <w:sz w:val="20"/>
          <w:szCs w:val="20"/>
          <w:u w:val="single"/>
          <w:lang w:val="sk-SK"/>
        </w:rPr>
        <w:t>https://www.temjournal.com/</w:t>
      </w:r>
      <w:r w:rsidR="00000000">
        <w:rPr>
          <w:rFonts w:eastAsia="Times New Roman" w:cs="Calibri"/>
          <w:color w:val="0000FF"/>
          <w:sz w:val="20"/>
          <w:szCs w:val="20"/>
          <w:u w:val="single"/>
          <w:lang w:val="sk-SK"/>
        </w:rPr>
        <w:fldChar w:fldCharType="end"/>
      </w:r>
    </w:p>
    <w:p w14:paraId="16A72FD8" w14:textId="22B358B7" w:rsidR="006677A6" w:rsidRPr="006677A6" w:rsidRDefault="006677A6" w:rsidP="006677A6">
      <w:pPr>
        <w:pStyle w:val="ICESTNormal"/>
        <w:ind w:firstLine="0"/>
        <w:rPr>
          <w:sz w:val="22"/>
        </w:rPr>
      </w:pPr>
      <w:r w:rsidRPr="006677A6">
        <w:rPr>
          <w:sz w:val="22"/>
        </w:rPr>
        <w:t>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6AEAB72C" w14:textId="7DEBA248"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 </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5120E717" w14:textId="2B116B43" w:rsidR="00B94B1E" w:rsidRPr="00D64831" w:rsidRDefault="00B94B1E" w:rsidP="00B94B1E">
      <w:pPr>
        <w:pStyle w:val="ICESTNormal"/>
        <w:ind w:firstLine="284"/>
        <w:rPr>
          <w:sz w:val="22"/>
        </w:rPr>
      </w:pPr>
      <w:r w:rsidRPr="00D64831">
        <w:rPr>
          <w:sz w:val="22"/>
        </w:rPr>
        <w:lastRenderedPageBreak/>
        <w:t>Among the models that have been presented, PaaS and, to some extent, IaaS have emerged as key areas of focus for DDD. PaaS and IaaS offer customers the tools and systems needed to create, construct, and deploy applications. In this context, the importance of DDD concepts becomes evident, particularly for the "data” and “applications" layers</w:t>
      </w:r>
      <w:r w:rsidR="00541DFE" w:rsidRPr="00D64831">
        <w:rPr>
          <w:sz w:val="22"/>
        </w:rPr>
        <w:t xml:space="preserve">, which should be the </w:t>
      </w:r>
      <w:r w:rsidR="00D64831" w:rsidRPr="00D64831">
        <w:rPr>
          <w:sz w:val="22"/>
        </w:rPr>
        <w:t>focus</w:t>
      </w:r>
      <w:r w:rsidR="00541DFE" w:rsidRPr="00D64831">
        <w:rPr>
          <w:sz w:val="22"/>
        </w:rPr>
        <w:t>.</w:t>
      </w:r>
    </w:p>
    <w:p w14:paraId="68CB8EFA" w14:textId="7DA0DC10"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 xml:space="preserve">Scott </w:t>
      </w:r>
      <w:proofErr w:type="spellStart"/>
      <w:r w:rsidRPr="00A07C45">
        <w:rPr>
          <w:rFonts w:cs="Times New Roman"/>
          <w:sz w:val="22"/>
          <w:highlight w:val="yellow"/>
        </w:rPr>
        <w:t>Wlaschin</w:t>
      </w:r>
      <w:proofErr w:type="spellEnd"/>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2C30A6DD" w:rsidR="00B3018E" w:rsidRPr="00B3018E" w:rsidRDefault="009E0AFD" w:rsidP="00B3018E">
      <w:pPr>
        <w:pStyle w:val="ICESTNormal"/>
        <w:ind w:firstLine="284"/>
        <w:rPr>
          <w:rFonts w:cs="Times New Roman"/>
          <w:sz w:val="22"/>
        </w:rPr>
      </w:pPr>
      <w:r w:rsidRPr="009E0AFD">
        <w:rPr>
          <w:rFonts w:cs="Times New Roman"/>
          <w:sz w:val="22"/>
        </w:rPr>
        <w:t xml:space="preserve">Based on a case </w:t>
      </w:r>
      <w:r w:rsidRPr="00BD2876">
        <w:rPr>
          <w:rFonts w:cs="Times New Roman"/>
          <w:sz w:val="22"/>
          <w:highlight w:val="yellow"/>
        </w:rPr>
        <w:t>study from the Computer Science department at North Carolina State University</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5DDFBB79" w:rsidR="00B23D22" w:rsidRDefault="00B3018E" w:rsidP="00767D2B">
      <w:pPr>
        <w:pStyle w:val="ICESTNormal"/>
        <w:ind w:firstLine="284"/>
        <w:rPr>
          <w:rFonts w:cs="Times New Roman"/>
          <w:sz w:val="22"/>
        </w:rPr>
      </w:pPr>
      <w:r w:rsidRPr="00B3018E">
        <w:rPr>
          <w:rFonts w:cs="Times New Roman"/>
          <w:sz w:val="22"/>
        </w:rPr>
        <w:t xml:space="preserve">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w:t>
      </w:r>
      <w:r w:rsidRPr="00BD2876">
        <w:rPr>
          <w:rFonts w:cs="Times New Roman"/>
          <w:sz w:val="22"/>
          <w:highlight w:val="yellow"/>
        </w:rPr>
        <w:t>In summary</w:t>
      </w:r>
      <w:r w:rsidRPr="00B3018E">
        <w:rPr>
          <w:rFonts w:cs="Times New Roman"/>
          <w:sz w:val="22"/>
        </w:rPr>
        <w:t xml:space="preserve">, </w:t>
      </w:r>
      <w:r w:rsidR="00BD2876">
        <w:rPr>
          <w:rFonts w:cs="Times New Roman"/>
          <w:sz w:val="22"/>
        </w:rPr>
        <w:t xml:space="preserve">the </w:t>
      </w:r>
      <w:r w:rsidRPr="00B3018E">
        <w:rPr>
          <w:rFonts w:cs="Times New Roman"/>
          <w:sz w:val="22"/>
        </w:rPr>
        <w:t>code coverage</w:t>
      </w:r>
      <w:r w:rsidR="00BD2876">
        <w:rPr>
          <w:rFonts w:cs="Times New Roman"/>
          <w:sz w:val="22"/>
        </w:rPr>
        <w:t xml:space="preserve"> of DDD component</w:t>
      </w:r>
      <w:r w:rsidRPr="00B3018E">
        <w:rPr>
          <w:rFonts w:cs="Times New Roman"/>
          <w:sz w:val="22"/>
        </w:rPr>
        <w:t xml:space="preserve"> serves as a useful benchmark for guiding the development process toward better software reliability and performance</w:t>
      </w:r>
      <w:r w:rsidR="009B7E1B">
        <w:rPr>
          <w:rFonts w:cs="Times New Roman"/>
          <w:sz w:val="22"/>
        </w:rPr>
        <w:t xml:space="preserve"> of</w:t>
      </w:r>
      <w:r w:rsidR="00845712">
        <w:rPr>
          <w:rFonts w:cs="Times New Roman"/>
          <w:sz w:val="22"/>
        </w:rPr>
        <w:t xml:space="preserve"> the</w:t>
      </w:r>
      <w:r w:rsidR="009B7E1B">
        <w:rPr>
          <w:rFonts w:cs="Times New Roman"/>
          <w:sz w:val="22"/>
        </w:rPr>
        <w:t xml:space="preserve"> cloud </w:t>
      </w:r>
      <w:r w:rsidR="00845712">
        <w:rPr>
          <w:rFonts w:cs="Times New Roman"/>
          <w:sz w:val="22"/>
        </w:rPr>
        <w:t>microservices</w:t>
      </w:r>
      <w:r w:rsidR="009B7E1B">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401BB03D"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The .NET is widely acknowledged as a prominent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4DACA7F2" w:rsidR="00F33CBE" w:rsidRDefault="00492AE4" w:rsidP="00F33CBE">
      <w:pPr>
        <w:pStyle w:val="ICESTTitle"/>
        <w:tabs>
          <w:tab w:val="left" w:pos="500"/>
        </w:tabs>
        <w:ind w:firstLine="284"/>
        <w:jc w:val="both"/>
        <w:rPr>
          <w:rFonts w:cs="Times New Roman"/>
          <w:sz w:val="22"/>
        </w:rPr>
      </w:pPr>
      <w:r w:rsidRPr="000C6FD1">
        <w:rPr>
          <w:rFonts w:cs="Times New Roman"/>
          <w:sz w:val="22"/>
        </w:rPr>
        <w:t>ASP.NET Core is noted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proofErr w:type="spellStart"/>
      <w:r w:rsidR="001B77E3" w:rsidRPr="002E2A67">
        <w:rPr>
          <w:rFonts w:cs="Times New Roman"/>
          <w:i/>
          <w:iCs/>
          <w:color w:val="1F2328"/>
          <w:sz w:val="22"/>
          <w:shd w:val="clear" w:color="auto" w:fill="FFFFFF"/>
        </w:rPr>
        <w:t>EntityFramework</w:t>
      </w:r>
      <w:proofErr w:type="spellEnd"/>
      <w:r w:rsidR="001B77E3" w:rsidRPr="002E2A67">
        <w:rPr>
          <w:rFonts w:cs="Times New Roman"/>
          <w:i/>
          <w:iCs/>
          <w:color w:val="1F2328"/>
          <w:sz w:val="22"/>
          <w:shd w:val="clear" w:color="auto" w:fill="FFFFFF"/>
        </w:rPr>
        <w:t>, </w:t>
      </w:r>
      <w:proofErr w:type="spellStart"/>
      <w:r w:rsidR="001B77E3" w:rsidRPr="002E2A67">
        <w:rPr>
          <w:rFonts w:cs="Times New Roman"/>
          <w:i/>
          <w:iCs/>
          <w:sz w:val="22"/>
        </w:rPr>
        <w:t>MediatR</w:t>
      </w:r>
      <w:proofErr w:type="spellEnd"/>
      <w:r w:rsidR="001B77E3" w:rsidRPr="002E2A67">
        <w:rPr>
          <w:rFonts w:cs="Times New Roman"/>
          <w:i/>
          <w:iCs/>
          <w:sz w:val="22"/>
        </w:rPr>
        <w:t xml:space="preserve">, Optional, Marten, </w:t>
      </w:r>
      <w:proofErr w:type="spellStart"/>
      <w:r w:rsidR="001B77E3" w:rsidRPr="002E2A67">
        <w:rPr>
          <w:rFonts w:cs="Times New Roman"/>
          <w:i/>
          <w:iCs/>
          <w:sz w:val="22"/>
        </w:rPr>
        <w:t>SignalR</w:t>
      </w:r>
      <w:proofErr w:type="spellEnd"/>
      <w:r w:rsidR="001B77E3" w:rsidRPr="002E2A67">
        <w:rPr>
          <w:rFonts w:cs="Times New Roman"/>
          <w:i/>
          <w:iCs/>
          <w:sz w:val="22"/>
        </w:rPr>
        <w:t xml:space="preserve">, </w:t>
      </w:r>
      <w:proofErr w:type="spellStart"/>
      <w:r w:rsidR="001B77E3" w:rsidRPr="002E2A67">
        <w:rPr>
          <w:rFonts w:cs="Times New Roman"/>
          <w:i/>
          <w:iCs/>
          <w:sz w:val="22"/>
        </w:rPr>
        <w:t>AutoMapper</w:t>
      </w:r>
      <w:proofErr w:type="spellEnd"/>
      <w:r w:rsidR="001B77E3" w:rsidRPr="002E2A67">
        <w:rPr>
          <w:rFonts w:cs="Times New Roman"/>
          <w:i/>
          <w:iCs/>
          <w:sz w:val="22"/>
        </w:rPr>
        <w:t xml:space="preserve">, </w:t>
      </w:r>
      <w:proofErr w:type="spellStart"/>
      <w:r w:rsidR="001B77E3" w:rsidRPr="002E2A67">
        <w:rPr>
          <w:rFonts w:cs="Times New Roman"/>
          <w:i/>
          <w:iCs/>
          <w:sz w:val="22"/>
        </w:rPr>
        <w:t>Serilog</w:t>
      </w:r>
      <w:proofErr w:type="spellEnd"/>
      <w:r w:rsidR="001B77E3" w:rsidRPr="002E2A67">
        <w:rPr>
          <w:rFonts w:cs="Times New Roman"/>
          <w:i/>
          <w:iCs/>
          <w:sz w:val="22"/>
        </w:rPr>
        <w:t xml:space="preserve">, </w:t>
      </w:r>
      <w:proofErr w:type="spellStart"/>
      <w:r w:rsidR="001B77E3" w:rsidRPr="002E2A67">
        <w:rPr>
          <w:rFonts w:cs="Times New Roman"/>
          <w:i/>
          <w:iCs/>
          <w:sz w:val="22"/>
        </w:rPr>
        <w:t>Stylecop</w:t>
      </w:r>
      <w:proofErr w:type="spellEnd"/>
      <w:r w:rsidR="001B77E3" w:rsidRPr="002E2A67">
        <w:rPr>
          <w:rFonts w:cs="Times New Roman"/>
          <w:i/>
          <w:iCs/>
          <w:sz w:val="22"/>
        </w:rPr>
        <w:t xml:space="preserve">, Swagger, </w:t>
      </w:r>
      <w:proofErr w:type="spellStart"/>
      <w:r w:rsidR="001B77E3" w:rsidRPr="002E2A67">
        <w:rPr>
          <w:rFonts w:cs="Times New Roman"/>
          <w:i/>
          <w:iCs/>
          <w:sz w:val="22"/>
        </w:rPr>
        <w:t>FluentValidation</w:t>
      </w:r>
      <w:proofErr w:type="spellEnd"/>
      <w:r w:rsidR="001B77E3" w:rsidRPr="002E2A67">
        <w:rPr>
          <w:rFonts w:cs="Times New Roman"/>
          <w:i/>
          <w:iCs/>
          <w:sz w:val="22"/>
        </w:rPr>
        <w:t xml:space="preserve">, </w:t>
      </w:r>
      <w:proofErr w:type="spellStart"/>
      <w:r w:rsidR="001B77E3" w:rsidRPr="002E2A67">
        <w:rPr>
          <w:rFonts w:cs="Times New Roman"/>
          <w:i/>
          <w:iCs/>
          <w:sz w:val="22"/>
        </w:rPr>
        <w:t>xUnit</w:t>
      </w:r>
      <w:proofErr w:type="spellEnd"/>
      <w:r w:rsidR="001B77E3" w:rsidRPr="002E2A67">
        <w:rPr>
          <w:rFonts w:cs="Times New Roman"/>
          <w:i/>
          <w:iCs/>
          <w:sz w:val="22"/>
        </w:rPr>
        <w:t xml:space="preserve">, </w:t>
      </w:r>
      <w:proofErr w:type="spellStart"/>
      <w:r w:rsidR="001B77E3" w:rsidRPr="002E2A67">
        <w:rPr>
          <w:rFonts w:cs="Times New Roman"/>
          <w:i/>
          <w:iCs/>
          <w:sz w:val="22"/>
        </w:rPr>
        <w:t>Autofixture</w:t>
      </w:r>
      <w:proofErr w:type="spellEnd"/>
      <w:r w:rsidR="001B77E3" w:rsidRPr="002E2A67">
        <w:rPr>
          <w:rFonts w:cs="Times New Roman"/>
          <w:i/>
          <w:iCs/>
          <w:sz w:val="22"/>
        </w:rPr>
        <w:t xml:space="preserve">, </w:t>
      </w:r>
      <w:proofErr w:type="spellStart"/>
      <w:r w:rsidR="001B77E3" w:rsidRPr="002E2A67">
        <w:rPr>
          <w:rFonts w:cs="Times New Roman"/>
          <w:i/>
          <w:iCs/>
          <w:sz w:val="22"/>
        </w:rPr>
        <w:t>Moq</w:t>
      </w:r>
      <w:proofErr w:type="spellEnd"/>
      <w:r w:rsidR="001B77E3" w:rsidRPr="002E2A67">
        <w:rPr>
          <w:rFonts w:cs="Times New Roman"/>
          <w:i/>
          <w:iCs/>
          <w:sz w:val="22"/>
        </w:rPr>
        <w:t xml:space="preserve"> and </w:t>
      </w:r>
      <w:proofErr w:type="spellStart"/>
      <w:r w:rsidR="001B77E3" w:rsidRPr="002E2A67">
        <w:rPr>
          <w:rFonts w:cs="Times New Roman"/>
          <w:i/>
          <w:iCs/>
          <w:sz w:val="22"/>
        </w:rPr>
        <w:t>Shouldly</w:t>
      </w:r>
      <w:proofErr w:type="spellEnd"/>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w:t>
      </w:r>
      <w:r w:rsidRPr="00F33CBE">
        <w:rPr>
          <w:rFonts w:cs="Times New Roman"/>
          <w:sz w:val="22"/>
        </w:rPr>
        <w:lastRenderedPageBreak/>
        <w:t xml:space="preserve">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25BEEBE9"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proofErr w:type="spellStart"/>
      <w:r w:rsidR="00231C1C" w:rsidRPr="00231C1C">
        <w:rPr>
          <w:rFonts w:ascii="Times New Roman" w:hAnsi="Times New Roman"/>
          <w:highlight w:val="yellow"/>
        </w:rPr>
        <w:t>eShopOnContainers</w:t>
      </w:r>
      <w:proofErr w:type="spellEnd"/>
      <w:r w:rsidR="00231C1C" w:rsidRPr="00231C1C">
        <w:rPr>
          <w:rFonts w:ascii="Times New Roman" w:hAnsi="Times New Roman"/>
        </w:rPr>
        <w:t>“ [] and „</w:t>
      </w:r>
      <w:proofErr w:type="spellStart"/>
      <w:r w:rsidR="00231C1C" w:rsidRPr="00231C1C">
        <w:rPr>
          <w:rFonts w:ascii="Times New Roman" w:hAnsi="Times New Roman"/>
        </w:rPr>
        <w:t>eShopOnAzure</w:t>
      </w:r>
      <w:proofErr w:type="spellEnd"/>
      <w:r w:rsidR="00231C1C" w:rsidRPr="00231C1C">
        <w:rPr>
          <w:rFonts w:ascii="Times New Roman" w:hAnsi="Times New Roman"/>
        </w:rPr>
        <w:t>“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w:t>
            </w:r>
            <w:r w:rsidR="004640D4" w:rsidRPr="004640D4">
              <w:rPr>
                <w:rFonts w:ascii="Times New Roman" w:hAnsi="Times New Roman"/>
                <w:sz w:val="20"/>
                <w:szCs w:val="20"/>
              </w:rPr>
              <w:t xml:space="preserve">entire lifecycle of an order. It 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DD4A81F"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literature review of existing </w:t>
      </w:r>
      <w:r w:rsidRPr="00F95886">
        <w:rPr>
          <w:rFonts w:cs="Times New Roman"/>
          <w:sz w:val="22"/>
          <w:szCs w:val="46"/>
          <w:highlight w:val="yellow"/>
          <w:lang w:val="en-GB" w:eastAsia="en-GB"/>
        </w:rPr>
        <w:t>academic research</w:t>
      </w:r>
      <w:r w:rsidRPr="00231C1C">
        <w:rPr>
          <w:rFonts w:cs="Times New Roman"/>
          <w:sz w:val="22"/>
          <w:szCs w:val="46"/>
          <w:lang w:val="en-GB" w:eastAsia="en-GB"/>
        </w:rPr>
        <w:t xml:space="preserve">. This case study primarily emphasizes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45FD834C" w:rsidR="00F95886" w:rsidRPr="00F754AA" w:rsidRDefault="00FF4C93" w:rsidP="00F95886">
      <w:pPr>
        <w:spacing w:after="0" w:line="240" w:lineRule="auto"/>
      </w:pPr>
      <w:r>
        <w:rPr>
          <w:rFonts w:ascii="Times New Roman" w:hAnsi="Times New Roman"/>
        </w:rPr>
        <w:t xml:space="preserve">     </w:t>
      </w:r>
      <w:r w:rsidR="00F754AA" w:rsidRPr="00FF4C93">
        <w:rPr>
          <w:rFonts w:ascii="Times New Roman" w:hAnsi="Times New Roman"/>
        </w:rPr>
        <w:t>Within the conceptual framework illustrated in Figure 3</w:t>
      </w:r>
      <w:r>
        <w:rPr>
          <w:rFonts w:ascii="Times New Roman" w:hAnsi="Times New Roman"/>
        </w:rPr>
        <w:t xml:space="preserve">, </w:t>
      </w:r>
      <w:r>
        <w:rPr>
          <w:rFonts w:ascii="Times New Roman" w:eastAsia="Times New Roman" w:hAnsi="Times New Roman"/>
        </w:rPr>
        <w:t xml:space="preserve">it is </w:t>
      </w:r>
      <w:r w:rsidRPr="00FF4C93">
        <w:rPr>
          <w:rFonts w:ascii="Times New Roman" w:eastAsia="Times New Roman" w:hAnsi="Times New Roman"/>
        </w:rPr>
        <w:t>combine</w:t>
      </w:r>
      <w:r>
        <w:rPr>
          <w:rFonts w:ascii="Times New Roman" w:eastAsia="Times New Roman" w:hAnsi="Times New Roman"/>
        </w:rPr>
        <w:t>d</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UL, Entities, Value Objects, and Aggregates capture and </w:t>
      </w:r>
      <w:r w:rsidRPr="00FF4C93">
        <w:rPr>
          <w:rFonts w:ascii="Times New Roman" w:eastAsia="Times New Roman" w:hAnsi="Times New Roman"/>
        </w:rPr>
        <w:lastRenderedPageBreak/>
        <w:t>articulate the complexities of the business domain. CQRS is employed to separate 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w:t>
      </w:r>
      <w:r>
        <w:rPr>
          <w:rFonts w:ascii="Times New Roman" w:eastAsia="Times New Roman" w:hAnsi="Times New Roman"/>
        </w:rPr>
        <w:t xml:space="preserve">is </w:t>
      </w:r>
      <w:r w:rsidRPr="00FF4C93">
        <w:rPr>
          <w:rFonts w:ascii="Times New Roman" w:eastAsia="Times New Roman" w:hAnsi="Times New Roman"/>
        </w:rPr>
        <w:t xml:space="preserve">driving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 first</w:t>
      </w:r>
      <w:r>
        <w:rPr>
          <w:rFonts w:ascii="Times New Roman" w:eastAsia="Times New Roman" w:hAnsi="Times New Roman"/>
        </w:rPr>
        <w:t xml:space="preserve"> approach”. In addition to that,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69FD7D7" w:rsidR="00D84A7C" w:rsidRPr="00B41149" w:rsidRDefault="00320E85" w:rsidP="00B41149">
      <w:pPr>
        <w:pStyle w:val="ICESTTitle"/>
        <w:tabs>
          <w:tab w:val="left" w:pos="500"/>
        </w:tabs>
        <w:ind w:firstLine="142"/>
        <w:jc w:val="both"/>
      </w:pPr>
      <w:r w:rsidRPr="00320E85">
        <w:rPr>
          <w:sz w:val="22"/>
        </w:rPr>
        <w:t>Applications</w:t>
      </w:r>
      <w:r>
        <w:rPr>
          <w:sz w:val="22"/>
        </w:rPr>
        <w:t xml:space="preserve"> these days</w:t>
      </w:r>
      <w:r w:rsidRPr="00320E85">
        <w:rPr>
          <w:sz w:val="22"/>
        </w:rPr>
        <w:t xml:space="preserve"> rarely fit neatly into a single paradigm</w:t>
      </w:r>
      <w:r>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 is ineffective. Recognizing this,</w:t>
      </w:r>
      <w:r>
        <w:rPr>
          <w:sz w:val="22"/>
        </w:rPr>
        <w:t xml:space="preserve"> we consider t</w:t>
      </w:r>
      <w:r w:rsidR="00F754AA" w:rsidRPr="00F754AA">
        <w:rPr>
          <w:sz w:val="22"/>
        </w:rPr>
        <w:t xml:space="preserve">he case study methodology </w:t>
      </w:r>
      <w:r>
        <w:rPr>
          <w:sz w:val="22"/>
        </w:rPr>
        <w:t>as</w:t>
      </w:r>
      <w:r w:rsidR="00F754AA" w:rsidRPr="00F754AA">
        <w:rPr>
          <w:sz w:val="22"/>
        </w:rPr>
        <w:t xml:space="preserve"> a strategy, as it aligns with the research topic about the impact of DDD on cloud solutions. </w:t>
      </w:r>
      <w:r w:rsidR="00F754AA" w:rsidRPr="00450EDB">
        <w:rPr>
          <w:sz w:val="22"/>
          <w:highlight w:val="yellow"/>
        </w:rPr>
        <w:t>Case study research</w:t>
      </w:r>
      <w:r w:rsidR="00F754AA"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3EA6C28C" w:rsidR="00354897"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p>
    <w:p w14:paraId="0911CE82" w14:textId="77777777"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Pr="00DB76D4">
        <w:rPr>
          <w:sz w:val="22"/>
        </w:rPr>
        <w:t>Mediat</w:t>
      </w:r>
      <w:r>
        <w:rPr>
          <w:sz w:val="22"/>
        </w:rPr>
        <w:t>or pattern”</w:t>
      </w:r>
      <w:r w:rsidRPr="00DB76D4">
        <w:rPr>
          <w:sz w:val="22"/>
        </w:rPr>
        <w:t>.</w:t>
      </w:r>
      <w:r>
        <w:rPr>
          <w:sz w:val="22"/>
        </w:rPr>
        <w:t xml:space="preserve"> The “m</w:t>
      </w:r>
      <w:r w:rsidRPr="00DB76D4">
        <w:rPr>
          <w:sz w:val="22"/>
        </w:rPr>
        <w:t>ediat</w:t>
      </w:r>
      <w:r>
        <w:rPr>
          <w:sz w:val="22"/>
        </w:rPr>
        <w:t>or”</w:t>
      </w:r>
      <w:r w:rsidRPr="00DB76D4">
        <w:rPr>
          <w:sz w:val="22"/>
        </w:rPr>
        <w:t xml:space="preserve"> simplifies this process by providing a single interface for sending requests, which are then routed to in-process handlers</w:t>
      </w:r>
      <w:r>
        <w:rPr>
          <w:sz w:val="22"/>
        </w:rPr>
        <w:t>.</w:t>
      </w:r>
      <w:r w:rsidRPr="00DB76D4">
        <w:rPr>
          <w:sz w:val="22"/>
        </w:rPr>
        <w:t xml:space="preserve"> In this framework, commands and queries represent the requests, while </w:t>
      </w:r>
      <w:r w:rsidRPr="00DB76D4">
        <w:rPr>
          <w:sz w:val="22"/>
        </w:rPr>
        <w:lastRenderedPageBreak/>
        <w:t>results and data represent the responses.</w:t>
      </w:r>
      <w:r>
        <w:rPr>
          <w:sz w:val="22"/>
        </w:rPr>
        <w:t xml:space="preserve"> They are </w:t>
      </w:r>
      <w:r w:rsidRPr="00DB76D4">
        <w:rPr>
          <w:sz w:val="22"/>
        </w:rPr>
        <w:t>typically mapping to user actions</w:t>
      </w:r>
      <w:r>
        <w:rPr>
          <w:sz w:val="22"/>
        </w:rPr>
        <w:t xml:space="preserve">. </w:t>
      </w:r>
      <w:r w:rsidR="00E64DA3" w:rsidRPr="00E64DA3">
        <w:rPr>
          <w:sz w:val="22"/>
        </w:rPr>
        <w:t xml:space="preserve">To further extend the capabilities of the </w:t>
      </w:r>
      <w:r w:rsidR="00E64DA3">
        <w:rPr>
          <w:sz w:val="22"/>
        </w:rPr>
        <w:t>“</w:t>
      </w:r>
      <w:r w:rsidR="00E64DA3" w:rsidRPr="00E64DA3">
        <w:rPr>
          <w:sz w:val="22"/>
        </w:rPr>
        <w:t>mediator pipeline</w:t>
      </w:r>
      <w:r w:rsidR="00E64DA3">
        <w:rPr>
          <w:sz w:val="22"/>
        </w:rPr>
        <w:t>”</w:t>
      </w:r>
      <w:r w:rsidR="00E64DA3" w:rsidRPr="00E64DA3">
        <w:rPr>
          <w:sz w:val="22"/>
        </w:rPr>
        <w:t xml:space="preserve">, additional behaviors such as contextual logging, metrics, validation, and authorization can be integrated. For example, </w:t>
      </w:r>
      <w:r w:rsidR="00E64DA3">
        <w:rPr>
          <w:sz w:val="22"/>
        </w:rPr>
        <w:t xml:space="preserve">base </w:t>
      </w:r>
      <w:r w:rsidR="00E64DA3" w:rsidRPr="00DB76D4">
        <w:rPr>
          <w:sz w:val="22"/>
        </w:rPr>
        <w:t>algorithms</w:t>
      </w:r>
      <w:r w:rsidR="00E64DA3">
        <w:rPr>
          <w:sz w:val="22"/>
        </w:rPr>
        <w:t xml:space="preserve"> could be placed on top level by having </w:t>
      </w:r>
      <w:r w:rsidR="005B5125">
        <w:rPr>
          <w:sz w:val="22"/>
        </w:rPr>
        <w:t>“</w:t>
      </w:r>
      <w:r w:rsidR="00E64DA3" w:rsidRPr="00E64DA3">
        <w:rPr>
          <w:i/>
          <w:iCs/>
          <w:sz w:val="22"/>
        </w:rPr>
        <w:t xml:space="preserve">abstract class </w:t>
      </w:r>
      <w:proofErr w:type="spellStart"/>
      <w:r w:rsidR="00E64DA3" w:rsidRPr="00E64DA3">
        <w:rPr>
          <w:i/>
          <w:iCs/>
          <w:sz w:val="22"/>
        </w:rPr>
        <w:t>BaseHandler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sz w:val="22"/>
        </w:rPr>
        <w:t xml:space="preserve"> which inherits</w:t>
      </w:r>
      <w:r w:rsidR="00E64DA3" w:rsidRPr="00E64DA3">
        <w:rPr>
          <w:sz w:val="22"/>
        </w:rPr>
        <w:t xml:space="preserve"> </w:t>
      </w:r>
      <w:r w:rsidR="005B5125">
        <w:rPr>
          <w:sz w:val="22"/>
        </w:rPr>
        <w:t>“</w:t>
      </w:r>
      <w:proofErr w:type="spellStart"/>
      <w:r w:rsidR="00E64DA3" w:rsidRPr="00E64DA3">
        <w:rPr>
          <w:i/>
          <w:iCs/>
          <w:sz w:val="22"/>
        </w:rPr>
        <w:t>ICommandHandler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on this level of abstraction, the developer is going to have access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FE74BC0"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 of the application, domain model, and infrastructure layer</w:t>
      </w:r>
      <w:r>
        <w:rPr>
          <w:sz w:val="22"/>
        </w:rPr>
        <w:t>s</w:t>
      </w:r>
      <w:r w:rsidRPr="005B5125">
        <w:rPr>
          <w:sz w:val="22"/>
        </w:rPr>
        <w:t xml:space="preserve">, as previously </w:t>
      </w:r>
      <w:r w:rsidRPr="005B5125">
        <w:rPr>
          <w:sz w:val="22"/>
          <w:highlight w:val="yellow"/>
        </w:rPr>
        <w:t>mentioned</w:t>
      </w:r>
      <w:r w:rsidRPr="005B5125">
        <w:rPr>
          <w:sz w:val="22"/>
        </w:rPr>
        <w:t>. The layers are structured into separate .NET assemblies, as shown in Figure 5.</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52572494" w:rsidR="008274F7" w:rsidRDefault="008274F7" w:rsidP="008274F7">
      <w:pPr>
        <w:pStyle w:val="ICESTTitle"/>
        <w:tabs>
          <w:tab w:val="left" w:pos="500"/>
        </w:tabs>
        <w:jc w:val="both"/>
        <w:rPr>
          <w:sz w:val="22"/>
        </w:rPr>
      </w:pPr>
      <w:r>
        <w:rPr>
          <w:sz w:val="22"/>
        </w:rPr>
        <w:t xml:space="preserve">     </w:t>
      </w:r>
      <w:r w:rsidRPr="008274F7">
        <w:rPr>
          <w:sz w:val="22"/>
        </w:rPr>
        <w:t>The diagram depicts the structural organization of the projects, demonstrating a methodical arrangement of different containers for predetermined objects. The 'Orders Api' is the top-level hierarchy that includes the 'Orders Command Api,' 'Orders Query Api,' and 'Orders Receiver Api.' This Web API enables communication between the "Business," "Core," and "Persistence" assemblies. The "Core" assembly serves as the central hub for commands, queries, and validation models. Simultaneously, the "Business" assembly accommodates the command and query handlers and establishes connections with third-party services. The "Domain" assembly serves as a storage facility for aggregates, entities, events, and data transfer objects (DTOs). The "Persistence" assembly includes the necessary repository classes for performing data storage and retrieval operations. Moreover, the test project, which is separate from the "source" directory, consists of a comprehensive set of integration tests created using the Test-Driven Development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52D75437"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proofErr w:type="spellStart"/>
      <w:r w:rsidRPr="00AC6ADF">
        <w:rPr>
          <w:rFonts w:cs="Times New Roman"/>
          <w:b/>
          <w:bCs/>
          <w:i/>
          <w:iCs/>
          <w:color w:val="000000"/>
          <w:sz w:val="22"/>
          <w:bdr w:val="none" w:sz="0" w:space="0" w:color="auto" w:frame="1"/>
          <w:lang w:val="bg-BG"/>
        </w:rPr>
        <w:t>IsSuccessful</w:t>
      </w:r>
      <w:proofErr w:type="spellEnd"/>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 xml:space="preserve">&lt;T,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success</w:t>
      </w:r>
      <w:r w:rsidRPr="00AC6ADF">
        <w:rPr>
          <w:rFonts w:cs="Times New Roman"/>
          <w:color w:val="000000"/>
          <w:sz w:val="22"/>
          <w:shd w:val="clear" w:color="auto" w:fill="FFFFFF"/>
        </w:rPr>
        <w:t xml:space="preserve"> and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&lt;</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BDB4B3C"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w:t>
      </w:r>
      <w:r w:rsidR="00FD6FCC">
        <w:rPr>
          <w:sz w:val="22"/>
        </w:rPr>
        <w:t>“e</w:t>
      </w:r>
      <w:r w:rsidRPr="003D33AC">
        <w:rPr>
          <w:sz w:val="22"/>
        </w:rPr>
        <w:t>ither</w:t>
      </w:r>
      <w:r w:rsidR="00FD6FCC">
        <w:rPr>
          <w:sz w:val="22"/>
        </w:rPr>
        <w:t>”</w:t>
      </w:r>
      <w:r w:rsidRPr="003D33AC">
        <w:rPr>
          <w:sz w:val="22"/>
        </w:rPr>
        <w:t xml:space="preserve"> type is by consistently supplying both handlers, since attempting to handle just one instance (such as only the success state) would result in a compiler error.</w:t>
      </w:r>
    </w:p>
    <w:p w14:paraId="13EFC3EB" w14:textId="3AEFAEC2" w:rsidR="00CC65CE" w:rsidRDefault="00CC65CE" w:rsidP="00CC65CE">
      <w:pPr>
        <w:pStyle w:val="ICESTTitle"/>
        <w:tabs>
          <w:tab w:val="left" w:pos="500"/>
        </w:tabs>
        <w:ind w:firstLine="284"/>
        <w:jc w:val="both"/>
        <w:rPr>
          <w:sz w:val="22"/>
        </w:rPr>
      </w:pPr>
      <w:r w:rsidRPr="00CC65CE">
        <w:rPr>
          <w:sz w:val="22"/>
        </w:rPr>
        <w:t xml:space="preserve">On the other hand, the "Map" function examines if the </w:t>
      </w:r>
      <w:r w:rsidR="00FD6FCC">
        <w:rPr>
          <w:sz w:val="22"/>
        </w:rPr>
        <w:t>“e</w:t>
      </w:r>
      <w:r w:rsidRPr="00CC65CE">
        <w:rPr>
          <w:sz w:val="22"/>
        </w:rPr>
        <w:t>ither</w:t>
      </w:r>
      <w:r w:rsidR="00FD6FCC">
        <w:rPr>
          <w:sz w:val="22"/>
        </w:rPr>
        <w:t>”</w:t>
      </w:r>
      <w:r w:rsidRPr="00CC65CE">
        <w:rPr>
          <w:sz w:val="22"/>
        </w:rPr>
        <w:t xml:space="preserve"> has a value that signifies success, and if so, it applies a function that alters the value. Alternatively, in the case of an exception, it will immediately provide the exception value in a "transformed"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lastRenderedPageBreak/>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1834EEE3"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proofErr w:type="spellStart"/>
      <w:r w:rsidR="001961EE" w:rsidRPr="001961EE">
        <w:rPr>
          <w:rFonts w:cs="Times New Roman"/>
          <w:sz w:val="22"/>
        </w:rPr>
        <w:t>FlatMap</w:t>
      </w:r>
      <w:proofErr w:type="spellEnd"/>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w:t>
      </w:r>
      <w:r w:rsidR="009C1B73">
        <w:rPr>
          <w:rFonts w:cs="Times New Roman"/>
          <w:sz w:val="22"/>
        </w:rPr>
        <w:t>“</w:t>
      </w:r>
      <w:r w:rsidR="00E125B7">
        <w:rPr>
          <w:rFonts w:cs="Times New Roman"/>
          <w:sz w:val="22"/>
        </w:rPr>
        <w:t>e</w:t>
      </w:r>
      <w:r w:rsidR="001961EE" w:rsidRPr="001961EE">
        <w:rPr>
          <w:rFonts w:cs="Times New Roman"/>
          <w:sz w:val="22"/>
        </w:rPr>
        <w:t>ither</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proofErr w:type="spellStart"/>
      <w:r w:rsidR="001961EE">
        <w:rPr>
          <w:sz w:val="22"/>
        </w:rPr>
        <w:t>Flat</w:t>
      </w:r>
      <w:r w:rsidR="001961EE" w:rsidRPr="00CC65CE">
        <w:rPr>
          <w:sz w:val="22"/>
        </w:rPr>
        <w:t>map</w:t>
      </w:r>
      <w:proofErr w:type="spellEnd"/>
      <w:r w:rsidR="001961EE" w:rsidRPr="00CC65CE">
        <w:rPr>
          <w:sz w:val="22"/>
        </w:rPr>
        <w:t xml:space="preserve">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B3D8D"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Pr="00117C2F">
        <w:rPr>
          <w:rFonts w:cs="Times New Roman"/>
          <w:sz w:val="22"/>
        </w:rPr>
        <w:t>FlatMap</w:t>
      </w:r>
      <w:proofErr w:type="spellEnd"/>
      <w:r w:rsidRPr="00117C2F">
        <w:rPr>
          <w:rFonts w:cs="Times New Roman"/>
          <w:sz w:val="22"/>
        </w:rPr>
        <w:t xml:space="preserve">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E125B7">
        <w:rPr>
          <w:rFonts w:cs="Times New Roman"/>
          <w:sz w:val="22"/>
        </w:rPr>
        <w:t>either”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An example can be review in the following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Pr="00E73828"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77777777" w:rsidR="00864D18" w:rsidRDefault="00A561B1" w:rsidP="00864D18">
      <w:pPr>
        <w:pStyle w:val="ICESTTitle"/>
        <w:tabs>
          <w:tab w:val="left" w:pos="500"/>
        </w:tabs>
        <w:ind w:firstLine="284"/>
        <w:jc w:val="both"/>
        <w:rPr>
          <w:sz w:val="22"/>
        </w:rPr>
      </w:pPr>
      <w:r w:rsidRPr="00A561B1">
        <w:rPr>
          <w:sz w:val="22"/>
        </w:rPr>
        <w:t xml:space="preserve">As previously discussed, the adoption of the CQRS can influence several aspects, such as storage techniques and data distribution.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 facilitating the dissemination of targeted event notifications. This pattern serves to guarantee the integrity of data, facilitate traceability of all domain-related activities, </w:t>
      </w:r>
      <w:r w:rsidRPr="00A561B1">
        <w:rPr>
          <w:sz w:val="22"/>
        </w:rPr>
        <w:t>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77777777" w:rsidR="00864D18" w:rsidRDefault="00864D18" w:rsidP="00864D18">
      <w:pPr>
        <w:pStyle w:val="ICESTTitle"/>
        <w:tabs>
          <w:tab w:val="left" w:pos="500"/>
        </w:tabs>
        <w:ind w:firstLine="284"/>
        <w:jc w:val="both"/>
      </w:pPr>
      <w:r w:rsidRPr="00864D18">
        <w:rPr>
          <w:sz w:val="22"/>
        </w:rPr>
        <w:t xml:space="preserve">The event store database 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 xml:space="preserve">Represents a state </w:t>
            </w:r>
            <w:r w:rsidRPr="00CF143B">
              <w:rPr>
                <w:rFonts w:ascii="Times New Roman" w:hAnsi="Times New Roman"/>
                <w:sz w:val="20"/>
                <w:szCs w:val="20"/>
              </w:rPr>
              <w:lastRenderedPageBreak/>
              <w:t>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286B22B5"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figure 6 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0695A37B"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77777777"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 xml:space="preserve">framework can lead to inefficiencies and pose a challenging </w:t>
      </w:r>
      <w:r w:rsidRPr="006778A3">
        <w:rPr>
          <w:rFonts w:cs="Times New Roman"/>
          <w:sz w:val="22"/>
          <w:szCs w:val="24"/>
        </w:rPr>
        <w:lastRenderedPageBreak/>
        <w:t>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Go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44F0185C" w14:textId="2D9163AE" w:rsidR="00286E77" w:rsidRDefault="004A0441" w:rsidP="00947385">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5A4123BC" w14:textId="77777777" w:rsidR="00947385" w:rsidRPr="00286E77" w:rsidRDefault="00947385" w:rsidP="00947385">
      <w:pPr>
        <w:pStyle w:val="BodyText"/>
        <w:spacing w:after="0" w:line="240" w:lineRule="auto"/>
        <w:ind w:firstLine="284"/>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w:t>
      </w:r>
      <w:r w:rsidR="009453D5" w:rsidRPr="00F7207B">
        <w:t xml:space="preserve">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 xml:space="preserve">Wong, B., &amp; </w:t>
      </w:r>
      <w:proofErr w:type="spellStart"/>
      <w:r w:rsidRPr="00286E77">
        <w:rPr>
          <w:rFonts w:ascii="Times New Roman" w:hAnsi="Times New Roman"/>
          <w:color w:val="222222"/>
          <w:sz w:val="20"/>
          <w:szCs w:val="20"/>
          <w:shd w:val="clear" w:color="auto" w:fill="FFFFFF"/>
        </w:rPr>
        <w:t>Kokko</w:t>
      </w:r>
      <w:proofErr w:type="spellEnd"/>
      <w:r w:rsidRPr="00286E77">
        <w:rPr>
          <w:rFonts w:ascii="Times New Roman" w:hAnsi="Times New Roman"/>
          <w:color w:val="222222"/>
          <w:sz w:val="20"/>
          <w:szCs w:val="20"/>
          <w:shd w:val="clear" w:color="auto" w:fill="FFFFFF"/>
        </w:rPr>
        <w:t>,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 xml:space="preserve">Enhancing readiness: An exploration of the New Zealand Qualified Firefighter </w:t>
      </w:r>
      <w:proofErr w:type="spellStart"/>
      <w:r w:rsidRPr="00CB19C3">
        <w:rPr>
          <w:rFonts w:ascii="Times New Roman" w:hAnsi="Times New Roman"/>
          <w:i/>
          <w:iCs/>
          <w:sz w:val="20"/>
          <w:szCs w:val="20"/>
        </w:rPr>
        <w:t>Programme</w:t>
      </w:r>
      <w:proofErr w:type="spellEnd"/>
      <w:r w:rsidRPr="00CB19C3">
        <w:rPr>
          <w:rFonts w:ascii="Times New Roman" w:hAnsi="Times New Roman"/>
          <w:sz w:val="20"/>
          <w:szCs w:val="20"/>
        </w:rPr>
        <w:t xml:space="preserve"> [Master's thesis, Auckland University of Technology]. </w:t>
      </w:r>
      <w:proofErr w:type="spellStart"/>
      <w:r w:rsidRPr="00CB19C3">
        <w:rPr>
          <w:rFonts w:ascii="Times New Roman" w:hAnsi="Times New Roman"/>
          <w:sz w:val="20"/>
          <w:szCs w:val="20"/>
        </w:rPr>
        <w:t>Tuwhera</w:t>
      </w:r>
      <w:proofErr w:type="spellEnd"/>
      <w:r w:rsidRPr="00CB19C3">
        <w:rPr>
          <w:rFonts w:ascii="Times New Roman" w:hAnsi="Times New Roman"/>
          <w:sz w:val="20"/>
          <w:szCs w:val="20"/>
        </w:rPr>
        <w:t>.</w:t>
      </w:r>
    </w:p>
    <w:p w14:paraId="6051A363" w14:textId="654B28EC" w:rsidR="001853EF" w:rsidRPr="00286E77" w:rsidRDefault="00CB19C3" w:rsidP="001853EF">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w:t>
      </w:r>
      <w:proofErr w:type="spellStart"/>
      <w:r w:rsidRPr="00CB19C3">
        <w:rPr>
          <w:rFonts w:ascii="Times New Roman" w:hAnsi="Times New Roman"/>
          <w:sz w:val="20"/>
          <w:szCs w:val="20"/>
        </w:rPr>
        <w:t>Houzel</w:t>
      </w:r>
      <w:proofErr w:type="spellEnd"/>
      <w:r w:rsidRPr="00CB19C3">
        <w:rPr>
          <w:rFonts w:ascii="Times New Roman" w:hAnsi="Times New Roman"/>
          <w:sz w:val="20"/>
          <w:szCs w:val="20"/>
        </w:rPr>
        <w:t>, S., Collins, C. E., Wong, P., Kaas, J. H., &amp; Lent, R. (2008). The basic nonuniformity of the cerebral cortex. </w:t>
      </w:r>
      <w:r w:rsidRPr="00CB19C3">
        <w:rPr>
          <w:rFonts w:ascii="Times New Roman" w:hAnsi="Times New Roman"/>
          <w:i/>
          <w:iCs/>
          <w:sz w:val="20"/>
          <w:szCs w:val="20"/>
        </w:rPr>
        <w:t xml:space="preserve">Proceedings of the National </w:t>
      </w:r>
    </w:p>
    <w:p w14:paraId="1DF01CDE" w14:textId="43778BE4" w:rsidR="00286E77" w:rsidRPr="00286E77" w:rsidRDefault="00286E77" w:rsidP="00286E77">
      <w:pPr>
        <w:pStyle w:val="ListParagraph"/>
        <w:spacing w:after="0" w:line="240" w:lineRule="auto"/>
        <w:ind w:left="360"/>
        <w:jc w:val="both"/>
        <w:rPr>
          <w:rFonts w:ascii="Times New Roman" w:hAnsi="Times New Roman"/>
          <w:sz w:val="20"/>
          <w:szCs w:val="20"/>
        </w:rPr>
      </w:pP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B98D" w14:textId="77777777" w:rsidR="00CE4F29" w:rsidRDefault="00CE4F29" w:rsidP="00110ACC">
      <w:pPr>
        <w:spacing w:after="0" w:line="240" w:lineRule="auto"/>
      </w:pPr>
      <w:r>
        <w:separator/>
      </w:r>
    </w:p>
  </w:endnote>
  <w:endnote w:type="continuationSeparator" w:id="0">
    <w:p w14:paraId="49829D23" w14:textId="77777777" w:rsidR="00CE4F29" w:rsidRDefault="00CE4F29"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A540" w14:textId="77777777" w:rsidR="00CE4F29" w:rsidRDefault="00CE4F29" w:rsidP="00110ACC">
      <w:pPr>
        <w:spacing w:after="0" w:line="240" w:lineRule="auto"/>
      </w:pPr>
      <w:r>
        <w:separator/>
      </w:r>
    </w:p>
  </w:footnote>
  <w:footnote w:type="continuationSeparator" w:id="0">
    <w:p w14:paraId="6A42754E" w14:textId="77777777" w:rsidR="00CE4F29" w:rsidRDefault="00CE4F29"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0704"/>
    <w:rsid w:val="00076525"/>
    <w:rsid w:val="00087827"/>
    <w:rsid w:val="0009060C"/>
    <w:rsid w:val="00093BA4"/>
    <w:rsid w:val="000A481E"/>
    <w:rsid w:val="000B5A97"/>
    <w:rsid w:val="000C15F1"/>
    <w:rsid w:val="000C1CE4"/>
    <w:rsid w:val="000C6B51"/>
    <w:rsid w:val="000C6FD1"/>
    <w:rsid w:val="000C7283"/>
    <w:rsid w:val="000D02CA"/>
    <w:rsid w:val="000E1E65"/>
    <w:rsid w:val="000F67A6"/>
    <w:rsid w:val="00105082"/>
    <w:rsid w:val="00110ACC"/>
    <w:rsid w:val="00112BDD"/>
    <w:rsid w:val="00113716"/>
    <w:rsid w:val="00117C2F"/>
    <w:rsid w:val="00143AD6"/>
    <w:rsid w:val="00147DDB"/>
    <w:rsid w:val="00154BFF"/>
    <w:rsid w:val="00162F46"/>
    <w:rsid w:val="00171D53"/>
    <w:rsid w:val="001729A1"/>
    <w:rsid w:val="00174F59"/>
    <w:rsid w:val="00175587"/>
    <w:rsid w:val="00176FDC"/>
    <w:rsid w:val="00183177"/>
    <w:rsid w:val="001853EF"/>
    <w:rsid w:val="00191684"/>
    <w:rsid w:val="00194C87"/>
    <w:rsid w:val="001961EE"/>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37B9A"/>
    <w:rsid w:val="002524EE"/>
    <w:rsid w:val="00254B2E"/>
    <w:rsid w:val="00266CAB"/>
    <w:rsid w:val="00271490"/>
    <w:rsid w:val="00273A90"/>
    <w:rsid w:val="00274FEC"/>
    <w:rsid w:val="00286E77"/>
    <w:rsid w:val="00297F8C"/>
    <w:rsid w:val="002A4059"/>
    <w:rsid w:val="002B0E64"/>
    <w:rsid w:val="002B27AE"/>
    <w:rsid w:val="002C7B00"/>
    <w:rsid w:val="002E2A67"/>
    <w:rsid w:val="002F0603"/>
    <w:rsid w:val="002F373E"/>
    <w:rsid w:val="002F3B31"/>
    <w:rsid w:val="00307B08"/>
    <w:rsid w:val="0031256C"/>
    <w:rsid w:val="00320E85"/>
    <w:rsid w:val="00321905"/>
    <w:rsid w:val="00335435"/>
    <w:rsid w:val="003424A4"/>
    <w:rsid w:val="00345E98"/>
    <w:rsid w:val="00352021"/>
    <w:rsid w:val="00354897"/>
    <w:rsid w:val="003575C0"/>
    <w:rsid w:val="00374257"/>
    <w:rsid w:val="003A1DBA"/>
    <w:rsid w:val="003A2ED4"/>
    <w:rsid w:val="003A6D8E"/>
    <w:rsid w:val="003B478B"/>
    <w:rsid w:val="003C5116"/>
    <w:rsid w:val="003D33AC"/>
    <w:rsid w:val="003D7012"/>
    <w:rsid w:val="003E1ABD"/>
    <w:rsid w:val="003F0B9D"/>
    <w:rsid w:val="003F3EEC"/>
    <w:rsid w:val="003F6E10"/>
    <w:rsid w:val="004021DB"/>
    <w:rsid w:val="0042743D"/>
    <w:rsid w:val="00450EDB"/>
    <w:rsid w:val="00461C83"/>
    <w:rsid w:val="004640D4"/>
    <w:rsid w:val="00465D9E"/>
    <w:rsid w:val="00483A17"/>
    <w:rsid w:val="004909B9"/>
    <w:rsid w:val="00492AE4"/>
    <w:rsid w:val="004A0441"/>
    <w:rsid w:val="004B045A"/>
    <w:rsid w:val="004B3FCC"/>
    <w:rsid w:val="004B6EBE"/>
    <w:rsid w:val="004B7229"/>
    <w:rsid w:val="004C0BB9"/>
    <w:rsid w:val="004C3E14"/>
    <w:rsid w:val="00511EA0"/>
    <w:rsid w:val="00515EC2"/>
    <w:rsid w:val="00516D36"/>
    <w:rsid w:val="00531AF3"/>
    <w:rsid w:val="00532255"/>
    <w:rsid w:val="005330CD"/>
    <w:rsid w:val="00541DFE"/>
    <w:rsid w:val="00553524"/>
    <w:rsid w:val="00554102"/>
    <w:rsid w:val="00572761"/>
    <w:rsid w:val="005B272D"/>
    <w:rsid w:val="005B5125"/>
    <w:rsid w:val="005D303D"/>
    <w:rsid w:val="005D4031"/>
    <w:rsid w:val="005E0894"/>
    <w:rsid w:val="005F73BF"/>
    <w:rsid w:val="0060181E"/>
    <w:rsid w:val="0060594A"/>
    <w:rsid w:val="00606902"/>
    <w:rsid w:val="006241AF"/>
    <w:rsid w:val="006433B8"/>
    <w:rsid w:val="006437CD"/>
    <w:rsid w:val="0064647A"/>
    <w:rsid w:val="006500A3"/>
    <w:rsid w:val="00651033"/>
    <w:rsid w:val="0065347C"/>
    <w:rsid w:val="00655734"/>
    <w:rsid w:val="006557D0"/>
    <w:rsid w:val="0065752C"/>
    <w:rsid w:val="006663C8"/>
    <w:rsid w:val="00666B13"/>
    <w:rsid w:val="006677A6"/>
    <w:rsid w:val="006778A3"/>
    <w:rsid w:val="00687650"/>
    <w:rsid w:val="00691FB8"/>
    <w:rsid w:val="006E0C57"/>
    <w:rsid w:val="006F4973"/>
    <w:rsid w:val="00700244"/>
    <w:rsid w:val="0070188A"/>
    <w:rsid w:val="00704F2D"/>
    <w:rsid w:val="00704F9A"/>
    <w:rsid w:val="00717303"/>
    <w:rsid w:val="007223F2"/>
    <w:rsid w:val="00730D9E"/>
    <w:rsid w:val="007404D3"/>
    <w:rsid w:val="007435D9"/>
    <w:rsid w:val="007476C6"/>
    <w:rsid w:val="007536B3"/>
    <w:rsid w:val="00767D2B"/>
    <w:rsid w:val="00784A98"/>
    <w:rsid w:val="00786860"/>
    <w:rsid w:val="00794F48"/>
    <w:rsid w:val="007B678D"/>
    <w:rsid w:val="007D35E5"/>
    <w:rsid w:val="007D5851"/>
    <w:rsid w:val="007D7A60"/>
    <w:rsid w:val="007E0199"/>
    <w:rsid w:val="007F05FF"/>
    <w:rsid w:val="007F1E2F"/>
    <w:rsid w:val="007F3140"/>
    <w:rsid w:val="007F5E56"/>
    <w:rsid w:val="00805CB8"/>
    <w:rsid w:val="00806445"/>
    <w:rsid w:val="00806EFC"/>
    <w:rsid w:val="008274F7"/>
    <w:rsid w:val="00841F7C"/>
    <w:rsid w:val="00845314"/>
    <w:rsid w:val="00845712"/>
    <w:rsid w:val="00861E00"/>
    <w:rsid w:val="00864D18"/>
    <w:rsid w:val="00872369"/>
    <w:rsid w:val="00874880"/>
    <w:rsid w:val="00886C55"/>
    <w:rsid w:val="00890BA4"/>
    <w:rsid w:val="00891F32"/>
    <w:rsid w:val="00895290"/>
    <w:rsid w:val="008A0056"/>
    <w:rsid w:val="008B0348"/>
    <w:rsid w:val="008C33D4"/>
    <w:rsid w:val="008C4273"/>
    <w:rsid w:val="008E0538"/>
    <w:rsid w:val="008E38E5"/>
    <w:rsid w:val="008E5940"/>
    <w:rsid w:val="008F7AE4"/>
    <w:rsid w:val="00920C71"/>
    <w:rsid w:val="009279C1"/>
    <w:rsid w:val="009453D5"/>
    <w:rsid w:val="00947385"/>
    <w:rsid w:val="009503D0"/>
    <w:rsid w:val="00955C1F"/>
    <w:rsid w:val="00957D1D"/>
    <w:rsid w:val="00964A88"/>
    <w:rsid w:val="00973441"/>
    <w:rsid w:val="00992284"/>
    <w:rsid w:val="00993331"/>
    <w:rsid w:val="0099751F"/>
    <w:rsid w:val="009A73A9"/>
    <w:rsid w:val="009B6046"/>
    <w:rsid w:val="009B7C7D"/>
    <w:rsid w:val="009B7E1B"/>
    <w:rsid w:val="009C1B73"/>
    <w:rsid w:val="009C7668"/>
    <w:rsid w:val="009E0AFD"/>
    <w:rsid w:val="00A016A2"/>
    <w:rsid w:val="00A07C45"/>
    <w:rsid w:val="00A1732B"/>
    <w:rsid w:val="00A17D31"/>
    <w:rsid w:val="00A305F0"/>
    <w:rsid w:val="00A324D1"/>
    <w:rsid w:val="00A47999"/>
    <w:rsid w:val="00A5129C"/>
    <w:rsid w:val="00A561B1"/>
    <w:rsid w:val="00A6528A"/>
    <w:rsid w:val="00A75CF9"/>
    <w:rsid w:val="00AA4529"/>
    <w:rsid w:val="00AB0BA1"/>
    <w:rsid w:val="00AC6ADF"/>
    <w:rsid w:val="00AE12C2"/>
    <w:rsid w:val="00AF6B63"/>
    <w:rsid w:val="00B23D22"/>
    <w:rsid w:val="00B256C8"/>
    <w:rsid w:val="00B3018E"/>
    <w:rsid w:val="00B41149"/>
    <w:rsid w:val="00B60C56"/>
    <w:rsid w:val="00B70AD3"/>
    <w:rsid w:val="00B76FF5"/>
    <w:rsid w:val="00B80BDB"/>
    <w:rsid w:val="00B85B29"/>
    <w:rsid w:val="00B913C4"/>
    <w:rsid w:val="00B94B1E"/>
    <w:rsid w:val="00BA085E"/>
    <w:rsid w:val="00BA649C"/>
    <w:rsid w:val="00BB5D71"/>
    <w:rsid w:val="00BB6337"/>
    <w:rsid w:val="00BC0532"/>
    <w:rsid w:val="00BD0A6C"/>
    <w:rsid w:val="00BD2876"/>
    <w:rsid w:val="00BD3C56"/>
    <w:rsid w:val="00BE4E2F"/>
    <w:rsid w:val="00BF74A7"/>
    <w:rsid w:val="00C0342B"/>
    <w:rsid w:val="00C15FB0"/>
    <w:rsid w:val="00C245C5"/>
    <w:rsid w:val="00C54E60"/>
    <w:rsid w:val="00C55984"/>
    <w:rsid w:val="00C86DED"/>
    <w:rsid w:val="00CB003C"/>
    <w:rsid w:val="00CB19C3"/>
    <w:rsid w:val="00CB4453"/>
    <w:rsid w:val="00CB76D6"/>
    <w:rsid w:val="00CC65CE"/>
    <w:rsid w:val="00CD3112"/>
    <w:rsid w:val="00CD3561"/>
    <w:rsid w:val="00CD57A2"/>
    <w:rsid w:val="00CE4F29"/>
    <w:rsid w:val="00CE6907"/>
    <w:rsid w:val="00CF143B"/>
    <w:rsid w:val="00D01CAF"/>
    <w:rsid w:val="00D129B8"/>
    <w:rsid w:val="00D17634"/>
    <w:rsid w:val="00D17899"/>
    <w:rsid w:val="00D40786"/>
    <w:rsid w:val="00D46066"/>
    <w:rsid w:val="00D64831"/>
    <w:rsid w:val="00D75918"/>
    <w:rsid w:val="00D7699F"/>
    <w:rsid w:val="00D81CEF"/>
    <w:rsid w:val="00D84A7C"/>
    <w:rsid w:val="00DA5955"/>
    <w:rsid w:val="00DB76D4"/>
    <w:rsid w:val="00DC19B1"/>
    <w:rsid w:val="00DD11F2"/>
    <w:rsid w:val="00DD2463"/>
    <w:rsid w:val="00DE2540"/>
    <w:rsid w:val="00DE5F4D"/>
    <w:rsid w:val="00E125B7"/>
    <w:rsid w:val="00E14177"/>
    <w:rsid w:val="00E271DA"/>
    <w:rsid w:val="00E27C6F"/>
    <w:rsid w:val="00E42143"/>
    <w:rsid w:val="00E56D29"/>
    <w:rsid w:val="00E56DD3"/>
    <w:rsid w:val="00E64DA3"/>
    <w:rsid w:val="00E73828"/>
    <w:rsid w:val="00E77F89"/>
    <w:rsid w:val="00E842C2"/>
    <w:rsid w:val="00E9212A"/>
    <w:rsid w:val="00EA6B41"/>
    <w:rsid w:val="00EA77A9"/>
    <w:rsid w:val="00EE6EFF"/>
    <w:rsid w:val="00EE7E12"/>
    <w:rsid w:val="00EF2C52"/>
    <w:rsid w:val="00F142D6"/>
    <w:rsid w:val="00F22CD8"/>
    <w:rsid w:val="00F24C84"/>
    <w:rsid w:val="00F33CBE"/>
    <w:rsid w:val="00F400E0"/>
    <w:rsid w:val="00F7207B"/>
    <w:rsid w:val="00F754AA"/>
    <w:rsid w:val="00F76F7B"/>
    <w:rsid w:val="00F8762D"/>
    <w:rsid w:val="00F87D13"/>
    <w:rsid w:val="00F9211E"/>
    <w:rsid w:val="00F936C8"/>
    <w:rsid w:val="00F95886"/>
    <w:rsid w:val="00F95C67"/>
    <w:rsid w:val="00FB2994"/>
    <w:rsid w:val="00FB2FFA"/>
    <w:rsid w:val="00FB538F"/>
    <w:rsid w:val="00FC09A4"/>
    <w:rsid w:val="00FC1785"/>
    <w:rsid w:val="00FC7935"/>
    <w:rsid w:val="00FD6FCC"/>
    <w:rsid w:val="00FE1842"/>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9</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128</cp:revision>
  <dcterms:created xsi:type="dcterms:W3CDTF">2021-06-01T19:34:00Z</dcterms:created>
  <dcterms:modified xsi:type="dcterms:W3CDTF">2024-07-12T08:15:00Z</dcterms:modified>
</cp:coreProperties>
</file>