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7F735B57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215A0F15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Pr="00613623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A5D6" w14:textId="45EC4642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Pr="00613623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E2F3" w14:textId="042883D5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Pr="0061362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66CF" w14:textId="6764F465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Pr="0061362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E791" w14:textId="1CAB57C7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Pr="00613623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93BF" w14:textId="0364881E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Pr="00613623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D9B6" w14:textId="5BF24118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Pr="0061362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 xml:space="preserve">Въведение в проблема </w:t>
            </w:r>
            <w:r w:rsidRPr="00613623">
              <w:rPr>
                <w:rStyle w:val="Hyperlink"/>
                <w:noProof/>
                <w:lang w:val="en-US"/>
              </w:rPr>
              <w:t>“</w:t>
            </w:r>
            <w:r w:rsidRPr="00613623">
              <w:rPr>
                <w:rStyle w:val="Hyperlink"/>
                <w:noProof/>
              </w:rPr>
              <w:t>Съгласуваност между услугите</w:t>
            </w:r>
            <w:r w:rsidRPr="00613623">
              <w:rPr>
                <w:rStyle w:val="Hyperlink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CDFE" w14:textId="5F9F202B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Pr="0061362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6FEC" w14:textId="41B29F91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Pr="00613623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AB18" w14:textId="51BDA4C7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Pr="0061362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8306" w14:textId="7B238E7C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Pr="0061362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Шлюз за приложете програмни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45B6" w14:textId="2D4D6C09" w:rsidR="00C82368" w:rsidRDefault="00C8236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Pr="00613623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13623">
              <w:rPr>
                <w:rStyle w:val="Hyperlink"/>
                <w:noProof/>
              </w:rPr>
              <w:t>Комуникация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2A5D" w14:textId="46470E3E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Pr="00613623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040F" w14:textId="4B58784C" w:rsidR="00C82368" w:rsidRDefault="00C8236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71B16862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74FB3FF9" w14:textId="3AE7A17A" w:rsidR="001A78BB" w:rsidRDefault="00D971EA" w:rsidP="006733C7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от тенденцията</w:t>
      </w:r>
      <w:r>
        <w:rPr>
          <w:szCs w:val="28"/>
          <w:lang w:val="bg-BG"/>
        </w:rPr>
        <w:t xml:space="preserve"> о</w:t>
      </w:r>
      <w:r w:rsidR="000745CF">
        <w:rPr>
          <w:szCs w:val="28"/>
          <w:lang w:val="bg-BG"/>
        </w:rPr>
        <w:t>блачните технологии</w:t>
      </w:r>
      <w:r>
        <w:rPr>
          <w:szCs w:val="28"/>
          <w:lang w:val="bg-BG"/>
        </w:rPr>
        <w:t xml:space="preserve"> да</w:t>
      </w:r>
      <w:r w:rsidR="00E1475B" w:rsidRPr="00E1475B">
        <w:rPr>
          <w:szCs w:val="28"/>
        </w:rPr>
        <w:t xml:space="preserve"> се </w:t>
      </w:r>
      <w:r w:rsidR="00100094">
        <w:rPr>
          <w:szCs w:val="28"/>
          <w:lang w:val="bg-BG"/>
        </w:rPr>
        <w:t xml:space="preserve">превръщат в основна </w:t>
      </w:r>
      <w:r w:rsidR="00E1475B" w:rsidRPr="00E1475B">
        <w:rPr>
          <w:szCs w:val="28"/>
        </w:rPr>
        <w:t xml:space="preserve">платформа </w:t>
      </w:r>
      <w:r w:rsidR="001A78BB">
        <w:rPr>
          <w:szCs w:val="28"/>
          <w:lang w:val="bg-BG"/>
        </w:rPr>
        <w:t>н</w:t>
      </w:r>
      <w:r w:rsidR="00E1475B" w:rsidRPr="00E1475B">
        <w:rPr>
          <w:szCs w:val="28"/>
        </w:rPr>
        <w:t xml:space="preserve">а </w:t>
      </w:r>
      <w:r w:rsidR="001A78BB">
        <w:rPr>
          <w:szCs w:val="28"/>
          <w:lang w:val="bg-BG"/>
        </w:rPr>
        <w:t xml:space="preserve">продуктовите </w:t>
      </w:r>
      <w:r w:rsidR="00E1475B" w:rsidRPr="00E1475B">
        <w:rPr>
          <w:szCs w:val="28"/>
        </w:rPr>
        <w:t>предприятия</w:t>
      </w:r>
      <w:r w:rsidR="000745CF">
        <w:rPr>
          <w:szCs w:val="28"/>
          <w:lang w:val="bg-BG"/>
        </w:rPr>
        <w:t xml:space="preserve">та, които искат </w:t>
      </w:r>
      <w:r w:rsidR="00E1475B" w:rsidRPr="00E1475B">
        <w:rPr>
          <w:szCs w:val="28"/>
        </w:rPr>
        <w:t>да внедряват и изпълняват своите</w:t>
      </w:r>
      <w:r w:rsidR="000745CF">
        <w:rPr>
          <w:szCs w:val="28"/>
          <w:lang w:val="bg-BG"/>
        </w:rPr>
        <w:t xml:space="preserve"> дигитални</w:t>
      </w:r>
      <w:r w:rsidR="00E1475B" w:rsidRPr="00E1475B">
        <w:rPr>
          <w:szCs w:val="28"/>
        </w:rPr>
        <w:t xml:space="preserve"> бизнес услуги.</w:t>
      </w:r>
      <w:r w:rsidR="006733C7">
        <w:rPr>
          <w:szCs w:val="28"/>
        </w:rPr>
        <w:t xml:space="preserve"> </w:t>
      </w:r>
    </w:p>
    <w:p w14:paraId="640F8398" w14:textId="07B7678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>, състояща се от</w:t>
      </w:r>
      <w:r w:rsidR="006733C7" w:rsidRPr="006733C7">
        <w:rPr>
          <w:szCs w:val="28"/>
          <w:lang w:val="bg-BG"/>
        </w:rPr>
        <w:t xml:space="preserve"> много малки, независими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микроуслуга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който е разположен в клъстер</w:t>
      </w:r>
      <w:r w:rsidR="00DA71AD">
        <w:rPr>
          <w:szCs w:val="28"/>
          <w:lang w:val="bg-BG"/>
        </w:rPr>
        <w:t xml:space="preserve">, </w:t>
      </w:r>
      <w:r w:rsidR="00DA71AD" w:rsidRPr="00987A2D">
        <w:rPr>
          <w:szCs w:val="28"/>
        </w:rPr>
        <w:t>управляван от  инструмент за оркестрация, който отговаря за внедряване и управлението</w:t>
      </w:r>
      <w:r w:rsidR="006733C7" w:rsidRPr="006733C7">
        <w:rPr>
          <w:szCs w:val="28"/>
          <w:lang w:val="bg-BG"/>
        </w:rPr>
        <w:t>.</w:t>
      </w:r>
    </w:p>
    <w:p w14:paraId="6B60FEE8" w14:textId="77777777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 с</w:t>
      </w:r>
      <w:r w:rsidR="00E1475B" w:rsidRPr="00E1475B">
        <w:rPr>
          <w:szCs w:val="28"/>
        </w:rPr>
        <w:t>ътрудничеството</w:t>
      </w:r>
      <w:r w:rsidR="000745CF">
        <w:rPr>
          <w:szCs w:val="28"/>
          <w:lang w:val="bg-BG"/>
        </w:rPr>
        <w:t xml:space="preserve"> или т.н. </w:t>
      </w:r>
      <w:r w:rsidR="000745CF" w:rsidRPr="000745CF">
        <w:rPr>
          <w:szCs w:val="28"/>
          <w:lang w:val="bg-BG"/>
        </w:rPr>
        <w:t>информационно и икономическо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E1475B" w:rsidRPr="00E1475B">
        <w:rPr>
          <w:szCs w:val="28"/>
        </w:rPr>
        <w:t xml:space="preserve"> изисква</w:t>
      </w:r>
      <w:r w:rsidR="00A746B3">
        <w:rPr>
          <w:szCs w:val="28"/>
          <w:lang w:val="bg-BG"/>
        </w:rPr>
        <w:t>що</w:t>
      </w:r>
      <w:r w:rsidR="00100094">
        <w:rPr>
          <w:szCs w:val="28"/>
          <w:lang w:val="bg-BG"/>
        </w:rPr>
        <w:t xml:space="preserve"> </w:t>
      </w:r>
      <w:r w:rsidR="00100094" w:rsidRPr="00100094">
        <w:rPr>
          <w:szCs w:val="28"/>
          <w:lang w:val="bg-BG"/>
        </w:rPr>
        <w:t>надеждни</w:t>
      </w:r>
      <w:r w:rsidR="00E1475B" w:rsidRPr="00E1475B">
        <w:rPr>
          <w:szCs w:val="28"/>
        </w:rPr>
        <w:t xml:space="preserve"> </w:t>
      </w:r>
      <w:r w:rsidR="000745CF">
        <w:rPr>
          <w:szCs w:val="28"/>
          <w:lang w:val="bg-BG"/>
        </w:rPr>
        <w:t>модели</w:t>
      </w:r>
      <w:r w:rsidR="00E1475B" w:rsidRPr="00E1475B">
        <w:rPr>
          <w:szCs w:val="28"/>
        </w:rPr>
        <w:t xml:space="preserve"> за </w:t>
      </w:r>
      <w:r w:rsidR="000745CF">
        <w:rPr>
          <w:szCs w:val="28"/>
          <w:lang w:val="bg-BG"/>
        </w:rPr>
        <w:t>комуникация</w:t>
      </w:r>
      <w:r>
        <w:rPr>
          <w:szCs w:val="28"/>
          <w:lang w:val="bg-BG"/>
        </w:rPr>
        <w:t>.</w:t>
      </w:r>
      <w:r w:rsidR="00E1475B" w:rsidRPr="00E1475B">
        <w:rPr>
          <w:szCs w:val="28"/>
        </w:rPr>
        <w:t xml:space="preserve"> </w:t>
      </w:r>
      <w:r w:rsidR="001A78BB">
        <w:rPr>
          <w:szCs w:val="28"/>
          <w:lang w:val="bg-BG"/>
        </w:rPr>
        <w:t xml:space="preserve">От </w:t>
      </w:r>
      <w:r w:rsidR="004F2D10" w:rsidRPr="00D05F76">
        <w:rPr>
          <w:szCs w:val="28"/>
        </w:rPr>
        <w:t>архитектур</w:t>
      </w:r>
      <w:r w:rsidR="001A78BB">
        <w:rPr>
          <w:szCs w:val="28"/>
          <w:lang w:val="bg-BG"/>
        </w:rPr>
        <w:t>на гледна точка</w:t>
      </w:r>
      <w:r w:rsidR="004F2D10" w:rsidRPr="00D05F76">
        <w:rPr>
          <w:szCs w:val="28"/>
        </w:rPr>
        <w:t xml:space="preserve">, комуникационните протоколи </w:t>
      </w:r>
      <w:r w:rsidR="00BC243B">
        <w:rPr>
          <w:szCs w:val="28"/>
          <w:lang w:val="bg-BG"/>
        </w:rPr>
        <w:t>са</w:t>
      </w:r>
      <w:r w:rsidR="004F2D10" w:rsidRPr="00D05F76">
        <w:rPr>
          <w:szCs w:val="28"/>
        </w:rPr>
        <w:t xml:space="preserve"> важно дизайнерско решение.</w:t>
      </w:r>
      <w:r w:rsidR="004F2D10">
        <w:rPr>
          <w:szCs w:val="28"/>
        </w:rPr>
        <w:t xml:space="preserve"> </w:t>
      </w:r>
      <w:r w:rsidR="004F2D10"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 w:rsidR="004F2D10">
        <w:rPr>
          <w:szCs w:val="28"/>
        </w:rPr>
        <w:t xml:space="preserve">. 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4104ACD2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възможните комуникационни модели между клиентско приложение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5ED11E42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комуникация в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lastRenderedPageBreak/>
        <w:t>Синхронна комуникация между микроуслуги</w:t>
      </w:r>
      <w:bookmarkEnd w:id="3"/>
    </w:p>
    <w:p w14:paraId="0CEE7D14" w14:textId="20CBDB1C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разчита главно на протоколите </w:t>
      </w:r>
      <w:r w:rsidR="00885C22" w:rsidRPr="00885C22">
        <w:rPr>
          <w:lang w:val="bg-BG"/>
        </w:rPr>
        <w:t>HTTP/HTTPS</w:t>
      </w:r>
      <w:r w:rsidR="00885C22">
        <w:rPr>
          <w:lang w:val="bg-BG"/>
        </w:rPr>
        <w:t>.</w:t>
      </w:r>
      <w:r w:rsidR="00885C22" w:rsidRPr="00885C22">
        <w:rPr>
          <w:lang w:val="bg-BG"/>
        </w:rPr>
        <w:t xml:space="preserve"> </w:t>
      </w:r>
      <w:r w:rsidR="00F168C8">
        <w:rPr>
          <w:lang w:val="bg-BG"/>
        </w:rPr>
        <w:t>З</w:t>
      </w:r>
      <w:r w:rsidR="00F168C8" w:rsidRPr="00F168C8">
        <w:rPr>
          <w:lang w:val="bg-BG"/>
        </w:rPr>
        <w:t xml:space="preserve">ависи от комуникацията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0D85B756" w14:textId="5AE22D81" w:rsidR="00C77E44" w:rsidRPr="00C77E44" w:rsidRDefault="00C77E44" w:rsidP="00C77E44">
      <w:pPr>
        <w:rPr>
          <w:lang w:val="bg-BG"/>
        </w:rPr>
      </w:pPr>
      <w:bookmarkStart w:id="5" w:name="_Hlk92025063"/>
      <w:r w:rsidRPr="00C77E44">
        <w:rPr>
          <w:lang w:val="bg-BG"/>
        </w:rPr>
        <w:t xml:space="preserve">През 2000 г. Рой Филдинг предлага прехвърляне на представително състояние (REST) като архитектурен подход за проектиране на уеб услуги. REST е архитектурен стил за изграждане на разпределени системи, базирани на хипермедия. </w:t>
      </w:r>
      <w:r>
        <w:rPr>
          <w:lang w:val="bg-BG"/>
        </w:rPr>
        <w:t>Той</w:t>
      </w:r>
      <w:r w:rsidRPr="00C77E44">
        <w:rPr>
          <w:lang w:val="bg-BG"/>
        </w:rPr>
        <w:t xml:space="preserve"> е независим от всеки основен протокол и не е непременно обвързан с HTTP. Въпреки това, най-често срещаните реализации на REST API използват HTTP като протокол на приложението</w:t>
      </w:r>
      <w:r>
        <w:rPr>
          <w:lang w:val="bg-BG"/>
        </w:rPr>
        <w:t>.</w:t>
      </w:r>
    </w:p>
    <w:p w14:paraId="2F2DAC93" w14:textId="6F1C54AF" w:rsidR="00C77E44" w:rsidRDefault="00C77E44" w:rsidP="00C77E44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уеб услуга REST може да бъде написана в ASP.NET и клиентските приложения могат да използват всеки език или набор от инструменти, които могат да генерират HTTP заявки и да анализират HTTP отговори.</w:t>
      </w:r>
    </w:p>
    <w:p w14:paraId="0A5AA1C9" w14:textId="313EA279" w:rsidR="00683EB8" w:rsidRPr="00683EB8" w:rsidRDefault="00D73E17" w:rsidP="00683EB8">
      <w:pPr>
        <w:rPr>
          <w:lang w:val="bg-BG"/>
        </w:rPr>
      </w:pPr>
      <w:r w:rsidRPr="00D73E17">
        <w:rPr>
          <w:lang w:val="bg-BG"/>
        </w:rPr>
        <w:t>REST-базирана комуникация</w:t>
      </w:r>
      <w:r w:rsidR="005C66A7">
        <w:rPr>
          <w:lang w:val="bg-BG"/>
        </w:rPr>
        <w:t xml:space="preserve"> е една от н</w:t>
      </w:r>
      <w:r w:rsidR="005C66A7" w:rsidRPr="005C66A7">
        <w:rPr>
          <w:lang w:val="bg-BG"/>
        </w:rPr>
        <w:t>ай-използвани</w:t>
      </w:r>
      <w:r w:rsidR="005C66A7">
        <w:rPr>
          <w:lang w:val="bg-BG"/>
        </w:rPr>
        <w:t>те</w:t>
      </w:r>
      <w:r w:rsidR="005C66A7" w:rsidRPr="005C66A7">
        <w:rPr>
          <w:lang w:val="bg-BG"/>
        </w:rPr>
        <w:t xml:space="preserve"> в днешно време</w:t>
      </w:r>
      <w:r w:rsidRPr="00D73E17">
        <w:rPr>
          <w:lang w:val="bg-BG"/>
        </w:rPr>
        <w:t>.</w:t>
      </w:r>
      <w:r w:rsidR="0095653E">
        <w:rPr>
          <w:lang w:val="bg-BG"/>
        </w:rPr>
        <w:t xml:space="preserve"> Т</w:t>
      </w:r>
      <w:r w:rsidR="005C66A7">
        <w:rPr>
          <w:lang w:val="bg-BG"/>
        </w:rPr>
        <w:t>я</w:t>
      </w:r>
      <w:r w:rsidRPr="00D73E17">
        <w:rPr>
          <w:lang w:val="bg-BG"/>
        </w:rPr>
        <w:t xml:space="preserve"> изисква услуг</w:t>
      </w:r>
      <w:r w:rsidR="005C66A7">
        <w:rPr>
          <w:lang w:val="bg-BG"/>
        </w:rPr>
        <w:t>ите да с</w:t>
      </w:r>
      <w:r w:rsidR="005C66A7" w:rsidRPr="00D73E17">
        <w:rPr>
          <w:lang w:val="bg-BG"/>
        </w:rPr>
        <w:t>а настро</w:t>
      </w:r>
      <w:r w:rsidR="005C66A7">
        <w:rPr>
          <w:lang w:val="bg-BG"/>
        </w:rPr>
        <w:t>ени</w:t>
      </w:r>
      <w:r w:rsidRPr="00D73E17">
        <w:rPr>
          <w:lang w:val="bg-BG"/>
        </w:rPr>
        <w:t xml:space="preserve"> с REST API.</w:t>
      </w:r>
      <w:r w:rsidR="00257895">
        <w:rPr>
          <w:lang w:val="bg-BG"/>
        </w:rPr>
        <w:t xml:space="preserve"> За постигането на това р</w:t>
      </w:r>
      <w:r w:rsidR="00257895" w:rsidRPr="00257895">
        <w:rPr>
          <w:lang w:val="bg-BG"/>
        </w:rPr>
        <w:t>азработчиците използват HTTP глаголи</w:t>
      </w:r>
      <w:r w:rsidR="00257895">
        <w:rPr>
          <w:lang w:val="bg-BG"/>
        </w:rPr>
        <w:t xml:space="preserve">те: </w:t>
      </w:r>
      <w:r w:rsidR="00257895" w:rsidRPr="00257895">
        <w:rPr>
          <w:lang w:val="bg-BG"/>
        </w:rPr>
        <w:t>ВЗЕМЕТЕ, ПУБЛИКУВАТЕ, ПОСТАВЯТЕ, ИЗТРАЙТЕ</w:t>
      </w:r>
      <w:r w:rsidR="00257895">
        <w:rPr>
          <w:lang w:val="bg-BG"/>
        </w:rPr>
        <w:t xml:space="preserve"> (</w:t>
      </w:r>
      <w:r w:rsidR="00257895" w:rsidRPr="00257895">
        <w:rPr>
          <w:lang w:val="bg-BG"/>
        </w:rPr>
        <w:t>GET, POST, PUT, DELETE</w:t>
      </w:r>
      <w:r w:rsidR="00257895">
        <w:rPr>
          <w:lang w:val="bg-BG"/>
        </w:rPr>
        <w:t xml:space="preserve">) на един и съши </w:t>
      </w:r>
      <w:r w:rsidR="00257895">
        <w:rPr>
          <w:lang w:val="en-US"/>
        </w:rPr>
        <w:t xml:space="preserve">URL </w:t>
      </w:r>
      <w:r w:rsidR="00257895">
        <w:rPr>
          <w:lang w:val="bg-BG"/>
        </w:rPr>
        <w:t>адрес.</w:t>
      </w:r>
      <w:r w:rsidR="00E71C28">
        <w:rPr>
          <w:lang w:val="bg-BG"/>
        </w:rPr>
        <w:t xml:space="preserve"> Услугите</w:t>
      </w:r>
      <w:r w:rsidR="00641F8D">
        <w:rPr>
          <w:lang w:val="bg-BG"/>
        </w:rPr>
        <w:t xml:space="preserve"> от този вид </w:t>
      </w:r>
      <w:r w:rsidR="00E71C28">
        <w:rPr>
          <w:lang w:val="bg-BG"/>
        </w:rPr>
        <w:t xml:space="preserve">са </w:t>
      </w:r>
      <w:r w:rsidR="00E71C28" w:rsidRPr="00E71C28">
        <w:rPr>
          <w:lang w:val="bg-BG"/>
        </w:rPr>
        <w:t>само</w:t>
      </w:r>
      <w:r w:rsidR="00683EB8">
        <w:rPr>
          <w:lang w:val="bg-BG"/>
        </w:rPr>
        <w:t>-</w:t>
      </w:r>
      <w:r w:rsidR="00E71C28" w:rsidRPr="00E71C28">
        <w:rPr>
          <w:lang w:val="bg-BG"/>
        </w:rPr>
        <w:t>описващи се</w:t>
      </w:r>
      <w:r w:rsidR="00641F8D">
        <w:rPr>
          <w:lang w:val="bg-BG"/>
        </w:rPr>
        <w:t xml:space="preserve">, а протоколът може да бъде използван за комуникация от </w:t>
      </w:r>
      <w:r w:rsidR="008020B0">
        <w:rPr>
          <w:lang w:val="bg-BG"/>
        </w:rPr>
        <w:t>няколко вида</w:t>
      </w:r>
      <w:r w:rsidR="00641F8D">
        <w:rPr>
          <w:lang w:val="bg-BG"/>
        </w:rPr>
        <w:t>:</w:t>
      </w:r>
    </w:p>
    <w:p w14:paraId="51FD42FB" w14:textId="2699B90D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Браузър към уеб сървър</w:t>
      </w:r>
    </w:p>
    <w:p w14:paraId="7BFF8267" w14:textId="3FF4C40F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lastRenderedPageBreak/>
        <w:t>Мобилно приложение към уеб сървър</w:t>
      </w:r>
    </w:p>
    <w:p w14:paraId="143AA6DA" w14:textId="7F068EC8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Настолно приложение към уеб сървър</w:t>
      </w:r>
    </w:p>
    <w:p w14:paraId="3B889ED6" w14:textId="271E3743" w:rsidR="007F3F4F" w:rsidRPr="00736669" w:rsidRDefault="00683EB8" w:rsidP="00736669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 xml:space="preserve">Сървър към сървър </w:t>
      </w: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протокол.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 екосистема от облачни предложения. </w:t>
      </w:r>
    </w:p>
    <w:p w14:paraId="2438E9C7" w14:textId="77777777" w:rsidR="002B2847" w:rsidRDefault="000C28A2" w:rsidP="002B2847">
      <w:pPr>
        <w:rPr>
          <w:lang w:val="bg-BG"/>
        </w:rPr>
      </w:pPr>
      <w:r w:rsidRPr="000C28A2">
        <w:rPr>
          <w:lang w:val="bg-BG"/>
        </w:rPr>
        <w:t xml:space="preserve">Типичното клиентско приложение на </w:t>
      </w:r>
      <w:proofErr w:type="spellStart"/>
      <w:r w:rsidRPr="000C28A2">
        <w:rPr>
          <w:lang w:val="bg-BG"/>
        </w:rPr>
        <w:t>gRPC</w:t>
      </w:r>
      <w:proofErr w:type="spellEnd"/>
      <w:r w:rsidRPr="000C28A2">
        <w:rPr>
          <w:lang w:val="bg-BG"/>
        </w:rPr>
        <w:t xml:space="preserve">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 xml:space="preserve">операция. RPC абстрахира мрежовата комуникация </w:t>
      </w:r>
      <w:r w:rsidR="002B2847">
        <w:rPr>
          <w:lang w:val="bg-BG"/>
        </w:rPr>
        <w:t xml:space="preserve">и </w:t>
      </w:r>
      <w:r w:rsidR="002B2847" w:rsidRPr="000C28A2">
        <w:rPr>
          <w:lang w:val="bg-BG"/>
        </w:rPr>
        <w:t xml:space="preserve">изпълнение </w:t>
      </w:r>
      <w:r w:rsidRPr="000C28A2">
        <w:rPr>
          <w:lang w:val="bg-BG"/>
        </w:rPr>
        <w:t>от точка до точка</w:t>
      </w:r>
      <w:r w:rsidR="002B2847">
        <w:rPr>
          <w:lang w:val="bg-BG"/>
        </w:rPr>
        <w:t>.</w:t>
      </w:r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lastRenderedPageBreak/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>услуги</w:t>
      </w:r>
      <w:r w:rsidR="00DC259B" w:rsidRPr="00DC259B">
        <w:rPr>
          <w:lang w:val="bg-BG"/>
        </w:rPr>
        <w:t xml:space="preserve">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lastRenderedPageBreak/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>посредник за корпоративни съобщения с опашки и теми за публикуване-абониране. 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>въвеждането</w:t>
      </w:r>
      <w:r w:rsidR="00EB5B76" w:rsidRPr="00EB5B76">
        <w:rPr>
          <w:lang w:val="bg-BG"/>
        </w:rPr>
        <w:t xml:space="preserve">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4E88F038" w14:textId="77777777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lastRenderedPageBreak/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>протокол за пренос на данни</w:t>
      </w:r>
      <w:r w:rsidRPr="009173EE">
        <w:rPr>
          <w:lang w:val="bg-BG"/>
        </w:rPr>
        <w:t xml:space="preserve">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proofErr w:type="spellStart"/>
      <w:r w:rsidRPr="00824025">
        <w:rPr>
          <w:lang w:val="en-US"/>
        </w:rPr>
        <w:t>Комуникацията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може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постигне</w:t>
      </w:r>
      <w:proofErr w:type="spellEnd"/>
      <w:r w:rsidRPr="00824025">
        <w:rPr>
          <w:lang w:val="en-US"/>
        </w:rPr>
        <w:t xml:space="preserve"> с HTTP </w:t>
      </w:r>
      <w:proofErr w:type="spellStart"/>
      <w:r w:rsidRPr="00824025">
        <w:rPr>
          <w:lang w:val="en-US"/>
        </w:rPr>
        <w:t>уеб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сокети</w:t>
      </w:r>
      <w:proofErr w:type="spellEnd"/>
      <w:r>
        <w:rPr>
          <w:lang w:val="bg-BG"/>
        </w:rPr>
        <w:t>, изградени с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резервни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механизми</w:t>
      </w:r>
      <w:proofErr w:type="spellEnd"/>
      <w:r>
        <w:rPr>
          <w:lang w:val="bg-BG"/>
        </w:rPr>
        <w:t xml:space="preserve">. </w:t>
      </w:r>
      <w:proofErr w:type="spellStart"/>
      <w:r w:rsidRPr="00824025">
        <w:rPr>
          <w:lang w:val="en-US"/>
        </w:rPr>
        <w:t>Използва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, </w:t>
      </w:r>
      <w:proofErr w:type="spellStart"/>
      <w:r w:rsidRPr="00824025">
        <w:rPr>
          <w:lang w:val="en-US"/>
        </w:rPr>
        <w:t>когато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изпра</w:t>
      </w:r>
      <w:r>
        <w:rPr>
          <w:lang w:val="bg-BG"/>
        </w:rPr>
        <w:t>щаме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данни</w:t>
      </w:r>
      <w:proofErr w:type="spellEnd"/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директно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към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клиентите</w:t>
      </w:r>
      <w:proofErr w:type="spellEnd"/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t xml:space="preserve">ASP.NET Core </w:t>
      </w:r>
      <w:proofErr w:type="spellStart"/>
      <w:r w:rsidRPr="00824025">
        <w:rPr>
          <w:lang w:val="en-US"/>
        </w:rPr>
        <w:t>има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SignalR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комуникационна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технология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>
        <w:rPr>
          <w:lang w:val="bg-BG"/>
        </w:rPr>
        <w:t xml:space="preserve">.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библиотека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ASP.NET </w:t>
      </w:r>
      <w:proofErr w:type="spellStart"/>
      <w:r w:rsidR="001B1A88" w:rsidRPr="001B1A88">
        <w:rPr>
          <w:lang w:val="en-US"/>
        </w:rPr>
        <w:t>разработчици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която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опростява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процеса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приложенията</w:t>
      </w:r>
      <w:proofErr w:type="spellEnd"/>
      <w:r w:rsidR="001B1A88" w:rsidRPr="001B1A88">
        <w:rPr>
          <w:lang w:val="en-US"/>
        </w:rPr>
        <w:t xml:space="preserve">.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функционалността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възможността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сървърният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код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изпраща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съдържание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свързани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незабавно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lastRenderedPageBreak/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достъпно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вместо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сървърът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чака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поиска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може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всякакъв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"в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". </w:t>
      </w:r>
      <w:proofErr w:type="spellStart"/>
      <w:r w:rsidR="001B1A88" w:rsidRPr="001B1A88">
        <w:rPr>
          <w:lang w:val="en-US"/>
        </w:rPr>
        <w:t>Всеки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път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потребител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обновява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страница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 xml:space="preserve">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тя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кандидат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0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E55E" w14:textId="77777777" w:rsidR="003636DC" w:rsidRDefault="003636DC" w:rsidP="005D15E3">
      <w:pPr>
        <w:spacing w:line="240" w:lineRule="auto"/>
      </w:pPr>
      <w:r>
        <w:separator/>
      </w:r>
    </w:p>
  </w:endnote>
  <w:endnote w:type="continuationSeparator" w:id="0">
    <w:p w14:paraId="0ACD5596" w14:textId="77777777" w:rsidR="003636DC" w:rsidRDefault="003636DC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CC13" w14:textId="77777777" w:rsidR="003636DC" w:rsidRDefault="003636DC" w:rsidP="005D15E3">
      <w:pPr>
        <w:spacing w:line="240" w:lineRule="auto"/>
      </w:pPr>
      <w:r>
        <w:separator/>
      </w:r>
    </w:p>
  </w:footnote>
  <w:footnote w:type="continuationSeparator" w:id="0">
    <w:p w14:paraId="76D3C385" w14:textId="77777777" w:rsidR="003636DC" w:rsidRDefault="003636DC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8"/>
  </w:num>
  <w:num w:numId="5">
    <w:abstractNumId w:val="33"/>
  </w:num>
  <w:num w:numId="6">
    <w:abstractNumId w:val="17"/>
  </w:num>
  <w:num w:numId="7">
    <w:abstractNumId w:val="25"/>
  </w:num>
  <w:num w:numId="8">
    <w:abstractNumId w:val="1"/>
  </w:num>
  <w:num w:numId="9">
    <w:abstractNumId w:val="16"/>
  </w:num>
  <w:num w:numId="10">
    <w:abstractNumId w:val="27"/>
  </w:num>
  <w:num w:numId="11">
    <w:abstractNumId w:val="34"/>
  </w:num>
  <w:num w:numId="12">
    <w:abstractNumId w:val="23"/>
  </w:num>
  <w:num w:numId="13">
    <w:abstractNumId w:val="3"/>
  </w:num>
  <w:num w:numId="14">
    <w:abstractNumId w:val="9"/>
  </w:num>
  <w:num w:numId="15">
    <w:abstractNumId w:val="2"/>
  </w:num>
  <w:num w:numId="16">
    <w:abstractNumId w:val="28"/>
  </w:num>
  <w:num w:numId="17">
    <w:abstractNumId w:val="30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2"/>
  </w:num>
  <w:num w:numId="26">
    <w:abstractNumId w:val="26"/>
  </w:num>
  <w:num w:numId="27">
    <w:abstractNumId w:val="38"/>
  </w:num>
  <w:num w:numId="28">
    <w:abstractNumId w:val="18"/>
  </w:num>
  <w:num w:numId="29">
    <w:abstractNumId w:val="7"/>
  </w:num>
  <w:num w:numId="30">
    <w:abstractNumId w:val="6"/>
  </w:num>
  <w:num w:numId="31">
    <w:abstractNumId w:val="36"/>
  </w:num>
  <w:num w:numId="32">
    <w:abstractNumId w:val="10"/>
  </w:num>
  <w:num w:numId="33">
    <w:abstractNumId w:val="20"/>
  </w:num>
  <w:num w:numId="34">
    <w:abstractNumId w:val="15"/>
  </w:num>
  <w:num w:numId="35">
    <w:abstractNumId w:val="31"/>
  </w:num>
  <w:num w:numId="36">
    <w:abstractNumId w:val="37"/>
  </w:num>
  <w:num w:numId="37">
    <w:abstractNumId w:val="24"/>
  </w:num>
  <w:num w:numId="38">
    <w:abstractNumId w:val="2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108D1"/>
    <w:rsid w:val="0002500E"/>
    <w:rsid w:val="000269B3"/>
    <w:rsid w:val="000310F1"/>
    <w:rsid w:val="000456C6"/>
    <w:rsid w:val="00054D87"/>
    <w:rsid w:val="00056D57"/>
    <w:rsid w:val="000644E9"/>
    <w:rsid w:val="00071018"/>
    <w:rsid w:val="00072A0C"/>
    <w:rsid w:val="00073A90"/>
    <w:rsid w:val="000745CF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F503C"/>
    <w:rsid w:val="00100094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E8C"/>
    <w:rsid w:val="001F4649"/>
    <w:rsid w:val="0021065D"/>
    <w:rsid w:val="00212C3E"/>
    <w:rsid w:val="00214840"/>
    <w:rsid w:val="002168AA"/>
    <w:rsid w:val="0021710C"/>
    <w:rsid w:val="00220E38"/>
    <w:rsid w:val="002221B5"/>
    <w:rsid w:val="00225AB4"/>
    <w:rsid w:val="00227DB7"/>
    <w:rsid w:val="002462D6"/>
    <w:rsid w:val="00257895"/>
    <w:rsid w:val="00270EA9"/>
    <w:rsid w:val="00277FEA"/>
    <w:rsid w:val="00286911"/>
    <w:rsid w:val="002876CF"/>
    <w:rsid w:val="0029334D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E5D"/>
    <w:rsid w:val="00303737"/>
    <w:rsid w:val="0030684F"/>
    <w:rsid w:val="00313B99"/>
    <w:rsid w:val="003209D6"/>
    <w:rsid w:val="003213B6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753A3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700300"/>
    <w:rsid w:val="0070036A"/>
    <w:rsid w:val="00703325"/>
    <w:rsid w:val="00703A24"/>
    <w:rsid w:val="007059D3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110D1"/>
    <w:rsid w:val="0091734F"/>
    <w:rsid w:val="009173EE"/>
    <w:rsid w:val="00921F37"/>
    <w:rsid w:val="00923DCC"/>
    <w:rsid w:val="00924672"/>
    <w:rsid w:val="009263B9"/>
    <w:rsid w:val="00931717"/>
    <w:rsid w:val="00937B1D"/>
    <w:rsid w:val="00940021"/>
    <w:rsid w:val="00941769"/>
    <w:rsid w:val="009428DC"/>
    <w:rsid w:val="009547E8"/>
    <w:rsid w:val="0095653E"/>
    <w:rsid w:val="00961709"/>
    <w:rsid w:val="009648FB"/>
    <w:rsid w:val="009659DB"/>
    <w:rsid w:val="00967D43"/>
    <w:rsid w:val="00971FC3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D6738"/>
    <w:rsid w:val="009E0154"/>
    <w:rsid w:val="009E4052"/>
    <w:rsid w:val="009E48E5"/>
    <w:rsid w:val="009E4E3E"/>
    <w:rsid w:val="009E5023"/>
    <w:rsid w:val="009F337F"/>
    <w:rsid w:val="009F3A62"/>
    <w:rsid w:val="00A0733C"/>
    <w:rsid w:val="00A106B4"/>
    <w:rsid w:val="00A17813"/>
    <w:rsid w:val="00A210A0"/>
    <w:rsid w:val="00A35AD1"/>
    <w:rsid w:val="00A36201"/>
    <w:rsid w:val="00A528AE"/>
    <w:rsid w:val="00A56B38"/>
    <w:rsid w:val="00A5781F"/>
    <w:rsid w:val="00A63D99"/>
    <w:rsid w:val="00A65926"/>
    <w:rsid w:val="00A743A9"/>
    <w:rsid w:val="00A746B3"/>
    <w:rsid w:val="00A75430"/>
    <w:rsid w:val="00A7617A"/>
    <w:rsid w:val="00A77C05"/>
    <w:rsid w:val="00A77EA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70071"/>
    <w:rsid w:val="00B7059F"/>
    <w:rsid w:val="00B775EC"/>
    <w:rsid w:val="00B77DA3"/>
    <w:rsid w:val="00B80769"/>
    <w:rsid w:val="00B8099C"/>
    <w:rsid w:val="00B83301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2D26"/>
    <w:rsid w:val="00C1330A"/>
    <w:rsid w:val="00C248F5"/>
    <w:rsid w:val="00C25B16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F23AD"/>
    <w:rsid w:val="00CF358E"/>
    <w:rsid w:val="00D0047A"/>
    <w:rsid w:val="00D01EA5"/>
    <w:rsid w:val="00D04F2C"/>
    <w:rsid w:val="00D0711F"/>
    <w:rsid w:val="00D11E42"/>
    <w:rsid w:val="00D15B93"/>
    <w:rsid w:val="00D17B96"/>
    <w:rsid w:val="00D25408"/>
    <w:rsid w:val="00D32AE3"/>
    <w:rsid w:val="00D35717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F4"/>
    <w:rsid w:val="00DE2EEE"/>
    <w:rsid w:val="00DE332A"/>
    <w:rsid w:val="00DE7AB5"/>
    <w:rsid w:val="00DE7CCF"/>
    <w:rsid w:val="00DF0AFC"/>
    <w:rsid w:val="00DF3237"/>
    <w:rsid w:val="00DF4930"/>
    <w:rsid w:val="00E01091"/>
    <w:rsid w:val="00E04BE7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F0322D"/>
    <w:rsid w:val="00F12525"/>
    <w:rsid w:val="00F168C8"/>
    <w:rsid w:val="00F36BD2"/>
    <w:rsid w:val="00F37A1B"/>
    <w:rsid w:val="00F531C8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6A1"/>
    <w:rsid w:val="00FF4F50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buch.info/metodika-na-pedagogicheskite-izsledvaniya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116</cp:revision>
  <dcterms:created xsi:type="dcterms:W3CDTF">2022-01-23T12:50:00Z</dcterms:created>
  <dcterms:modified xsi:type="dcterms:W3CDTF">2022-03-06T15:00:00Z</dcterms:modified>
  <cp:category/>
</cp:coreProperties>
</file>