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6D180193" w14:textId="0FC18128" w:rsidR="00167CD9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342306" w:history="1">
            <w:r w:rsidR="00167CD9" w:rsidRPr="00CC704B">
              <w:rPr>
                <w:rStyle w:val="Hyperlink"/>
                <w:noProof/>
                <w:lang w:val="bg-BG"/>
              </w:rPr>
              <w:t>Списък на съкращенията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D015F5C" w14:textId="256B6BD7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7" w:history="1">
            <w:r w:rsidR="00167CD9" w:rsidRPr="00CC704B">
              <w:rPr>
                <w:rStyle w:val="Hyperlink"/>
                <w:noProof/>
                <w:lang w:val="bg-BG"/>
              </w:rPr>
              <w:t>Въведение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8B4291C" w14:textId="2E893B4E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8" w:history="1">
            <w:r w:rsidR="00167CD9" w:rsidRPr="00CC704B">
              <w:rPr>
                <w:rStyle w:val="Hyperlink"/>
                <w:noProof/>
                <w:lang w:val="bg-BG"/>
              </w:rPr>
              <w:t>1.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299E519" w14:textId="75F4BE86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9" w:history="1">
            <w:r w:rsidR="00167CD9" w:rsidRPr="00CC704B">
              <w:rPr>
                <w:rStyle w:val="Hyperlink"/>
                <w:noProof/>
              </w:rPr>
              <w:t>1.1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F6C654" w14:textId="6B10AA82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0" w:history="1">
            <w:r w:rsidR="00167CD9" w:rsidRPr="00CC704B">
              <w:rPr>
                <w:rStyle w:val="Hyperlink"/>
                <w:noProof/>
              </w:rPr>
              <w:t>1.2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заявки към отдалечени процедури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A233A9E" w14:textId="7AC3A24A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1" w:history="1">
            <w:r w:rsidR="00167CD9" w:rsidRPr="00CC704B">
              <w:rPr>
                <w:rStyle w:val="Hyperlink"/>
                <w:noProof/>
              </w:rPr>
              <w:t>1.3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Сравнение на двата стила за реализация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_Toc101342311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8C786C" w14:textId="35F0306E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2" w:history="1">
            <w:r w:rsidR="00167CD9" w:rsidRPr="00CC704B">
              <w:rPr>
                <w:rStyle w:val="Hyperlink"/>
                <w:noProof/>
                <w:lang w:val="bg-BG"/>
              </w:rPr>
              <w:t>2.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Асинхронна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_Toc101342312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BF4837A" w14:textId="4BDEC200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3" w:history="1">
            <w:r w:rsidR="00167CD9" w:rsidRPr="00CC704B">
              <w:rPr>
                <w:rStyle w:val="Hyperlink"/>
                <w:noProof/>
              </w:rPr>
              <w:t>2.1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Базирана на съобщения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_Toc101342313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E64BAA9" w14:textId="1A59A5DC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4" w:history="1">
            <w:r w:rsidR="00167CD9" w:rsidRPr="00CC704B">
              <w:rPr>
                <w:rStyle w:val="Hyperlink"/>
                <w:noProof/>
                <w:lang w:val="en-US"/>
              </w:rPr>
              <w:t>2.2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Съгласуваност между услугите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_Toc101342314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6959A8FA" w14:textId="3F25C5C0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5" w:history="1">
            <w:r w:rsidR="00167CD9" w:rsidRPr="00CC704B">
              <w:rPr>
                <w:rStyle w:val="Hyperlink"/>
                <w:noProof/>
                <w:lang w:val="bg-BG"/>
              </w:rPr>
              <w:t>3.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Комуникационни модели за достъп до бекенда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_Toc101342315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FB478E1" w14:textId="16A4BD2C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6" w:history="1">
            <w:r w:rsidR="00167CD9" w:rsidRPr="00CC704B">
              <w:rPr>
                <w:rStyle w:val="Hyperlink"/>
                <w:noProof/>
              </w:rPr>
              <w:t>3.1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Директна комуникация на клиент с микроуслуга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98E2575" w14:textId="38D09CC8" w:rsidR="00167CD9" w:rsidRDefault="00744FB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7" w:history="1">
            <w:r w:rsidR="00167CD9" w:rsidRPr="00CC704B">
              <w:rPr>
                <w:rStyle w:val="Hyperlink"/>
                <w:noProof/>
              </w:rPr>
              <w:t>3.2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Използване на шлюз за приложете интерфейси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16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1D3FCB8E" w14:textId="552FFE12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8" w:history="1">
            <w:r w:rsidR="00167CD9" w:rsidRPr="00CC704B">
              <w:rPr>
                <w:rStyle w:val="Hyperlink"/>
                <w:noProof/>
                <w:lang w:val="bg-BG"/>
              </w:rPr>
              <w:t>4.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18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370B617" w14:textId="12759CA3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9" w:history="1">
            <w:r w:rsidR="00167CD9" w:rsidRPr="00CC704B">
              <w:rPr>
                <w:rStyle w:val="Hyperlink"/>
                <w:noProof/>
                <w:lang w:val="bg-BG"/>
              </w:rPr>
              <w:t>Заключение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19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6067058" w14:textId="318E2C79" w:rsidR="00167CD9" w:rsidRDefault="00744FB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20" w:history="1">
            <w:r w:rsidR="00167CD9" w:rsidRPr="00CC704B">
              <w:rPr>
                <w:rStyle w:val="Hyperlink"/>
                <w:noProof/>
                <w:lang w:val="bg-BG"/>
              </w:rPr>
              <w:t>Използвана литература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_Toc101342320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A57583">
              <w:rPr>
                <w:noProof/>
                <w:webHidden/>
              </w:rPr>
              <w:t>20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3F44650" w14:textId="4010873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34230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34230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45AB5620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10134230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32BFB43B" w14:textId="77777777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3A4854">
        <w:rPr>
          <w:lang w:val="bg-BG"/>
        </w:rPr>
        <w:t>Заявката и</w:t>
      </w:r>
      <w:r w:rsidR="008E3338">
        <w:rPr>
          <w:lang w:val="bg-BG"/>
        </w:rPr>
        <w:t xml:space="preserve"> отговора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4566F989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>
        <w:rPr>
          <w:lang w:val="bg-BG"/>
        </w:rPr>
        <w:t>:</w:t>
      </w:r>
    </w:p>
    <w:p w14:paraId="1A7FC6E0" w14:textId="12EB346A" w:rsidR="001B75B8" w:rsidRDefault="001B75B8" w:rsidP="00AB5658">
      <w:pPr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2A0A357D" w:rsidR="001B75B8" w:rsidRPr="001B75B8" w:rsidRDefault="001B75B8" w:rsidP="00AB5658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342309"/>
      <w:r w:rsidRPr="00641F8D">
        <w:t>Механизъм за трансфер на репрезентативно състояние</w:t>
      </w:r>
      <w:bookmarkEnd w:id="4"/>
    </w:p>
    <w:p w14:paraId="491F98C2" w14:textId="08F105F2" w:rsidR="007D6974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</w:t>
      </w:r>
      <w:r w:rsidR="00F06F9E">
        <w:rPr>
          <w:lang w:val="bg-BG"/>
        </w:rPr>
        <w:t>я</w:t>
      </w:r>
      <w:r w:rsidR="00C95980" w:rsidRPr="00C95980">
        <w:rPr>
          <w:lang w:val="bg-BG"/>
        </w:rPr>
        <w:t>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77777777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</w:p>
    <w:p w14:paraId="149FCE85" w14:textId="03F8D04E" w:rsidR="00C84502" w:rsidRDefault="006457E6" w:rsidP="00F63CFD">
      <w:pPr>
        <w:rPr>
          <w:lang w:val="bg-BG"/>
        </w:rPr>
      </w:pPr>
      <w:r w:rsidRPr="003066E2">
        <w:rPr>
          <w:lang w:val="bg-BG"/>
        </w:rPr>
        <w:t xml:space="preserve">REST е </w:t>
      </w:r>
      <w:r>
        <w:rPr>
          <w:lang w:val="bg-BG"/>
        </w:rPr>
        <w:t>стил за</w:t>
      </w:r>
      <w:r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3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 xml:space="preserve">GET, </w:t>
            </w:r>
            <w:proofErr w:type="spellStart"/>
            <w:r w:rsidRPr="006C5BF2">
              <w:rPr>
                <w:lang w:val="en-US"/>
              </w:rPr>
              <w:t>но</w:t>
            </w:r>
            <w:proofErr w:type="spellEnd"/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</w:t>
            </w:r>
            <w:proofErr w:type="spellStart"/>
            <w:r w:rsidRPr="006C5BF2">
              <w:rPr>
                <w:lang w:val="en-US"/>
              </w:rPr>
              <w:t>обект</w:t>
            </w:r>
            <w:proofErr w:type="spellEnd"/>
            <w:r w:rsidRPr="006C5BF2">
              <w:rPr>
                <w:lang w:val="en-US"/>
              </w:rPr>
              <w:t xml:space="preserve"> в </w:t>
            </w:r>
            <w:proofErr w:type="spellStart"/>
            <w:r w:rsidRPr="006C5BF2">
              <w:rPr>
                <w:lang w:val="en-US"/>
              </w:rPr>
              <w:t>отговора</w:t>
            </w:r>
            <w:proofErr w:type="spellEnd"/>
            <w:r w:rsidRPr="006C5BF2">
              <w:rPr>
                <w:lang w:val="en-US"/>
              </w:rPr>
              <w:t>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7314D3">
              <w:rPr>
                <w:lang w:val="en-US"/>
              </w:rPr>
              <w:t>аменя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 </w:t>
            </w:r>
            <w:proofErr w:type="spellStart"/>
            <w:r w:rsidRPr="007314D3">
              <w:rPr>
                <w:lang w:val="en-US"/>
              </w:rPr>
              <w:t>Тялото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заявка</w:t>
            </w:r>
            <w:proofErr w:type="spellEnd"/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, </w:t>
            </w:r>
            <w:proofErr w:type="spellStart"/>
            <w:r w:rsidRPr="007314D3">
              <w:rPr>
                <w:lang w:val="en-US"/>
              </w:rPr>
              <w:t>който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трябва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да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бъде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7314D3">
              <w:rPr>
                <w:lang w:val="en-US"/>
              </w:rPr>
              <w:t>ремахва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proofErr w:type="spellStart"/>
            <w:r w:rsidRPr="00242D5E">
              <w:rPr>
                <w:lang w:val="en-US"/>
              </w:rPr>
              <w:t>ъздава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 xml:space="preserve">. </w:t>
            </w:r>
            <w:proofErr w:type="spellStart"/>
            <w:r w:rsidRPr="00242D5E">
              <w:rPr>
                <w:lang w:val="en-US"/>
              </w:rPr>
              <w:t>Тялото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заявка</w:t>
            </w:r>
            <w:proofErr w:type="spellEnd"/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предоставя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подробности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новия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>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BF3DC2">
              <w:rPr>
                <w:lang w:val="en-US"/>
              </w:rPr>
              <w:t>редоставя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мета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данни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за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ресурс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7314D3">
              <w:rPr>
                <w:lang w:val="en-US"/>
              </w:rPr>
              <w:t>звършва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частична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актуализация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</w:t>
            </w:r>
            <w:proofErr w:type="spellEnd"/>
            <w:r w:rsidRPr="007314D3">
              <w:rPr>
                <w:lang w:val="en-US"/>
              </w:rPr>
              <w:t>.</w:t>
            </w:r>
          </w:p>
        </w:tc>
      </w:tr>
    </w:tbl>
    <w:p w14:paraId="399227BF" w14:textId="04662F54" w:rsidR="00BD2988" w:rsidRDefault="001D2902" w:rsidP="00BD2988">
      <w:pPr>
        <w:spacing w:after="160" w:line="259" w:lineRule="auto"/>
        <w:ind w:firstLine="0"/>
        <w:jc w:val="left"/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67333DF7" w14:textId="71F4F1EC" w:rsidR="00456AE5" w:rsidRDefault="00282249" w:rsidP="00992856">
      <w:pPr>
        <w:rPr>
          <w:lang w:val="bg-BG"/>
        </w:rPr>
      </w:pPr>
      <w:r w:rsidRPr="00282249">
        <w:rPr>
          <w:lang w:val="bg-BG"/>
        </w:rPr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19DB4F" w14:textId="746E3DB6" w:rsidR="000D74EC" w:rsidRDefault="00456AE5" w:rsidP="00456AE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99"/>
        <w:gridCol w:w="1753"/>
        <w:gridCol w:w="1952"/>
        <w:gridCol w:w="176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lastRenderedPageBreak/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 w:rsidR="00456AE5">
              <w:rPr>
                <w:lang w:val="bg-BG"/>
              </w:rPr>
              <w:br/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78CE4DAB" w:rsidR="000E4A80" w:rsidRDefault="004E0D7E" w:rsidP="00992856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0EE70520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>. Класовете кодове с</w:t>
      </w:r>
      <w:r w:rsidR="00761195">
        <w:rPr>
          <w:lang w:val="bg-BG"/>
        </w:rPr>
        <w:t>а</w:t>
      </w:r>
      <w:r w:rsidRPr="003D08D7">
        <w:rPr>
          <w:lang w:val="bg-BG"/>
        </w:rPr>
        <w:t xml:space="preserve">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891880">
        <w:trPr>
          <w:trHeight w:val="1475"/>
        </w:trPr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0032ED3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66751E7C" w14:textId="3CC2D781" w:rsidR="00325E6C" w:rsidRDefault="00F54091" w:rsidP="0089188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  <w:r w:rsidR="00FF408F" w:rsidRPr="003D08D7">
        <w:rPr>
          <w:lang w:val="bg-BG"/>
        </w:rPr>
        <w:t xml:space="preserve"> </w:t>
      </w:r>
    </w:p>
    <w:p w14:paraId="602A375C" w14:textId="7E6EB0D9" w:rsidR="006D1A4F" w:rsidRDefault="003E516E" w:rsidP="003E516E">
      <w:pPr>
        <w:rPr>
          <w:lang w:val="bg-BG"/>
        </w:rPr>
      </w:pPr>
      <w:r w:rsidRPr="00325E6C">
        <w:rPr>
          <w:lang w:val="bg-BG"/>
        </w:rPr>
        <w:t xml:space="preserve">REST </w:t>
      </w:r>
      <w:r>
        <w:rPr>
          <w:lang w:val="bg-BG"/>
        </w:rPr>
        <w:t xml:space="preserve">е най-подходящ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</w:t>
      </w:r>
      <w:r w:rsidR="00663AA8">
        <w:rPr>
          <w:lang w:val="bg-BG"/>
        </w:rPr>
        <w:t>те</w:t>
      </w:r>
      <w:r w:rsidR="00325E6C" w:rsidRPr="00325E6C">
        <w:rPr>
          <w:lang w:val="bg-BG"/>
        </w:rPr>
        <w:t xml:space="preserve">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05F03425" w14:textId="71D19147" w:rsidR="006D1A4F" w:rsidRDefault="006D1A4F">
      <w:pPr>
        <w:spacing w:after="160" w:line="259" w:lineRule="auto"/>
        <w:ind w:firstLine="0"/>
        <w:jc w:val="left"/>
        <w:rPr>
          <w:lang w:val="bg-BG"/>
        </w:rPr>
      </w:pPr>
    </w:p>
    <w:p w14:paraId="382CF5E3" w14:textId="77777777" w:rsidR="00325E6C" w:rsidRPr="00B676A4" w:rsidRDefault="00325E6C" w:rsidP="003E516E">
      <w:pPr>
        <w:rPr>
          <w:lang w:val="bg-BG"/>
        </w:rPr>
      </w:pPr>
    </w:p>
    <w:p w14:paraId="75055655" w14:textId="68C87D96" w:rsidR="00776AF8" w:rsidRPr="00C1330A" w:rsidRDefault="00776AF8" w:rsidP="00776AF8">
      <w:pPr>
        <w:pStyle w:val="Heading2"/>
      </w:pPr>
      <w:bookmarkStart w:id="6" w:name="_Toc101342310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6DF2B563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419AFC34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492F2789" w:rsidR="00314F94" w:rsidRPr="00314F94" w:rsidRDefault="00CA55AC" w:rsidP="00314F94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</w:p>
    <w:p w14:paraId="1AB099EF" w14:textId="77777777" w:rsidR="004844B3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</w:p>
    <w:p w14:paraId="2B077AFE" w14:textId="77777777" w:rsidR="004844B3" w:rsidRDefault="004844B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5374165" w14:textId="11E1A40B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lastRenderedPageBreak/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>
                        <w:rPr>
                          <w:rStyle w:val="p"/>
                          <w:lang w:val="bg-BG"/>
                        </w:rPr>
                        <w:t>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16B10DE4" w:rsidR="00980977" w:rsidRPr="00C57160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3CCDEDE1" w14:textId="77777777" w:rsidR="00980977" w:rsidRDefault="00980977" w:rsidP="00314F94">
      <w:pPr>
        <w:rPr>
          <w:lang w:val="en-US"/>
        </w:rPr>
      </w:pPr>
    </w:p>
    <w:p w14:paraId="0C68FA7D" w14:textId="1044DC8E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3DAB9B24" w14:textId="29936C71" w:rsidR="007B33BB" w:rsidRPr="00151B33" w:rsidRDefault="00283300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34231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510"/>
        <w:gridCol w:w="3796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8E20450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proofErr w:type="spellStart"/>
            <w:r w:rsidRPr="008C4FF0">
              <w:rPr>
                <w:lang w:val="en-US"/>
              </w:rPr>
              <w:t>правлявани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от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данни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2675255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</w:t>
      </w:r>
      <w:r w:rsidR="002412AF">
        <w:rPr>
          <w:lang w:val="bg-BG"/>
        </w:rPr>
        <w:t xml:space="preserve">, описваща разликите между </w:t>
      </w:r>
      <w:r w:rsidR="002412AF">
        <w:rPr>
          <w:lang w:val="en-US"/>
        </w:rPr>
        <w:t xml:space="preserve">REST </w:t>
      </w:r>
      <w:r w:rsidR="002412AF">
        <w:rPr>
          <w:lang w:val="bg-BG"/>
        </w:rPr>
        <w:t xml:space="preserve">и </w:t>
      </w:r>
      <w:r w:rsidR="002412AF">
        <w:rPr>
          <w:lang w:val="en-US"/>
        </w:rPr>
        <w:t>gRPC</w:t>
      </w:r>
      <w:r w:rsidRPr="00F54091">
        <w:rPr>
          <w:lang w:val="bg-BG"/>
        </w:rPr>
        <w:t xml:space="preserve">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44D98EA0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2B4136">
        <w:rPr>
          <w:lang w:val="bg-BG"/>
        </w:rPr>
        <w:t>такъв вид архитектура</w:t>
      </w:r>
      <w:r w:rsidRPr="00F6642B">
        <w:rPr>
          <w:lang w:val="bg-BG"/>
        </w:rPr>
        <w:t>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>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 xml:space="preserve">Така добавянето на нови </w:t>
      </w:r>
      <w:r w:rsidR="00B0390C">
        <w:rPr>
          <w:lang w:val="bg-BG"/>
        </w:rPr>
        <w:t>зависимости</w:t>
      </w:r>
      <w:r w:rsidR="001628A4" w:rsidRPr="001628A4">
        <w:rPr>
          <w:lang w:val="bg-BG"/>
        </w:rPr>
        <w:t xml:space="preserve">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</w:p>
    <w:p w14:paraId="60C553E2" w14:textId="2B0E8491" w:rsidR="00224B23" w:rsidRDefault="00CF523C" w:rsidP="000879B8">
      <w:pPr>
        <w:rPr>
          <w:lang w:val="bg-BG"/>
        </w:rPr>
      </w:pPr>
      <w:r>
        <w:rPr>
          <w:lang w:val="bg-BG"/>
        </w:rPr>
        <w:t>Някои от н</w:t>
      </w:r>
      <w:r w:rsidR="00D73E17" w:rsidRPr="004568DA">
        <w:rPr>
          <w:lang w:val="bg-BG"/>
        </w:rPr>
        <w:t>едостатъци</w:t>
      </w:r>
      <w:r>
        <w:rPr>
          <w:lang w:val="bg-BG"/>
        </w:rPr>
        <w:t>те</w:t>
      </w:r>
      <w:r w:rsidR="00D73E17" w:rsidRPr="004568DA">
        <w:rPr>
          <w:lang w:val="bg-BG"/>
        </w:rPr>
        <w:t xml:space="preserve"> </w:t>
      </w:r>
      <w:r>
        <w:rPr>
          <w:lang w:val="bg-BG"/>
        </w:rPr>
        <w:t>при</w:t>
      </w:r>
      <w:r w:rsidR="00D73E17" w:rsidRPr="004568DA">
        <w:rPr>
          <w:lang w:val="bg-BG"/>
        </w:rPr>
        <w:t xml:space="preserve"> използването на </w:t>
      </w:r>
      <w:r w:rsidR="00167871" w:rsidRPr="004568DA">
        <w:rPr>
          <w:lang w:val="bg-BG"/>
        </w:rPr>
        <w:t xml:space="preserve">синхронната комуникация </w:t>
      </w:r>
      <w:r w:rsidR="00D73E17" w:rsidRPr="004568DA">
        <w:rPr>
          <w:lang w:val="bg-BG"/>
        </w:rPr>
        <w:t>б</w:t>
      </w:r>
      <w:r>
        <w:rPr>
          <w:lang w:val="bg-BG"/>
        </w:rPr>
        <w:t>иват решени в</w:t>
      </w:r>
      <w:r w:rsidR="00D73E17" w:rsidRPr="004568DA">
        <w:rPr>
          <w:lang w:val="bg-BG"/>
        </w:rPr>
        <w:t xml:space="preserve"> следващ</w:t>
      </w:r>
      <w:r w:rsidR="001628A4"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 xml:space="preserve">, </w:t>
      </w:r>
      <w:r>
        <w:rPr>
          <w:lang w:val="bg-BG"/>
        </w:rPr>
        <w:t>която</w:t>
      </w:r>
      <w:r w:rsidR="00D73E17" w:rsidRPr="004568DA">
        <w:rPr>
          <w:lang w:val="bg-BG"/>
        </w:rPr>
        <w:t xml:space="preserve"> разгле</w:t>
      </w:r>
      <w:r>
        <w:rPr>
          <w:lang w:val="bg-BG"/>
        </w:rPr>
        <w:t>жда</w:t>
      </w:r>
      <w:r w:rsidR="00D73E17" w:rsidRPr="004568DA">
        <w:rPr>
          <w:lang w:val="bg-BG"/>
        </w:rPr>
        <w:t xml:space="preserve"> асинхрон</w:t>
      </w:r>
      <w:r w:rsidR="00167871">
        <w:rPr>
          <w:lang w:val="bg-BG"/>
        </w:rPr>
        <w:t>ния подход</w:t>
      </w:r>
      <w:r w:rsidR="00D73E17" w:rsidRPr="004568DA">
        <w:rPr>
          <w:lang w:val="bg-BG"/>
        </w:rPr>
        <w:t>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10134231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2D559523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 xml:space="preserve">ажен момент при изграждането на </w:t>
      </w:r>
      <w:r w:rsidR="007E5BF0" w:rsidRPr="007E5BF0">
        <w:t xml:space="preserve">ориентираната към  услуги архитектура </w:t>
      </w:r>
      <w:r w:rsidRPr="00E60C53">
        <w:t>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 xml:space="preserve">омуникацията между </w:t>
      </w:r>
      <w:r w:rsidR="009463C0">
        <w:rPr>
          <w:lang w:val="bg-BG"/>
        </w:rPr>
        <w:t>подсистемите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 xml:space="preserve">Целта на всяка </w:t>
      </w:r>
      <w:r w:rsidR="00BC17A4">
        <w:rPr>
          <w:lang w:val="bg-BG"/>
        </w:rPr>
        <w:t>една от тях</w:t>
      </w:r>
      <w:r w:rsidR="00A563F0" w:rsidRPr="00A563F0">
        <w:rPr>
          <w:lang w:val="bg-BG"/>
        </w:rPr>
        <w:t xml:space="preserve"> е да бъде автономна и достъпна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r w:rsidR="00AA51F2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306CE6">
        <w:rPr>
          <w:lang w:val="bg-BG"/>
        </w:rPr>
        <w:t>описва</w:t>
      </w:r>
      <w:r w:rsidR="00693A97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34231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342314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proofErr w:type="spellStart"/>
      <w:r>
        <w:rPr>
          <w:lang w:val="bg-BG"/>
        </w:rPr>
        <w:t>ване</w:t>
      </w:r>
      <w:proofErr w:type="spellEnd"/>
      <w:r>
        <w:rPr>
          <w:lang w:val="bg-BG"/>
        </w:rPr>
        <w:t xml:space="preserve">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34231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34231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BEE19F7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342317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5D8F662D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34231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34231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34232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0F7E039F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bg-BG"/>
        </w:rPr>
        <w:t>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>Икономически университет – Варна.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 xml:space="preserve">С.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bg-BG"/>
        </w:rPr>
        <w:t>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74C0" w14:textId="77777777" w:rsidR="00744FB6" w:rsidRDefault="00744FB6" w:rsidP="005D15E3">
      <w:pPr>
        <w:spacing w:line="240" w:lineRule="auto"/>
      </w:pPr>
      <w:r>
        <w:separator/>
      </w:r>
    </w:p>
  </w:endnote>
  <w:endnote w:type="continuationSeparator" w:id="0">
    <w:p w14:paraId="38413F12" w14:textId="77777777" w:rsidR="00744FB6" w:rsidRDefault="00744FB6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E804" w14:textId="77777777" w:rsidR="00744FB6" w:rsidRDefault="00744FB6" w:rsidP="005D15E3">
      <w:pPr>
        <w:spacing w:line="240" w:lineRule="auto"/>
      </w:pPr>
      <w:r>
        <w:separator/>
      </w:r>
    </w:p>
  </w:footnote>
  <w:footnote w:type="continuationSeparator" w:id="0">
    <w:p w14:paraId="12736CCB" w14:textId="77777777" w:rsidR="00744FB6" w:rsidRDefault="00744FB6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3D95"/>
    <w:rsid w:val="0013414C"/>
    <w:rsid w:val="00134A84"/>
    <w:rsid w:val="001378FD"/>
    <w:rsid w:val="00141079"/>
    <w:rsid w:val="001427F6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12A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A49"/>
    <w:rsid w:val="00464DE2"/>
    <w:rsid w:val="004674EE"/>
    <w:rsid w:val="0047165B"/>
    <w:rsid w:val="004727EB"/>
    <w:rsid w:val="00475041"/>
    <w:rsid w:val="00476FD3"/>
    <w:rsid w:val="00481329"/>
    <w:rsid w:val="00483424"/>
    <w:rsid w:val="004844B3"/>
    <w:rsid w:val="00485363"/>
    <w:rsid w:val="00495344"/>
    <w:rsid w:val="004A21FE"/>
    <w:rsid w:val="004A579E"/>
    <w:rsid w:val="004B519A"/>
    <w:rsid w:val="004B51AE"/>
    <w:rsid w:val="004B77C6"/>
    <w:rsid w:val="004B7AD4"/>
    <w:rsid w:val="004C0303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B1F"/>
    <w:rsid w:val="005A7B71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12A"/>
    <w:rsid w:val="00797A71"/>
    <w:rsid w:val="007A023E"/>
    <w:rsid w:val="007A1915"/>
    <w:rsid w:val="007A3561"/>
    <w:rsid w:val="007A371E"/>
    <w:rsid w:val="007A6076"/>
    <w:rsid w:val="007B0041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638A"/>
    <w:rsid w:val="007F7087"/>
    <w:rsid w:val="008020B0"/>
    <w:rsid w:val="008022FA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91880"/>
    <w:rsid w:val="008921AD"/>
    <w:rsid w:val="0089278C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75EA7"/>
    <w:rsid w:val="00980977"/>
    <w:rsid w:val="00984655"/>
    <w:rsid w:val="0098618E"/>
    <w:rsid w:val="00992856"/>
    <w:rsid w:val="00995C43"/>
    <w:rsid w:val="009968F9"/>
    <w:rsid w:val="009A310A"/>
    <w:rsid w:val="009A36C0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2227"/>
    <w:rsid w:val="00A94957"/>
    <w:rsid w:val="00A94EA3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2F9"/>
    <w:rsid w:val="00CE1998"/>
    <w:rsid w:val="00CE2901"/>
    <w:rsid w:val="00CE386C"/>
    <w:rsid w:val="00CE5289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7EC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3BF"/>
    <w:rsid w:val="00E13443"/>
    <w:rsid w:val="00E146A8"/>
    <w:rsid w:val="00E1475B"/>
    <w:rsid w:val="00E16F08"/>
    <w:rsid w:val="00E170D4"/>
    <w:rsid w:val="00E21537"/>
    <w:rsid w:val="00E21CA0"/>
    <w:rsid w:val="00E24592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0C14"/>
    <w:rsid w:val="00EC3AE1"/>
    <w:rsid w:val="00EC7868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3A6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024"/>
    <w:rsid w:val="00FC73BA"/>
    <w:rsid w:val="00FC7A08"/>
    <w:rsid w:val="00FD5966"/>
    <w:rsid w:val="00FE0260"/>
    <w:rsid w:val="00FE05CD"/>
    <w:rsid w:val="00FE3108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77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21</Pages>
  <Words>3281</Words>
  <Characters>18703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768</cp:revision>
  <cp:lastPrinted>2022-04-20T17:12:00Z</cp:lastPrinted>
  <dcterms:created xsi:type="dcterms:W3CDTF">2022-01-23T12:50:00Z</dcterms:created>
  <dcterms:modified xsi:type="dcterms:W3CDTF">2022-04-20T17:12:00Z</dcterms:modified>
  <cp:category/>
</cp:coreProperties>
</file>