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0C92B9F" w14:textId="246E8862" w:rsidR="00566C1E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706316" w:history="1">
            <w:r w:rsidR="00566C1E" w:rsidRPr="00642FBE">
              <w:rPr>
                <w:rStyle w:val="Hyperlink"/>
                <w:noProof/>
                <w:lang w:val="bg-BG"/>
              </w:rPr>
              <w:t>Списък на съкращенията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9B65A0" w14:textId="49E01ECA" w:rsidR="00566C1E" w:rsidRDefault="0087643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7" w:history="1">
            <w:r w:rsidR="00566C1E" w:rsidRPr="00642FBE">
              <w:rPr>
                <w:rStyle w:val="Hyperlink"/>
                <w:noProof/>
                <w:lang w:val="bg-BG"/>
              </w:rPr>
              <w:t>Въведение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_Toc99706317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7496966B" w14:textId="13BDD44B" w:rsidR="00566C1E" w:rsidRDefault="0087643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8" w:history="1">
            <w:r w:rsidR="00566C1E" w:rsidRPr="00642FBE">
              <w:rPr>
                <w:rStyle w:val="Hyperlink"/>
                <w:noProof/>
                <w:lang w:val="bg-BG"/>
              </w:rPr>
              <w:t>1.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Синхронна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_Toc99706318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4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158B45" w14:textId="19E7DF2D" w:rsidR="00566C1E" w:rsidRDefault="0087643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9" w:history="1">
            <w:r w:rsidR="00566C1E" w:rsidRPr="00642FBE">
              <w:rPr>
                <w:rStyle w:val="Hyperlink"/>
                <w:noProof/>
              </w:rPr>
              <w:t>1.1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_Toc99706319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5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58CAE68" w14:textId="22F7B45E" w:rsidR="00566C1E" w:rsidRDefault="0087643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0" w:history="1">
            <w:r w:rsidR="00566C1E" w:rsidRPr="00642FBE">
              <w:rPr>
                <w:rStyle w:val="Hyperlink"/>
                <w:noProof/>
              </w:rPr>
              <w:t>1.2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Механизъм за заявки към отдалечени процедури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_Toc99706320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8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10BAB8A" w14:textId="2BF7E358" w:rsidR="00566C1E" w:rsidRDefault="0087643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1" w:history="1">
            <w:r w:rsidR="00566C1E" w:rsidRPr="00642FBE">
              <w:rPr>
                <w:rStyle w:val="Hyperlink"/>
                <w:noProof/>
              </w:rPr>
              <w:t>1.3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Сравнение на двата стила за реализация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_Toc99706321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10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17C0AC38" w14:textId="738C6AB3" w:rsidR="00566C1E" w:rsidRDefault="0087643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2" w:history="1">
            <w:r w:rsidR="00566C1E" w:rsidRPr="00642FBE">
              <w:rPr>
                <w:rStyle w:val="Hyperlink"/>
                <w:noProof/>
                <w:lang w:val="bg-BG"/>
              </w:rPr>
              <w:t>2.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Асинхронна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_Toc99706322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11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59BA713" w14:textId="4792FC2D" w:rsidR="00566C1E" w:rsidRDefault="0087643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3" w:history="1">
            <w:r w:rsidR="00566C1E" w:rsidRPr="00642FBE">
              <w:rPr>
                <w:rStyle w:val="Hyperlink"/>
                <w:noProof/>
              </w:rPr>
              <w:t>2.1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Базирана на съобщения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_Toc99706323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11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4F656FB9" w14:textId="3D955F79" w:rsidR="00566C1E" w:rsidRDefault="0087643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4" w:history="1">
            <w:r w:rsidR="00566C1E" w:rsidRPr="00642FBE">
              <w:rPr>
                <w:rStyle w:val="Hyperlink"/>
                <w:noProof/>
                <w:lang w:val="en-US"/>
              </w:rPr>
              <w:t>2.2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Съгласуваност между услугите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_Toc99706324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17BF4A9" w14:textId="1ACB4BB7" w:rsidR="00566C1E" w:rsidRDefault="0087643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5" w:history="1">
            <w:r w:rsidR="00566C1E" w:rsidRPr="00642FBE">
              <w:rPr>
                <w:rStyle w:val="Hyperlink"/>
                <w:noProof/>
                <w:lang w:val="bg-BG"/>
              </w:rPr>
              <w:t>3.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Комуникационни модели за достъп до бекенда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_Toc99706325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B65B2D1" w14:textId="4C66EE51" w:rsidR="00566C1E" w:rsidRDefault="0087643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6" w:history="1">
            <w:r w:rsidR="00566C1E" w:rsidRPr="00642FBE">
              <w:rPr>
                <w:rStyle w:val="Hyperlink"/>
                <w:noProof/>
              </w:rPr>
              <w:t>3.1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Директна комуникация на клиент с микроуслуга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789B0FA" w14:textId="374B33A2" w:rsidR="00566C1E" w:rsidRDefault="00876436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7" w:history="1">
            <w:r w:rsidR="00566C1E" w:rsidRPr="00642FBE">
              <w:rPr>
                <w:rStyle w:val="Hyperlink"/>
                <w:noProof/>
              </w:rPr>
              <w:t>3.2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Използване на шлюз за приложете интерфейси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_Toc99706327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14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8573CE0" w14:textId="494BC274" w:rsidR="00566C1E" w:rsidRDefault="0087643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8" w:history="1">
            <w:r w:rsidR="00566C1E" w:rsidRPr="00642FBE">
              <w:rPr>
                <w:rStyle w:val="Hyperlink"/>
                <w:noProof/>
                <w:lang w:val="bg-BG"/>
              </w:rPr>
              <w:t>4.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_Toc99706328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16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25C73BA3" w14:textId="363C881E" w:rsidR="00566C1E" w:rsidRDefault="0087643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9" w:history="1">
            <w:r w:rsidR="00566C1E" w:rsidRPr="00642FBE">
              <w:rPr>
                <w:rStyle w:val="Hyperlink"/>
                <w:noProof/>
                <w:lang w:val="bg-BG"/>
              </w:rPr>
              <w:t>Заключение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_Toc99706329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17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747A305" w14:textId="19B0AC45" w:rsidR="00566C1E" w:rsidRDefault="00876436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30" w:history="1">
            <w:r w:rsidR="00566C1E" w:rsidRPr="00642FBE">
              <w:rPr>
                <w:rStyle w:val="Hyperlink"/>
                <w:noProof/>
                <w:lang w:val="bg-BG"/>
              </w:rPr>
              <w:t>Използвана литература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_Toc99706330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18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3F44650" w14:textId="4245E99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706316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613">
              <w:rPr>
                <w:lang w:val="bg-BG"/>
              </w:rPr>
              <w:t>Create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Read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Update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Delete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706317"/>
      <w:r w:rsidRPr="005B7F19">
        <w:rPr>
          <w:lang w:val="bg-BG"/>
        </w:rPr>
        <w:lastRenderedPageBreak/>
        <w:t>Въведение</w:t>
      </w:r>
      <w:bookmarkEnd w:id="2"/>
    </w:p>
    <w:p w14:paraId="376B0EE2" w14:textId="412CE1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3E8107D8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</w:t>
      </w:r>
      <w:r w:rsidR="003E4373">
        <w:rPr>
          <w:lang w:val="bg-BG"/>
        </w:rPr>
        <w:t xml:space="preserve">реализиране на </w:t>
      </w:r>
      <w:r w:rsidR="008B6F96">
        <w:t>иновативни идеи</w:t>
      </w:r>
      <w:r w:rsidR="008B6F96">
        <w:rPr>
          <w:lang w:val="bg-BG"/>
        </w:rPr>
        <w:t>. Тези п</w:t>
      </w:r>
      <w:r w:rsidR="008B6F96">
        <w:t xml:space="preserve">редимства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1EFA897D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</w:t>
      </w:r>
      <w:r w:rsidR="00F50809" w:rsidRPr="00DA7995">
        <w:rPr>
          <w:szCs w:val="28"/>
          <w:lang w:val="bg-BG"/>
        </w:rPr>
        <w:t xml:space="preserve">TCP 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 xml:space="preserve">HTTP, 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6CF8C47D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1E11613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D06BF0">
        <w:rPr>
          <w:b/>
          <w:bCs/>
          <w:szCs w:val="28"/>
          <w:lang w:val="bg-BG"/>
        </w:rPr>
        <w:t>насоки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4F1D1896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99706318"/>
      <w:r w:rsidRPr="00D73E17">
        <w:rPr>
          <w:lang w:val="bg-BG"/>
        </w:rPr>
        <w:t>Синхронна комуникация</w:t>
      </w:r>
      <w:bookmarkEnd w:id="3"/>
    </w:p>
    <w:p w14:paraId="67FA2492" w14:textId="4FA46B6C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0CEE7D14" w14:textId="3F7A0BCB" w:rsidR="00B775EC" w:rsidRPr="00BD52C9" w:rsidRDefault="006C3B80" w:rsidP="00AB5658">
      <w:pPr>
        <w:rPr>
          <w:lang w:val="en-US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20AE5">
        <w:rPr>
          <w:lang w:val="bg-BG"/>
        </w:rPr>
        <w:t>Тези два компонента</w:t>
      </w:r>
      <w:r w:rsidR="00BD52C9" w:rsidRPr="00BF35A1">
        <w:rPr>
          <w:lang w:val="bg-BG"/>
        </w:rPr>
        <w:t xml:space="preserve"> имат обща структура</w:t>
      </w:r>
      <w:r w:rsidR="00BD52C9">
        <w:rPr>
          <w:lang w:val="en-US"/>
        </w:rPr>
        <w:t>.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706319"/>
      <w:r w:rsidRPr="00641F8D">
        <w:lastRenderedPageBreak/>
        <w:t>Механизъм за трансфер на репрезентативно състояние</w:t>
      </w:r>
      <w:bookmarkEnd w:id="4"/>
    </w:p>
    <w:p w14:paraId="491F98C2" w14:textId="5513F5BE" w:rsidR="007D6974" w:rsidRDefault="009D779B" w:rsidP="008A426A">
      <w:pPr>
        <w:rPr>
          <w:lang w:val="bg-BG"/>
        </w:rPr>
      </w:pPr>
      <w:bookmarkStart w:id="5" w:name="_Hlk92025063"/>
      <w:proofErr w:type="spellStart"/>
      <w:r w:rsidRPr="009D779B">
        <w:rPr>
          <w:lang w:val="bg-BG"/>
        </w:rPr>
        <w:t>Representational</w:t>
      </w:r>
      <w:proofErr w:type="spellEnd"/>
      <w:r w:rsidRPr="009D779B">
        <w:rPr>
          <w:lang w:val="bg-BG"/>
        </w:rPr>
        <w:t xml:space="preserve"> State </w:t>
      </w:r>
      <w:proofErr w:type="spellStart"/>
      <w:r w:rsidRPr="009D779B">
        <w:rPr>
          <w:lang w:val="bg-BG"/>
        </w:rPr>
        <w:t>Transfer</w:t>
      </w:r>
      <w:proofErr w:type="spellEnd"/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>, който обхваща основите</w:t>
      </w:r>
      <w:r w:rsidR="00C95980">
        <w:rPr>
          <w:lang w:val="en-US"/>
        </w:rPr>
        <w:t xml:space="preserve"> </w:t>
      </w:r>
      <w:r w:rsidR="00C95980"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 xml:space="preserve">REST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основава</w:t>
      </w:r>
      <w:r w:rsidR="00F63AB3">
        <w:rPr>
          <w:lang w:val="bg-BG"/>
        </w:rPr>
        <w:t>ни</w:t>
      </w:r>
      <w:r w:rsidR="008A426A" w:rsidRPr="008A426A">
        <w:rPr>
          <w:lang w:val="bg-BG"/>
        </w:rPr>
        <w:t xml:space="preserve">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149FCE85" w14:textId="27DE1808" w:rsidR="00C84502" w:rsidRDefault="00270B69" w:rsidP="00F63CFD">
      <w:pPr>
        <w:rPr>
          <w:lang w:val="bg-BG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обектите.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  <w:r w:rsidR="006457E6" w:rsidRPr="003066E2">
        <w:rPr>
          <w:lang w:val="bg-BG"/>
        </w:rPr>
        <w:t xml:space="preserve">REST е </w:t>
      </w:r>
      <w:r w:rsidR="006457E6">
        <w:rPr>
          <w:lang w:val="bg-BG"/>
        </w:rPr>
        <w:t>стил за</w:t>
      </w:r>
      <w:r w:rsidR="006457E6"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="006457E6"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E564D8" w:rsidRPr="00E564D8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 xml:space="preserve">Добра практика е да </w:t>
      </w:r>
      <w:r w:rsidR="003A73EB">
        <w:rPr>
          <w:lang w:val="bg-BG"/>
        </w:rPr>
        <w:t xml:space="preserve">организираме </w:t>
      </w:r>
      <w:r w:rsidR="003A73EB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0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1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>
        <w:rPr>
          <w:rStyle w:val="Hyperlink"/>
          <w:i/>
          <w:iCs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>, като например доставки за поръчка:</w:t>
      </w:r>
      <w:r w:rsidR="00AB6A86" w:rsidRPr="00AB6A86">
        <w:t xml:space="preserve"> </w:t>
      </w:r>
      <w:hyperlink r:id="rId12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2960E15D" w:rsidR="00BF47F3" w:rsidRDefault="00BF47F3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1190285F" w:rsidR="00FA55F3" w:rsidRPr="006C5BF2" w:rsidRDefault="00FA55F3" w:rsidP="006C5BF2">
      <w:pPr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 xml:space="preserve">: </w:t>
      </w:r>
      <w:r>
        <w:rPr>
          <w:lang w:val="bg-BG"/>
        </w:rPr>
        <w:t>М</w:t>
      </w:r>
      <w:r w:rsidRPr="005D5B49">
        <w:rPr>
          <w:lang w:val="bg-BG"/>
        </w:rPr>
        <w:t>етоди на</w:t>
      </w:r>
      <w:r>
        <w:rPr>
          <w:lang w:val="bg-BG"/>
        </w:rPr>
        <w:t xml:space="preserve"> протокола</w:t>
      </w:r>
      <w:r w:rsidRPr="005D5B49">
        <w:rPr>
          <w:lang w:val="bg-BG"/>
        </w:rPr>
        <w:t xml:space="preserve">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0C8FAE63" w:rsidR="00BF47F3" w:rsidRPr="00506805" w:rsidRDefault="006459C8" w:rsidP="006459C8">
            <w:pPr>
              <w:tabs>
                <w:tab w:val="left" w:pos="1095"/>
              </w:tabs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="00242D5E" w:rsidRPr="00242D5E">
              <w:rPr>
                <w:lang w:val="en-US"/>
              </w:rPr>
              <w:t>.</w:t>
            </w:r>
            <w:r w:rsidR="00506805">
              <w:rPr>
                <w:lang w:val="en-US"/>
              </w:rPr>
              <w:t xml:space="preserve"> </w:t>
            </w:r>
            <w:r w:rsidR="00506805">
              <w:rPr>
                <w:lang w:val="bg-BG"/>
              </w:rPr>
              <w:t>Информацията се съдържа в отговора.</w:t>
            </w: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47454070" w:rsidR="00BF47F3" w:rsidRDefault="006C5BF2" w:rsidP="006C5BF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 xml:space="preserve">GET, </w:t>
            </w:r>
            <w:proofErr w:type="spellStart"/>
            <w:r w:rsidRPr="006C5BF2">
              <w:rPr>
                <w:lang w:val="en-US"/>
              </w:rPr>
              <w:t>но</w:t>
            </w:r>
            <w:proofErr w:type="spellEnd"/>
            <w:r>
              <w:rPr>
                <w:lang w:val="bg-BG"/>
              </w:rPr>
              <w:t xml:space="preserve"> без</w:t>
            </w:r>
            <w:r w:rsidRPr="006C5BF2">
              <w:rPr>
                <w:lang w:val="en-US"/>
              </w:rPr>
              <w:t xml:space="preserve"> </w:t>
            </w:r>
            <w:proofErr w:type="spellStart"/>
            <w:r w:rsidRPr="006C5BF2">
              <w:rPr>
                <w:lang w:val="en-US"/>
              </w:rPr>
              <w:t>обект</w:t>
            </w:r>
            <w:proofErr w:type="spellEnd"/>
            <w:r w:rsidRPr="006C5BF2">
              <w:rPr>
                <w:lang w:val="en-US"/>
              </w:rPr>
              <w:t xml:space="preserve"> в </w:t>
            </w:r>
            <w:proofErr w:type="spellStart"/>
            <w:r w:rsidRPr="006C5BF2">
              <w:rPr>
                <w:lang w:val="en-US"/>
              </w:rPr>
              <w:t>отговора</w:t>
            </w:r>
            <w:proofErr w:type="spellEnd"/>
            <w:r w:rsidRPr="006C5BF2">
              <w:rPr>
                <w:lang w:val="en-US"/>
              </w:rPr>
              <w:t>.</w:t>
            </w: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4E9144C6" w:rsidR="00BF47F3" w:rsidRPr="007314D3" w:rsidRDefault="007314D3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proofErr w:type="spellStart"/>
            <w:r w:rsidRPr="007314D3">
              <w:rPr>
                <w:lang w:val="en-US"/>
              </w:rPr>
              <w:t>аменя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 в </w:t>
            </w:r>
            <w:proofErr w:type="spellStart"/>
            <w:r w:rsidRPr="007314D3">
              <w:rPr>
                <w:lang w:val="en-US"/>
              </w:rPr>
              <w:t>посочения</w:t>
            </w:r>
            <w:proofErr w:type="spellEnd"/>
            <w:r w:rsidRPr="007314D3">
              <w:rPr>
                <w:lang w:val="en-US"/>
              </w:rPr>
              <w:t xml:space="preserve"> URI. </w:t>
            </w:r>
            <w:proofErr w:type="spellStart"/>
            <w:r w:rsidRPr="007314D3">
              <w:rPr>
                <w:lang w:val="en-US"/>
              </w:rPr>
              <w:t>Тялото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заявка</w:t>
            </w:r>
            <w:proofErr w:type="spellEnd"/>
            <w:r>
              <w:rPr>
                <w:lang w:val="bg-BG"/>
              </w:rPr>
              <w:t>та</w:t>
            </w:r>
            <w:r w:rsidRPr="007314D3">
              <w:rPr>
                <w:lang w:val="en-US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, </w:t>
            </w:r>
            <w:proofErr w:type="spellStart"/>
            <w:r w:rsidRPr="007314D3">
              <w:rPr>
                <w:lang w:val="en-US"/>
              </w:rPr>
              <w:t>който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трябва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да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бъде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актуализиран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3EF6E917" w:rsidR="00BF47F3" w:rsidRDefault="007314D3" w:rsidP="00856670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proofErr w:type="spellStart"/>
            <w:r w:rsidRPr="007314D3">
              <w:rPr>
                <w:lang w:val="en-US"/>
              </w:rPr>
              <w:t>ремахва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 в </w:t>
            </w:r>
            <w:proofErr w:type="spellStart"/>
            <w:r w:rsidRPr="007314D3">
              <w:rPr>
                <w:lang w:val="en-US"/>
              </w:rPr>
              <w:t>посочения</w:t>
            </w:r>
            <w:proofErr w:type="spellEnd"/>
            <w:r w:rsidRPr="007314D3">
              <w:rPr>
                <w:lang w:val="en-US"/>
              </w:rPr>
              <w:t xml:space="preserve"> URI.</w:t>
            </w: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37A18439" w:rsidR="00EA533F" w:rsidRDefault="00242D5E" w:rsidP="00EA533F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С</w:t>
            </w:r>
            <w:proofErr w:type="spellStart"/>
            <w:r w:rsidRPr="00242D5E">
              <w:rPr>
                <w:lang w:val="en-US"/>
              </w:rPr>
              <w:t>ъздава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нов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ресурс</w:t>
            </w:r>
            <w:proofErr w:type="spellEnd"/>
            <w:r w:rsidRPr="00242D5E">
              <w:rPr>
                <w:lang w:val="en-US"/>
              </w:rPr>
              <w:t xml:space="preserve">. </w:t>
            </w:r>
            <w:proofErr w:type="spellStart"/>
            <w:r w:rsidRPr="00242D5E">
              <w:rPr>
                <w:lang w:val="en-US"/>
              </w:rPr>
              <w:t>Тялото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заявка</w:t>
            </w:r>
            <w:proofErr w:type="spellEnd"/>
            <w:r w:rsidR="004B519A">
              <w:rPr>
                <w:lang w:val="bg-BG"/>
              </w:rPr>
              <w:t>та</w:t>
            </w:r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предоставя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подробности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за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новия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ресурс</w:t>
            </w:r>
            <w:proofErr w:type="spellEnd"/>
            <w:r w:rsidRPr="00242D5E">
              <w:rPr>
                <w:lang w:val="en-US"/>
              </w:rPr>
              <w:t>.</w:t>
            </w: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2833ACB6" w:rsidR="00EA533F" w:rsidRPr="00BF3DC2" w:rsidRDefault="00BF3DC2" w:rsidP="00BF3DC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proofErr w:type="spellStart"/>
            <w:r w:rsidRPr="00BF3DC2">
              <w:rPr>
                <w:lang w:val="en-US"/>
              </w:rPr>
              <w:t>редоставя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мета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данни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за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ресурс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7314D3" w14:paraId="0BAE0A51" w14:textId="77777777" w:rsidTr="00BF47F3">
        <w:tc>
          <w:tcPr>
            <w:tcW w:w="4508" w:type="dxa"/>
          </w:tcPr>
          <w:p w14:paraId="1815EC18" w14:textId="7BC261E0" w:rsidR="007314D3" w:rsidRDefault="007314D3" w:rsidP="00EA533F">
            <w:pPr>
              <w:ind w:firstLine="0"/>
              <w:jc w:val="right"/>
              <w:rPr>
                <w:lang w:val="en-US"/>
              </w:rPr>
            </w:pPr>
            <w:r w:rsidRPr="007314D3">
              <w:rPr>
                <w:lang w:val="en-US"/>
              </w:rPr>
              <w:t>PATCH</w:t>
            </w:r>
          </w:p>
        </w:tc>
        <w:tc>
          <w:tcPr>
            <w:tcW w:w="4508" w:type="dxa"/>
          </w:tcPr>
          <w:p w14:paraId="1C0F2292" w14:textId="512BBF50" w:rsidR="007314D3" w:rsidRPr="007314D3" w:rsidRDefault="007314D3" w:rsidP="00EA533F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proofErr w:type="spellStart"/>
            <w:r w:rsidRPr="007314D3">
              <w:rPr>
                <w:lang w:val="en-US"/>
              </w:rPr>
              <w:t>звършва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частична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актуализация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</w:t>
            </w:r>
            <w:proofErr w:type="spellEnd"/>
            <w:r w:rsidRPr="007314D3">
              <w:rPr>
                <w:lang w:val="en-US"/>
              </w:rPr>
              <w:t>.</w:t>
            </w:r>
          </w:p>
        </w:tc>
      </w:tr>
    </w:tbl>
    <w:p w14:paraId="399227BF" w14:textId="29F5FD66" w:rsidR="00BD2988" w:rsidRDefault="00BD2988" w:rsidP="00BD2988">
      <w:pPr>
        <w:spacing w:after="160" w:line="259" w:lineRule="auto"/>
        <w:ind w:firstLine="0"/>
        <w:jc w:val="left"/>
        <w:rPr>
          <w:lang w:val="bg-BG"/>
        </w:rPr>
      </w:pPr>
    </w:p>
    <w:p w14:paraId="1C509678" w14:textId="77777777" w:rsidR="00BD2988" w:rsidRDefault="00BD2988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14FDF43D" w14:textId="38030713" w:rsidR="004E0D7E" w:rsidRDefault="00282249" w:rsidP="000D74EC">
      <w:pPr>
        <w:rPr>
          <w:lang w:val="bg-BG"/>
        </w:rPr>
      </w:pPr>
      <w:r w:rsidRPr="00282249">
        <w:rPr>
          <w:lang w:val="bg-BG"/>
        </w:rPr>
        <w:lastRenderedPageBreak/>
        <w:t xml:space="preserve"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</w:t>
      </w:r>
      <w:proofErr w:type="spellStart"/>
      <w:r w:rsidRPr="00282249">
        <w:rPr>
          <w:lang w:val="bg-BG"/>
        </w:rPr>
        <w:t>RESTful</w:t>
      </w:r>
      <w:proofErr w:type="spellEnd"/>
      <w:r w:rsidRPr="00282249">
        <w:rPr>
          <w:lang w:val="bg-BG"/>
        </w:rPr>
        <w:t xml:space="preserve">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67333DF7" w14:textId="77777777" w:rsidR="000D74EC" w:rsidRDefault="000D74EC" w:rsidP="000D74EC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1771"/>
        <w:gridCol w:w="1420"/>
        <w:gridCol w:w="1952"/>
        <w:gridCol w:w="1505"/>
      </w:tblGrid>
      <w:tr w:rsidR="00323493" w14:paraId="0F90FFD8" w14:textId="77777777" w:rsidTr="002653F3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Default="007D3B08" w:rsidP="002653F3">
            <w:pPr>
              <w:ind w:firstLine="0"/>
              <w:jc w:val="right"/>
              <w:rPr>
                <w:lang w:val="bg-BG"/>
              </w:rPr>
            </w:pPr>
            <w:r w:rsidRPr="007D3B08">
              <w:rPr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081CE8" w:rsidRDefault="00081CE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Default="00464A49" w:rsidP="00C84502">
            <w:pPr>
              <w:ind w:firstLine="0"/>
              <w:rPr>
                <w:lang w:val="bg-BG"/>
              </w:rPr>
            </w:pPr>
            <w:r w:rsidRPr="00464A49">
              <w:rPr>
                <w:lang w:val="bg-BG"/>
              </w:rPr>
              <w:t>Общ</w:t>
            </w:r>
            <w:r>
              <w:rPr>
                <w:lang w:val="bg-BG"/>
              </w:rPr>
              <w:t xml:space="preserve">о </w:t>
            </w:r>
            <w:r w:rsidR="00D85773" w:rsidRPr="00D85773">
              <w:rPr>
                <w:lang w:val="bg-BG"/>
              </w:rPr>
              <w:t xml:space="preserve">актуализиране на </w:t>
            </w:r>
            <w:r w:rsidR="0047165B">
              <w:rPr>
                <w:lang w:val="bg-BG"/>
              </w:rPr>
              <w:t>поръчките</w:t>
            </w:r>
            <w:r w:rsidR="00D85773">
              <w:rPr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Default="0060045A" w:rsidP="00C84502">
            <w:pPr>
              <w:ind w:firstLine="0"/>
              <w:rPr>
                <w:lang w:val="bg-BG"/>
              </w:rPr>
            </w:pPr>
            <w:r w:rsidRPr="0060045A">
              <w:rPr>
                <w:lang w:val="bg-BG"/>
              </w:rPr>
              <w:t>Премах</w:t>
            </w:r>
            <w:r w:rsidR="00D07071">
              <w:rPr>
                <w:lang w:val="bg-BG"/>
              </w:rPr>
              <w:t xml:space="preserve">ва </w:t>
            </w:r>
            <w:r w:rsidRPr="0060045A">
              <w:rPr>
                <w:lang w:val="bg-BG"/>
              </w:rPr>
              <w:t>всички</w:t>
            </w:r>
            <w:r>
              <w:rPr>
                <w:lang w:val="bg-BG"/>
              </w:rPr>
              <w:t xml:space="preserve">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0878C2" w:rsidRDefault="0015474B" w:rsidP="002653F3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</w:t>
            </w:r>
            <w:r w:rsidR="000878C2">
              <w:rPr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7CAD4DF0" w:rsidR="007D3B08" w:rsidRPr="0015474B" w:rsidRDefault="00BC1E1C" w:rsidP="00C84502">
            <w:pPr>
              <w:ind w:firstLine="0"/>
              <w:rPr>
                <w:lang w:val="en-US"/>
              </w:rPr>
            </w:pPr>
            <w:r w:rsidRPr="00BC1E1C">
              <w:rPr>
                <w:lang w:val="bg-BG"/>
              </w:rPr>
              <w:t xml:space="preserve">Извлича </w:t>
            </w:r>
            <w:r w:rsidR="00323493">
              <w:rPr>
                <w:lang w:val="bg-BG"/>
              </w:rPr>
              <w:t>п</w:t>
            </w:r>
            <w:r w:rsidR="00323493" w:rsidRPr="000878C2">
              <w:rPr>
                <w:lang w:val="bg-BG"/>
              </w:rPr>
              <w:t>одробности за</w:t>
            </w:r>
            <w:r w:rsidR="00323493">
              <w:rPr>
                <w:lang w:val="en-US"/>
              </w:rPr>
              <w:t xml:space="preserve"> </w:t>
            </w:r>
            <w:r w:rsidR="00323493">
              <w:rPr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0878C2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Default="00D07071" w:rsidP="00C84502">
            <w:pPr>
              <w:ind w:firstLine="0"/>
              <w:rPr>
                <w:lang w:val="bg-BG"/>
              </w:rPr>
            </w:pPr>
            <w:r w:rsidRPr="00D07071">
              <w:rPr>
                <w:lang w:val="bg-BG"/>
              </w:rPr>
              <w:t xml:space="preserve">Актуализира данните за </w:t>
            </w:r>
            <w:r>
              <w:rPr>
                <w:lang w:val="bg-BG"/>
              </w:rPr>
              <w:t>поръчка</w:t>
            </w:r>
            <w:r w:rsidRPr="00D07071">
              <w:rPr>
                <w:lang w:val="bg-BG"/>
              </w:rPr>
              <w:t xml:space="preserve"> 1, ако съществува</w:t>
            </w:r>
            <w:r w:rsidR="0032349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Default="00A64855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5CA184BF" w:rsidR="007D3B08" w:rsidRPr="00D01E48" w:rsidRDefault="00D01E4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/1/</w:t>
            </w:r>
            <w:r>
              <w:rPr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Default="00461994" w:rsidP="00C84502">
            <w:pPr>
              <w:ind w:firstLine="0"/>
              <w:rPr>
                <w:lang w:val="bg-BG"/>
              </w:rPr>
            </w:pPr>
            <w:r w:rsidRPr="00461994">
              <w:rPr>
                <w:lang w:val="bg-BG"/>
              </w:rPr>
              <w:t>Извлича</w:t>
            </w:r>
            <w:r>
              <w:rPr>
                <w:lang w:val="bg-BG"/>
              </w:rPr>
              <w:t xml:space="preserve">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Default="00D01E48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всички доставки за поръчка 1.</w:t>
            </w:r>
          </w:p>
        </w:tc>
      </w:tr>
    </w:tbl>
    <w:p w14:paraId="2978D1F0" w14:textId="33DD134F" w:rsidR="00461994" w:rsidRDefault="00282249" w:rsidP="00461994">
      <w:pPr>
        <w:rPr>
          <w:lang w:val="bg-BG"/>
        </w:rPr>
      </w:pPr>
      <w:r w:rsidRPr="00282249">
        <w:rPr>
          <w:lang w:val="bg-BG"/>
        </w:rPr>
        <w:t xml:space="preserve"> </w:t>
      </w:r>
      <w:r w:rsidR="000D74EC" w:rsidRPr="00043B87">
        <w:rPr>
          <w:b/>
          <w:bCs/>
          <w:lang w:val="bg-BG"/>
        </w:rPr>
        <w:t>Таблица 1.</w:t>
      </w:r>
      <w:r w:rsidR="000D74EC">
        <w:rPr>
          <w:b/>
          <w:bCs/>
          <w:lang w:val="en-US"/>
        </w:rPr>
        <w:t>2</w:t>
      </w:r>
      <w:r w:rsidR="000D74EC" w:rsidRPr="005D5B49">
        <w:rPr>
          <w:lang w:val="bg-BG"/>
        </w:rPr>
        <w:t xml:space="preserve">: </w:t>
      </w:r>
      <w:r w:rsidR="000D74EC">
        <w:rPr>
          <w:lang w:val="bg-BG"/>
        </w:rPr>
        <w:t>О</w:t>
      </w:r>
      <w:r w:rsidR="000D74EC" w:rsidRPr="00B501B4">
        <w:rPr>
          <w:lang w:val="bg-BG"/>
        </w:rPr>
        <w:t>бщи</w:t>
      </w:r>
      <w:r w:rsidR="000D74EC">
        <w:rPr>
          <w:lang w:val="bg-BG"/>
        </w:rPr>
        <w:t xml:space="preserve"> </w:t>
      </w:r>
      <w:r w:rsidR="000D74EC" w:rsidRPr="00B501B4">
        <w:rPr>
          <w:lang w:val="bg-BG"/>
        </w:rPr>
        <w:t>REST конвенции</w:t>
      </w:r>
      <w:r w:rsidR="000D74EC">
        <w:rPr>
          <w:lang w:val="bg-BG"/>
        </w:rPr>
        <w:t>.</w:t>
      </w:r>
    </w:p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52E9F300" w:rsidR="000E4A80" w:rsidRDefault="004E0D7E" w:rsidP="000E4A80">
      <w:pPr>
        <w:rPr>
          <w:lang w:val="bg-BG"/>
        </w:rPr>
      </w:pPr>
      <w:r w:rsidRPr="004E0D7E">
        <w:rPr>
          <w:lang w:val="bg-BG"/>
        </w:rPr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сбитото</w:t>
      </w:r>
      <w:proofErr w:type="spellEnd"/>
      <w:r w:rsidR="000E4A80">
        <w:rPr>
          <w:lang w:val="bg-BG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 xml:space="preserve">.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</w:t>
      </w:r>
      <w:proofErr w:type="spellStart"/>
      <w:r w:rsidR="00FC1B1F">
        <w:rPr>
          <w:lang w:val="bg-BG"/>
        </w:rPr>
        <w:t>поръчк</w:t>
      </w:r>
      <w:proofErr w:type="spellEnd"/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lastRenderedPageBreak/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2D86A403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Pr="003D08D7">
        <w:rPr>
          <w:lang w:val="bg-BG"/>
        </w:rPr>
        <w:t xml:space="preserve">. Класовете кодове на могат да се видят в таблица </w:t>
      </w:r>
      <w:r w:rsidR="003F7200">
        <w:rPr>
          <w:lang w:val="en-US"/>
        </w:rPr>
        <w:t>1</w:t>
      </w:r>
      <w:r w:rsidRPr="003D08D7">
        <w:rPr>
          <w:lang w:val="bg-BG"/>
        </w:rPr>
        <w:t>.</w:t>
      </w:r>
      <w:r w:rsidR="003F7200">
        <w:rPr>
          <w:lang w:val="en-US"/>
        </w:rPr>
        <w:t>3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4640EAE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Изпращат се с подготвителна цел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E54783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Заявката</w:t>
            </w:r>
            <w:r>
              <w:rPr>
                <w:lang w:val="en-US"/>
              </w:rPr>
              <w:t xml:space="preserve"> </w:t>
            </w:r>
            <w:r w:rsidRPr="00E54783">
              <w:rPr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E54783" w:rsidRDefault="00E54783" w:rsidP="006E391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E54783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Клиентът трябва да изпрати</w:t>
            </w:r>
          </w:p>
          <w:p w14:paraId="7C3536F3" w14:textId="6D4363FA" w:rsidR="003D08D7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D0DE9BC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303 See Othe</w:t>
            </w: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5B3B756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Резултат от грешна заявка, причинена от клиента</w:t>
            </w:r>
          </w:p>
        </w:tc>
        <w:tc>
          <w:tcPr>
            <w:tcW w:w="2254" w:type="dxa"/>
          </w:tcPr>
          <w:p w14:paraId="7080B972" w14:textId="42ECD743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404 Not Found</w:t>
            </w:r>
          </w:p>
        </w:tc>
      </w:tr>
      <w:tr w:rsidR="003D08D7" w14:paraId="3CB9D500" w14:textId="77777777" w:rsidTr="003D08D7"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5AA98EB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Възник</w:t>
            </w:r>
            <w:r>
              <w:rPr>
                <w:lang w:val="bg-BG"/>
              </w:rPr>
              <w:t>ва</w:t>
            </w:r>
            <w:r w:rsidRPr="00E54783">
              <w:rPr>
                <w:lang w:val="bg-BG"/>
              </w:rPr>
              <w:t xml:space="preserve"> грешка от страна на сървъра</w:t>
            </w:r>
          </w:p>
        </w:tc>
        <w:tc>
          <w:tcPr>
            <w:tcW w:w="2254" w:type="dxa"/>
          </w:tcPr>
          <w:p w14:paraId="2B7B8569" w14:textId="5275583B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503 Service Unavailable</w:t>
            </w:r>
          </w:p>
        </w:tc>
      </w:tr>
    </w:tbl>
    <w:p w14:paraId="06EBF2E2" w14:textId="21C57E4F" w:rsidR="003D08D7" w:rsidRDefault="00F54091" w:rsidP="00F54091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</w:p>
    <w:p w14:paraId="66751E7C" w14:textId="44EAA163" w:rsidR="00325E6C" w:rsidRDefault="00FF408F" w:rsidP="00325E6C">
      <w:pPr>
        <w:rPr>
          <w:lang w:val="bg-BG"/>
        </w:rPr>
      </w:pPr>
      <w:r w:rsidRPr="003D08D7">
        <w:rPr>
          <w:lang w:val="bg-BG"/>
        </w:rPr>
        <w:t xml:space="preserve"> </w:t>
      </w:r>
    </w:p>
    <w:p w14:paraId="602A375C" w14:textId="7767E15A" w:rsidR="00325E6C" w:rsidRPr="00227041" w:rsidRDefault="00325E6C" w:rsidP="00325E6C">
      <w:pPr>
        <w:rPr>
          <w:lang w:val="en-US"/>
        </w:rPr>
      </w:pPr>
      <w:r w:rsidRPr="00325E6C">
        <w:rPr>
          <w:lang w:val="bg-BG"/>
        </w:rPr>
        <w:t>REST е гъвкав</w:t>
      </w:r>
      <w:r>
        <w:rPr>
          <w:lang w:val="en-US"/>
        </w:rPr>
        <w:t xml:space="preserve"> </w:t>
      </w:r>
      <w:r w:rsidRPr="00325E6C">
        <w:rPr>
          <w:lang w:val="bg-BG"/>
        </w:rPr>
        <w:t xml:space="preserve">архитектурен стил, който дефинира CRUD-базирани операции. Клиентите взаимодействат </w:t>
      </w:r>
      <w:r w:rsidR="00227041">
        <w:rPr>
          <w:lang w:val="bg-BG"/>
        </w:rPr>
        <w:t>със сървъра</w:t>
      </w:r>
      <w:r w:rsidRPr="00325E6C">
        <w:rPr>
          <w:lang w:val="bg-BG"/>
        </w:rPr>
        <w:t xml:space="preserve"> през HTTP с модел</w:t>
      </w:r>
      <w:r w:rsidR="00227041">
        <w:rPr>
          <w:lang w:val="bg-BG"/>
        </w:rPr>
        <w:t xml:space="preserve"> на</w:t>
      </w:r>
      <w:r w:rsidRPr="00325E6C">
        <w:rPr>
          <w:lang w:val="bg-BG"/>
        </w:rPr>
        <w:t xml:space="preserve"> </w:t>
      </w:r>
      <w:r w:rsidRPr="00325E6C">
        <w:rPr>
          <w:lang w:val="bg-BG"/>
        </w:rPr>
        <w:lastRenderedPageBreak/>
        <w:t xml:space="preserve">заявка/отговор. </w:t>
      </w:r>
      <w:r w:rsidR="00227041">
        <w:rPr>
          <w:lang w:val="bg-BG"/>
        </w:rPr>
        <w:t>Той</w:t>
      </w:r>
      <w:r w:rsidRPr="00325E6C">
        <w:rPr>
          <w:lang w:val="bg-BG"/>
        </w:rPr>
        <w:t xml:space="preserve"> е широко разпространен,</w:t>
      </w:r>
      <w:r w:rsidR="00227041">
        <w:rPr>
          <w:lang w:val="bg-BG"/>
        </w:rPr>
        <w:t xml:space="preserve"> но следва да разгледаме</w:t>
      </w:r>
      <w:r w:rsidRPr="00325E6C">
        <w:rPr>
          <w:lang w:val="bg-BG"/>
        </w:rPr>
        <w:t xml:space="preserve"> по-нова комуникационна технология</w:t>
      </w:r>
      <w:r w:rsidR="00227041">
        <w:rPr>
          <w:lang w:val="en-US"/>
        </w:rPr>
        <w:t xml:space="preserve">, </w:t>
      </w:r>
      <w:r w:rsidR="00227041">
        <w:rPr>
          <w:lang w:val="bg-BG"/>
        </w:rPr>
        <w:t>набираща скорост в общността на облачните технологии:</w:t>
      </w:r>
      <w:r w:rsidRPr="00325E6C">
        <w:rPr>
          <w:lang w:val="bg-BG"/>
        </w:rPr>
        <w:t xml:space="preserve"> </w:t>
      </w:r>
      <w:proofErr w:type="spellStart"/>
      <w:r w:rsidRPr="00325E6C">
        <w:rPr>
          <w:lang w:val="bg-BG"/>
        </w:rPr>
        <w:t>gRPC</w:t>
      </w:r>
      <w:proofErr w:type="spellEnd"/>
      <w:r w:rsidR="00227041">
        <w:rPr>
          <w:lang w:val="en-US"/>
        </w:rPr>
        <w:t>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99706320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3E67542D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. </w:t>
      </w:r>
    </w:p>
    <w:p w14:paraId="670CD189" w14:textId="77777777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разкри</w:t>
      </w:r>
      <w:proofErr w:type="spellEnd"/>
      <w:r w:rsidR="00622B6B">
        <w:rPr>
          <w:lang w:val="bg-BG"/>
        </w:rPr>
        <w:t>ва</w:t>
      </w:r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5DC92E47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proofErr w:type="spellStart"/>
      <w:r w:rsidRPr="008A4AC8">
        <w:rPr>
          <w:lang w:val="en-US"/>
        </w:rPr>
        <w:t>приложенията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опасения</w:t>
      </w:r>
      <w:proofErr w:type="spellEnd"/>
      <w:r w:rsidR="00DB509B">
        <w:rPr>
          <w:lang w:val="bg-BG"/>
        </w:rPr>
        <w:t>та от не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proofErr w:type="spellStart"/>
      <w:r w:rsidRPr="001B5689">
        <w:rPr>
          <w:lang w:val="en-US"/>
        </w:rPr>
        <w:t>озволяващо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заявки</w:t>
      </w:r>
      <w:proofErr w:type="spellEnd"/>
      <w:r w:rsidRPr="001B5689">
        <w:rPr>
          <w:lang w:val="en-US"/>
        </w:rPr>
        <w:t xml:space="preserve"> и </w:t>
      </w:r>
      <w:proofErr w:type="spellStart"/>
      <w:r w:rsidRPr="001B5689">
        <w:rPr>
          <w:lang w:val="en-US"/>
        </w:rPr>
        <w:t>отговори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асинхронно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предаване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гол</w:t>
      </w:r>
      <w:proofErr w:type="spellEnd"/>
      <w:r w:rsidR="00C342B2">
        <w:rPr>
          <w:lang w:val="bg-BG"/>
        </w:rPr>
        <w:t>ям</w:t>
      </w:r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набор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от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данни</w:t>
      </w:r>
      <w:proofErr w:type="spellEnd"/>
      <w:r w:rsidR="00256CEA">
        <w:rPr>
          <w:lang w:val="bg-BG"/>
        </w:rPr>
        <w:t xml:space="preserve"> (масиви)</w:t>
      </w:r>
    </w:p>
    <w:p w14:paraId="535A80EC" w14:textId="109473D9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r w:rsidR="00F92F42">
        <w:rPr>
          <w:lang w:val="bg-BG"/>
        </w:rPr>
        <w:t>е базирана на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технология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отворен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наречена</w:t>
      </w:r>
      <w:proofErr w:type="spellEnd"/>
      <w:r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осигуряват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висока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ефективност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платформено-неутрален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формат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Pr="00314F94">
        <w:rPr>
          <w:lang w:val="en-US"/>
        </w:rPr>
        <w:t>съобщения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междуплатформен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език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интерфейс</w:t>
      </w:r>
      <w:proofErr w:type="spellEnd"/>
      <w:r w:rsidRPr="00314F94">
        <w:rPr>
          <w:lang w:val="en-US"/>
        </w:rPr>
        <w:t xml:space="preserve"> (IDL), </w:t>
      </w:r>
      <w:proofErr w:type="spellStart"/>
      <w:r w:rsidRPr="00314F94">
        <w:rPr>
          <w:lang w:val="en-US"/>
        </w:rPr>
        <w:t>разработчиците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дефинират</w:t>
      </w:r>
      <w:proofErr w:type="spellEnd"/>
      <w:r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микроуслуга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Договорът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реализиран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текстов</w:t>
      </w:r>
      <w:proofErr w:type="spellEnd"/>
      <w:r w:rsidRPr="00314F94">
        <w:rPr>
          <w:lang w:val="en-US"/>
        </w:rPr>
        <w:t xml:space="preserve"> .proto</w:t>
      </w:r>
      <w:proofErr w:type="gram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описва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методи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входове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изходи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lastRenderedPageBreak/>
        <w:t>Същият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използва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изградени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разработка</w:t>
      </w:r>
      <w:proofErr w:type="spellEnd"/>
      <w:r w:rsidRPr="00314F94">
        <w:rPr>
          <w:lang w:val="en-US"/>
        </w:rPr>
        <w:t>.</w:t>
      </w:r>
    </w:p>
    <w:p w14:paraId="65374165" w14:textId="3A410B45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  <w:proofErr w:type="gramEnd"/>
    </w:p>
    <w:p w14:paraId="42A215B1" w14:textId="6668622D" w:rsidR="00314F94" w:rsidRPr="008343F3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  <w:proofErr w:type="gramEnd"/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6DD77E49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2390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синтаксиса</w:t>
                            </w:r>
                            <w:proofErr w:type="spellEnd"/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option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csharp_namespace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package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order_delivery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protobuf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wrappers.proto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service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OrdersDeliveries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11F7544" w14:textId="11247F3D" w:rsidR="006D21E7" w:rsidRPr="006D21E7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rpc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GetOrderRequest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 returns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NullableOrder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  <w:r w:rsidR="001B5D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 w:rsidR="006D21E7"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7777777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18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на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синтаксиса</w:t>
                      </w:r>
                      <w:proofErr w:type="spellEnd"/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option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csharp_namespace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package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order_delivery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protobuf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wrappers.proto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service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OrdersDeliveries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{</w:t>
                      </w:r>
                    </w:p>
                    <w:p w14:paraId="211F7544" w14:textId="11247F3D" w:rsidR="006D21E7" w:rsidRPr="006D21E7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rpc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GetOrderRequest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 returns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NullableOrder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  <w:r w:rsidR="001B5D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</w:rPr>
                        <w:t>GetOrderRequest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 w:rsidR="006D21E7">
                        <w:rPr>
                          <w:rStyle w:val="p"/>
                          <w:lang w:val="bg-BG"/>
                        </w:rPr>
                        <w:t>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7777777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0C68FA7D" w14:textId="584E2126" w:rsidR="00780706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485A93CF" w14:textId="352EF77D" w:rsidR="007B33BB" w:rsidRDefault="007B33BB" w:rsidP="00314F94">
      <w:pPr>
        <w:rPr>
          <w:lang w:val="bg-BG"/>
        </w:rPr>
      </w:pPr>
      <w:r>
        <w:rPr>
          <w:lang w:val="bg-BG"/>
        </w:rPr>
        <w:t>Технологията ни предоставя няколко т</w:t>
      </w:r>
      <w:r w:rsidRPr="007B33BB">
        <w:rPr>
          <w:lang w:val="bg-BG"/>
        </w:rPr>
        <w:t>ип</w:t>
      </w:r>
      <w:r>
        <w:rPr>
          <w:lang w:val="bg-BG"/>
        </w:rPr>
        <w:t>а:</w:t>
      </w:r>
    </w:p>
    <w:p w14:paraId="3DAB9B24" w14:textId="7B91965E" w:rsidR="007B33BB" w:rsidRPr="00151B33" w:rsidRDefault="007B33BB" w:rsidP="00AF469A">
      <w:pPr>
        <w:pStyle w:val="ListParagraph"/>
        <w:numPr>
          <w:ilvl w:val="0"/>
          <w:numId w:val="40"/>
        </w:numPr>
        <w:rPr>
          <w:lang w:val="bg-BG"/>
        </w:rPr>
      </w:pPr>
      <w:r w:rsidRPr="00151B33">
        <w:rPr>
          <w:color w:val="BF8F00" w:themeColor="accent4" w:themeShade="BF"/>
          <w:lang w:val="en-US"/>
        </w:rPr>
        <w:t>Unary RPC</w:t>
      </w:r>
      <w:r w:rsidRPr="00151B33">
        <w:rPr>
          <w:color w:val="BF8F00" w:themeColor="accent4" w:themeShade="BF"/>
          <w:lang w:val="bg-BG"/>
        </w:rPr>
        <w:t xml:space="preserve"> - </w:t>
      </w:r>
      <w:r w:rsidRPr="00151B33">
        <w:rPr>
          <w:color w:val="BF8F00" w:themeColor="accent4" w:themeShade="BF"/>
          <w:lang w:val="en-US"/>
        </w:rPr>
        <w:t>The client sends a request message to the server and receives a response</w:t>
      </w:r>
      <w:r w:rsidR="005D0E9B" w:rsidRPr="00151B33">
        <w:rPr>
          <w:color w:val="BF8F00" w:themeColor="accent4" w:themeShade="BF"/>
          <w:lang w:val="bg-BG"/>
        </w:rPr>
        <w:t>;</w:t>
      </w:r>
      <w:r w:rsidR="00151B33" w:rsidRPr="00151B33">
        <w:rPr>
          <w:color w:val="BF8F00" w:themeColor="accent4" w:themeShade="BF"/>
          <w:lang w:val="bg-BG"/>
        </w:rPr>
        <w:t xml:space="preserve"> -</w:t>
      </w:r>
      <w:r w:rsidRPr="00151B33">
        <w:rPr>
          <w:color w:val="BF8F00" w:themeColor="accent4" w:themeShade="BF"/>
          <w:lang w:val="en-US"/>
        </w:rPr>
        <w:t>Server streaming RPC</w:t>
      </w:r>
      <w:r w:rsidRPr="00151B33">
        <w:rPr>
          <w:color w:val="BF8F00" w:themeColor="accent4" w:themeShade="BF"/>
          <w:lang w:val="bg-BG"/>
        </w:rPr>
        <w:t xml:space="preserve"> - </w:t>
      </w:r>
      <w:r w:rsidRPr="00151B33">
        <w:rPr>
          <w:color w:val="BF8F00" w:themeColor="accent4" w:themeShade="BF"/>
          <w:lang w:val="en-US"/>
        </w:rPr>
        <w:t xml:space="preserve">The client sends a request message to the server and receives a sequence of </w:t>
      </w:r>
      <w:proofErr w:type="gramStart"/>
      <w:r w:rsidRPr="00151B33">
        <w:rPr>
          <w:color w:val="BF8F00" w:themeColor="accent4" w:themeShade="BF"/>
          <w:lang w:val="en-US"/>
        </w:rPr>
        <w:t>responses</w:t>
      </w:r>
      <w:r w:rsidR="005D0E9B" w:rsidRPr="00151B33">
        <w:rPr>
          <w:color w:val="BF8F00" w:themeColor="accent4" w:themeShade="BF"/>
          <w:lang w:val="bg-BG"/>
        </w:rPr>
        <w:t>;</w:t>
      </w:r>
      <w:r w:rsidR="00151B33" w:rsidRPr="00151B33">
        <w:rPr>
          <w:color w:val="BF8F00" w:themeColor="accent4" w:themeShade="BF"/>
          <w:lang w:val="bg-BG"/>
        </w:rPr>
        <w:t>-</w:t>
      </w:r>
      <w:proofErr w:type="gramEnd"/>
      <w:r w:rsidRPr="00151B33">
        <w:rPr>
          <w:color w:val="BF8F00" w:themeColor="accent4" w:themeShade="BF"/>
          <w:lang w:val="en-US"/>
        </w:rPr>
        <w:t xml:space="preserve">Client streaming RPC </w:t>
      </w:r>
      <w:r w:rsidRPr="00151B33">
        <w:rPr>
          <w:color w:val="BF8F00" w:themeColor="accent4" w:themeShade="BF"/>
          <w:lang w:val="bg-BG"/>
        </w:rPr>
        <w:t xml:space="preserve">- </w:t>
      </w:r>
      <w:r w:rsidRPr="00151B33">
        <w:rPr>
          <w:color w:val="BF8F00" w:themeColor="accent4" w:themeShade="BF"/>
          <w:lang w:val="en-US"/>
        </w:rPr>
        <w:t>The client sends a sequence of messages and receives a single response from the server</w:t>
      </w:r>
      <w:r w:rsidR="005D0E9B" w:rsidRPr="00151B33">
        <w:rPr>
          <w:color w:val="BF8F00" w:themeColor="accent4" w:themeShade="BF"/>
          <w:lang w:val="bg-BG"/>
        </w:rPr>
        <w:t>;</w:t>
      </w:r>
      <w:r w:rsidR="00151B33">
        <w:rPr>
          <w:color w:val="BF8F00" w:themeColor="accent4" w:themeShade="BF"/>
          <w:lang w:val="bg-BG"/>
        </w:rPr>
        <w:t>-</w:t>
      </w:r>
      <w:r w:rsidRPr="00151B33">
        <w:rPr>
          <w:lang w:val="en-US"/>
        </w:rPr>
        <w:t>Bidirectional streaming RPC</w:t>
      </w:r>
      <w:r w:rsidRPr="00151B33">
        <w:rPr>
          <w:lang w:val="bg-BG"/>
        </w:rPr>
        <w:t xml:space="preserve"> </w:t>
      </w:r>
      <w:r w:rsidRPr="00151B33">
        <w:rPr>
          <w:lang w:val="en-US"/>
        </w:rPr>
        <w:t>The client and the server exchange messages in both directions</w:t>
      </w:r>
      <w:r w:rsidR="005D0E9B" w:rsidRPr="00151B33">
        <w:rPr>
          <w:lang w:val="bg-BG"/>
        </w:rPr>
        <w:t>;</w:t>
      </w:r>
      <w:r w:rsidR="00283300" w:rsidRPr="00151B33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99706321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439"/>
        <w:gridCol w:w="3727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gRPC</w:t>
            </w:r>
            <w:proofErr w:type="spellEnd"/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61664016" w:rsidR="00780706" w:rsidRDefault="0069262F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организирани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128E04A" w:rsidR="00780706" w:rsidRDefault="0069262F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ресурси</w:t>
            </w: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13E1B676" w:rsidR="00780706" w:rsidRDefault="00965F03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л</w:t>
            </w:r>
            <w:r w:rsidR="0069262F">
              <w:rPr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6540CD52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JSON, XML, Text, HTML</w:t>
            </w: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1D1C668D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AADDE6F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 w:rsidRPr="008C4FF0">
              <w:rPr>
                <w:lang w:val="bg-BG"/>
              </w:rPr>
              <w:t>Публични API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bottom w:val="nil"/>
            </w:tcBorders>
          </w:tcPr>
          <w:p w14:paraId="43CA0935" w14:textId="390700E6" w:rsidR="00780706" w:rsidRPr="008C4FF0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Вътрешни </w:t>
            </w:r>
            <w:r>
              <w:rPr>
                <w:lang w:val="en-US"/>
              </w:rPr>
              <w:t>API</w:t>
            </w:r>
            <w:r>
              <w:rPr>
                <w:lang w:val="bg-BG"/>
              </w:rPr>
              <w:t>;</w:t>
            </w: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B3B40E1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Насочени към мобилни и уеб клиенти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14952707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4071BD1A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У</w:t>
            </w:r>
            <w:proofErr w:type="spellStart"/>
            <w:r w:rsidRPr="008C4FF0">
              <w:rPr>
                <w:lang w:val="en-US"/>
              </w:rPr>
              <w:t>правлявани</w:t>
            </w:r>
            <w:proofErr w:type="spellEnd"/>
            <w:r w:rsidRPr="008C4FF0">
              <w:rPr>
                <w:lang w:val="en-US"/>
              </w:rPr>
              <w:t xml:space="preserve"> </w:t>
            </w:r>
            <w:proofErr w:type="spellStart"/>
            <w:r w:rsidRPr="008C4FF0">
              <w:rPr>
                <w:lang w:val="en-US"/>
              </w:rPr>
              <w:t>от</w:t>
            </w:r>
            <w:proofErr w:type="spellEnd"/>
            <w:r w:rsidRPr="008C4FF0">
              <w:rPr>
                <w:lang w:val="en-US"/>
              </w:rPr>
              <w:t xml:space="preserve"> </w:t>
            </w:r>
            <w:proofErr w:type="spellStart"/>
            <w:r w:rsidRPr="008C4FF0">
              <w:rPr>
                <w:lang w:val="en-US"/>
              </w:rPr>
              <w:t>данни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</w:tcBorders>
          </w:tcPr>
          <w:p w14:paraId="61F81429" w14:textId="7EEAE662" w:rsidR="00780706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Pr="008C4FF0">
              <w:rPr>
                <w:lang w:val="bg-BG"/>
              </w:rPr>
              <w:t>риентирани към команди и действия</w:t>
            </w:r>
          </w:p>
        </w:tc>
      </w:tr>
    </w:tbl>
    <w:p w14:paraId="38A07333" w14:textId="1346C114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 xml:space="preserve">Таблица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55E81307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2B8C84FD" w:rsidR="00224B23" w:rsidRDefault="001628A4" w:rsidP="000879B8">
      <w:pPr>
        <w:rPr>
          <w:lang w:val="bg-BG"/>
        </w:rPr>
      </w:pPr>
      <w:r w:rsidRPr="004568DA">
        <w:rPr>
          <w:lang w:val="bg-BG"/>
        </w:rPr>
        <w:t>Н</w:t>
      </w:r>
      <w:r w:rsidR="00D73E17" w:rsidRPr="004568DA">
        <w:rPr>
          <w:lang w:val="bg-BG"/>
        </w:rPr>
        <w:t xml:space="preserve">едостатъците на използването на синхронна комуникация ще бъде </w:t>
      </w:r>
      <w:r w:rsidR="00624542" w:rsidRPr="004568DA">
        <w:rPr>
          <w:lang w:val="bg-BG"/>
        </w:rPr>
        <w:t>„</w:t>
      </w:r>
      <w:r w:rsidR="00D73E17" w:rsidRPr="004568DA">
        <w:rPr>
          <w:lang w:val="bg-BG"/>
        </w:rPr>
        <w:t>мал</w:t>
      </w:r>
      <w:r w:rsidR="008F15FF" w:rsidRPr="004568DA">
        <w:rPr>
          <w:lang w:val="bg-BG"/>
        </w:rPr>
        <w:t>ък</w:t>
      </w:r>
      <w:r w:rsidR="00D73E17" w:rsidRPr="004568DA">
        <w:rPr>
          <w:lang w:val="bg-BG"/>
        </w:rPr>
        <w:t xml:space="preserve"> мост</w:t>
      </w:r>
      <w:r w:rsidR="00624542" w:rsidRPr="004568DA">
        <w:rPr>
          <w:lang w:val="bg-BG"/>
        </w:rPr>
        <w:t>“</w:t>
      </w:r>
      <w:r w:rsidRPr="004568DA">
        <w:rPr>
          <w:lang w:val="bg-BG"/>
        </w:rPr>
        <w:t>,</w:t>
      </w:r>
      <w:r w:rsidR="00D73E17" w:rsidRPr="004568DA">
        <w:rPr>
          <w:lang w:val="bg-BG"/>
        </w:rPr>
        <w:t xml:space="preserve"> към следващ</w:t>
      </w:r>
      <w:r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>, където ще разгледаме асинхронната комуникация.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99706322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70011C72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>ажен момент при изграждането на микроуслуги е интегр</w:t>
      </w:r>
      <w:proofErr w:type="spellStart"/>
      <w:r>
        <w:rPr>
          <w:lang w:val="bg-BG"/>
        </w:rPr>
        <w:t>ацията</w:t>
      </w:r>
      <w:proofErr w:type="spellEnd"/>
      <w:r>
        <w:rPr>
          <w:lang w:val="bg-BG"/>
        </w:rPr>
        <w:t xml:space="preserve">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>омуникацията между вътрешните микроуслуги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>Целта на всяка микроуслуга е да бъде автономна и достъпна за потребителя, дори ако другите услуги, които са част от приложението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други</w:t>
      </w:r>
      <w:proofErr w:type="spellEnd"/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предостави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D0F45" w:rsidRPr="00CD0F45">
        <w:rPr>
          <w:lang w:val="en-US"/>
        </w:rPr>
        <w:t xml:space="preserve">, </w:t>
      </w:r>
      <w:r w:rsidR="00693A97">
        <w:rPr>
          <w:lang w:val="bg-BG"/>
        </w:rPr>
        <w:t>отговаря на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архитектура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която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микроуслуги</w:t>
      </w:r>
      <w:r w:rsidR="00347B46">
        <w:rPr>
          <w:lang w:val="bg-BG"/>
        </w:rPr>
        <w:t>те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99706323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4756E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>няма никакъв 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159E655C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събития, микроуслуга публикува интеграционно събитие,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може да актуализират собствените си обекти. Тази система за публикуване/абониране се изпълнява чрез използване на реализация на шина за събития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99706324"/>
      <w:r w:rsidRPr="00A210A0">
        <w:t>Съгласуваност между услугите</w:t>
      </w:r>
      <w:bookmarkEnd w:id="10"/>
    </w:p>
    <w:p w14:paraId="421E9684" w14:textId="79DC2F2D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proofErr w:type="spellStart"/>
      <w:r w:rsidRPr="006E1D3A">
        <w:rPr>
          <w:lang w:val="en-US"/>
        </w:rPr>
        <w:t>наличност</w:t>
      </w:r>
      <w:proofErr w:type="spellEnd"/>
      <w:r w:rsidRPr="006E1D3A">
        <w:rPr>
          <w:lang w:val="en-US"/>
        </w:rPr>
        <w:t xml:space="preserve"> и </w:t>
      </w:r>
      <w:proofErr w:type="spellStart"/>
      <w:r w:rsidRPr="006E1D3A">
        <w:rPr>
          <w:lang w:val="en-US"/>
        </w:rPr>
        <w:t>толерантността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към частични проблеми </w:t>
      </w:r>
      <w:proofErr w:type="spellStart"/>
      <w:r w:rsidRPr="006E1D3A">
        <w:rPr>
          <w:lang w:val="en-US"/>
        </w:rPr>
        <w:t>не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могат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да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бъдат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гарантирани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на 100% в </w:t>
      </w:r>
      <w:proofErr w:type="spellStart"/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систем</w:t>
      </w:r>
      <w:proofErr w:type="spellEnd"/>
      <w:r>
        <w:rPr>
          <w:lang w:val="bg-BG"/>
        </w:rPr>
        <w:t>и</w:t>
      </w:r>
      <w:r w:rsidRPr="006E1D3A">
        <w:rPr>
          <w:lang w:val="en-US"/>
        </w:rPr>
        <w:t xml:space="preserve">. </w:t>
      </w:r>
      <w:proofErr w:type="spellStart"/>
      <w:r w:rsidRPr="006E1D3A">
        <w:rPr>
          <w:lang w:val="en-US"/>
        </w:rPr>
        <w:t>От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гледна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точка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широкомащабните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уеб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архитектури</w:t>
      </w:r>
      <w:proofErr w:type="spellEnd"/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това</w:t>
      </w:r>
      <w:proofErr w:type="spellEnd"/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proofErr w:type="spellStart"/>
      <w:r w:rsidRPr="006E1D3A">
        <w:rPr>
          <w:lang w:val="en-US"/>
        </w:rPr>
        <w:t>основн</w:t>
      </w:r>
      <w:proofErr w:type="spellEnd"/>
      <w:r>
        <w:rPr>
          <w:lang w:val="bg-BG"/>
        </w:rPr>
        <w:t>а</w:t>
      </w:r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съхранение</w:t>
      </w:r>
      <w:proofErr w:type="spellEnd"/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тъй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като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тези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компоненти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запазват</w:t>
      </w:r>
      <w:proofErr w:type="spellEnd"/>
      <w:r w:rsidRPr="006E1D3A">
        <w:rPr>
          <w:lang w:val="en-US"/>
        </w:rPr>
        <w:t xml:space="preserve"> </w:t>
      </w:r>
      <w:r w:rsidR="00AA78A0">
        <w:rPr>
          <w:lang w:val="bg-BG"/>
        </w:rPr>
        <w:t xml:space="preserve">текущите </w:t>
      </w:r>
      <w:proofErr w:type="spellStart"/>
      <w:r w:rsidRPr="006E1D3A">
        <w:rPr>
          <w:lang w:val="en-US"/>
        </w:rPr>
        <w:t>състояния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приложение</w:t>
      </w:r>
      <w:proofErr w:type="spellEnd"/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32284259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="00AA78A0">
        <w:rPr>
          <w:lang w:val="bg-BG"/>
        </w:rPr>
        <w:t>Важни п</w:t>
      </w:r>
      <w:r w:rsidR="00AA78A0" w:rsidRPr="00AA78A0">
        <w:rPr>
          <w:lang w:val="bg-BG"/>
        </w:rPr>
        <w:t>редизвикателства 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9706325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9706326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</w:t>
      </w:r>
      <w:proofErr w:type="spellEnd"/>
      <w:r w:rsidR="008437F3">
        <w:rPr>
          <w:lang w:val="bg-BG"/>
        </w:rPr>
        <w:t>ат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r w:rsidR="008437F3">
        <w:rPr>
          <w:lang w:val="bg-BG"/>
        </w:rPr>
        <w:t>„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proofErr w:type="gramStart"/>
      <w:r w:rsidRPr="00A83894">
        <w:rPr>
          <w:lang w:val="en-US"/>
        </w:rPr>
        <w:t>край</w:t>
      </w:r>
      <w:proofErr w:type="spellEnd"/>
      <w:r w:rsidR="008437F3">
        <w:rPr>
          <w:lang w:val="bg-BG"/>
        </w:rPr>
        <w:t>“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proofErr w:type="gram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="008437F3">
        <w:rPr>
          <w:lang w:val="bg-BG"/>
        </w:rPr>
        <w:t xml:space="preserve"> </w:t>
      </w:r>
      <w:proofErr w:type="spellStart"/>
      <w:r w:rsidR="008437F3"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1142369" w:rsidR="008437F3" w:rsidRP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8437F3">
        <w:rPr>
          <w:lang w:val="bg-BG"/>
        </w:rPr>
        <w:t>Директна комуникация между клиента и услугата</w:t>
      </w:r>
    </w:p>
    <w:p w14:paraId="12A3D561" w14:textId="288500C1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proofErr w:type="spellStart"/>
      <w:r w:rsidR="00A83894" w:rsidRPr="00A83894">
        <w:rPr>
          <w:lang w:val="en-US"/>
        </w:rPr>
        <w:t>ози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подход</w:t>
      </w:r>
      <w:proofErr w:type="spellEnd"/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proofErr w:type="spellStart"/>
      <w:r w:rsidR="00A83894" w:rsidRPr="00A83894">
        <w:rPr>
          <w:lang w:val="en-US"/>
        </w:rPr>
        <w:t>сяка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микроуслуга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има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публична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крайна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точка</w:t>
      </w:r>
      <w:proofErr w:type="spellEnd"/>
      <w:r w:rsidR="00A83894" w:rsidRPr="00A83894">
        <w:rPr>
          <w:lang w:val="en-US"/>
        </w:rPr>
        <w:t xml:space="preserve">, </w:t>
      </w:r>
      <w:proofErr w:type="spellStart"/>
      <w:r w:rsidR="00A83894" w:rsidRPr="00A83894">
        <w:rPr>
          <w:lang w:val="en-US"/>
        </w:rPr>
        <w:t>която</w:t>
      </w:r>
      <w:proofErr w:type="spellEnd"/>
      <w:r w:rsidR="00A83894" w:rsidRPr="00A83894">
        <w:rPr>
          <w:lang w:val="en-US"/>
        </w:rPr>
        <w:t xml:space="preserve"> е </w:t>
      </w:r>
      <w:proofErr w:type="spellStart"/>
      <w:r w:rsidR="00A83894" w:rsidRPr="00A83894">
        <w:rPr>
          <w:lang w:val="en-US"/>
        </w:rPr>
        <w:t>достъпна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от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клиент</w:t>
      </w:r>
      <w:proofErr w:type="spellEnd"/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Макар</w:t>
      </w:r>
      <w:proofErr w:type="spellEnd"/>
      <w:r w:rsidR="00D37F21" w:rsidRPr="00D37F21">
        <w:rPr>
          <w:lang w:val="en-US"/>
        </w:rPr>
        <w:t xml:space="preserve"> и </w:t>
      </w:r>
      <w:proofErr w:type="spellStart"/>
      <w:r w:rsidR="00D37F21" w:rsidRPr="00D37F21">
        <w:rPr>
          <w:lang w:val="en-US"/>
        </w:rPr>
        <w:t>лесна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lastRenderedPageBreak/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изпълнение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директната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комуникация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клиента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била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приемлива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само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прости</w:t>
      </w:r>
      <w:proofErr w:type="spellEnd"/>
      <w:r w:rsid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микросервизни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приложения</w:t>
      </w:r>
      <w:proofErr w:type="spellEnd"/>
      <w:r w:rsidR="00D37F21" w:rsidRPr="00D37F21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Този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модел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свързва</w:t>
      </w:r>
      <w:proofErr w:type="spellEnd"/>
      <w:r w:rsidR="003A51A6">
        <w:rPr>
          <w:lang w:val="bg-BG"/>
        </w:rPr>
        <w:t xml:space="preserve"> </w:t>
      </w:r>
      <w:proofErr w:type="spellStart"/>
      <w:r w:rsidR="003A51A6" w:rsidRPr="00D37F21">
        <w:rPr>
          <w:lang w:val="en-US"/>
        </w:rPr>
        <w:t>тясно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клиентите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от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предния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край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основните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бек-енд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услуги</w:t>
      </w:r>
      <w:proofErr w:type="spellEnd"/>
      <w:r w:rsidR="00D37F21" w:rsidRPr="00D37F21">
        <w:rPr>
          <w:lang w:val="en-US"/>
        </w:rPr>
        <w:t>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proofErr w:type="spellStart"/>
      <w:r w:rsidR="00D37F21" w:rsidRPr="00D37F21">
        <w:rPr>
          <w:lang w:val="en-US"/>
        </w:rPr>
        <w:t>отваря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врата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редица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проблеми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включително</w:t>
      </w:r>
      <w:proofErr w:type="spellEnd"/>
      <w:r w:rsidR="00D37F21" w:rsidRPr="00D37F21">
        <w:rPr>
          <w:lang w:val="en-US"/>
        </w:rPr>
        <w:t>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proofErr w:type="spellStart"/>
      <w:r w:rsidR="00326ED1" w:rsidRPr="00326ED1">
        <w:rPr>
          <w:lang w:val="en-US"/>
        </w:rPr>
        <w:t>ложен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клиентски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код</w:t>
      </w:r>
      <w:proofErr w:type="spellEnd"/>
      <w:r w:rsidR="00326ED1" w:rsidRPr="00326ED1">
        <w:rPr>
          <w:lang w:val="en-US"/>
        </w:rPr>
        <w:t xml:space="preserve"> - </w:t>
      </w:r>
      <w:proofErr w:type="spellStart"/>
      <w:r w:rsidR="00326ED1" w:rsidRPr="00326ED1">
        <w:rPr>
          <w:lang w:val="en-US"/>
        </w:rPr>
        <w:t>клиентите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трябва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следят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множество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крайни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точки</w:t>
      </w:r>
      <w:proofErr w:type="spellEnd"/>
      <w:r w:rsidR="00326ED1" w:rsidRPr="00326ED1">
        <w:rPr>
          <w:lang w:val="en-US"/>
        </w:rPr>
        <w:t xml:space="preserve"> и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справят</w:t>
      </w:r>
      <w:proofErr w:type="spellEnd"/>
      <w:r w:rsidR="00326ED1" w:rsidRPr="00326ED1">
        <w:rPr>
          <w:lang w:val="en-US"/>
        </w:rPr>
        <w:t xml:space="preserve">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неуспехи</w:t>
      </w:r>
      <w:proofErr w:type="spellEnd"/>
      <w:r w:rsidR="00A25B03">
        <w:rPr>
          <w:lang w:val="bg-BG"/>
        </w:rPr>
        <w:t>;</w:t>
      </w:r>
    </w:p>
    <w:p w14:paraId="132F1008" w14:textId="792411D6" w:rsidR="009173EE" w:rsidRPr="009173EE" w:rsidRDefault="0073630F" w:rsidP="009173EE">
      <w:pPr>
        <w:pStyle w:val="Heading2"/>
      </w:pPr>
      <w:bookmarkStart w:id="13" w:name="_Toc99706327"/>
      <w:r>
        <w:t>Използване на ш</w:t>
      </w:r>
      <w:r w:rsidR="001B1A88" w:rsidRPr="001B1A88">
        <w:t>люз за приложе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450AD51A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услуга</w:t>
      </w:r>
      <w:r w:rsidR="006F54FD">
        <w:rPr>
          <w:lang w:val="bg-BG"/>
        </w:rPr>
        <w:t>:</w:t>
      </w:r>
      <w:r w:rsidR="003643D0" w:rsidRPr="003643D0">
        <w:rPr>
          <w:lang w:val="bg-BG"/>
        </w:rPr>
        <w:t xml:space="preserve"> </w:t>
      </w:r>
      <w:r w:rsidR="003643D0" w:rsidRPr="006F54FD">
        <w:rPr>
          <w:b/>
          <w:bCs/>
          <w:lang w:val="bg-BG"/>
        </w:rPr>
        <w:t xml:space="preserve">API </w:t>
      </w:r>
      <w:proofErr w:type="spellStart"/>
      <w:r w:rsidR="003643D0" w:rsidRPr="006F54FD">
        <w:rPr>
          <w:b/>
          <w:bCs/>
          <w:lang w:val="bg-BG"/>
        </w:rPr>
        <w:t>Gateway</w:t>
      </w:r>
      <w:proofErr w:type="spellEnd"/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proofErr w:type="spellStart"/>
      <w:r w:rsidR="009173EE" w:rsidRPr="00390FDF">
        <w:rPr>
          <w:b/>
          <w:bCs/>
          <w:lang w:val="bg-BG"/>
        </w:rPr>
        <w:t>backend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for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frontend</w:t>
      </w:r>
      <w:proofErr w:type="spellEnd"/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Може да осигури удостоверяване, </w:t>
      </w:r>
      <w:proofErr w:type="spellStart"/>
      <w:r w:rsidR="005A6175" w:rsidRPr="009173EE">
        <w:rPr>
          <w:lang w:val="bg-BG"/>
        </w:rPr>
        <w:t>кеш</w:t>
      </w:r>
      <w:r w:rsidR="005A6175">
        <w:rPr>
          <w:lang w:val="bg-BG"/>
        </w:rPr>
        <w:t>иране</w:t>
      </w:r>
      <w:proofErr w:type="spellEnd"/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proofErr w:type="spellStart"/>
      <w:r w:rsidRPr="00E57BEC">
        <w:rPr>
          <w:lang w:val="en-US"/>
        </w:rPr>
        <w:t>Услугата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поддържа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възможности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за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балансиране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натоварването</w:t>
      </w:r>
      <w:proofErr w:type="spellEnd"/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2AB3854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</w:t>
      </w:r>
      <w:proofErr w:type="spellStart"/>
      <w:r w:rsidR="00C5355B" w:rsidRPr="00C5355B">
        <w:rPr>
          <w:lang w:val="bg-BG"/>
        </w:rPr>
        <w:t>модат</w:t>
      </w:r>
      <w:proofErr w:type="spellEnd"/>
      <w:r w:rsidR="00C5355B" w:rsidRPr="00C5355B">
        <w:rPr>
          <w:lang w:val="bg-BG"/>
        </w:rPr>
        <w:t xml:space="preserve"> да го </w:t>
      </w:r>
      <w:r w:rsidR="00103159">
        <w:lastRenderedPageBreak/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41971089" w:rsidR="005A6175" w:rsidRPr="002323DF" w:rsidRDefault="005A6175" w:rsidP="006D675E">
      <w:pPr>
        <w:rPr>
          <w:lang w:val="en-US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2323DF">
        <w:rPr>
          <w:lang w:val="bg-BG"/>
        </w:rPr>
        <w:t xml:space="preserve">от тип </w:t>
      </w:r>
      <w:r w:rsidR="002323DF">
        <w:rPr>
          <w:lang w:val="en-US"/>
        </w:rPr>
        <w:t>“backend for fronted”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99706328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2828B6C4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</w:t>
      </w:r>
      <w:r>
        <w:rPr>
          <w:lang w:val="bg-BG"/>
        </w:rPr>
        <w:t>е най-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</w:t>
      </w:r>
      <w:r>
        <w:rPr>
          <w:lang w:val="bg-BG"/>
        </w:rPr>
        <w:t xml:space="preserve">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proofErr w:type="spellStart"/>
      <w:r w:rsidR="00132BC4">
        <w:rPr>
          <w:lang w:val="en-US"/>
        </w:rPr>
        <w:t>gRPC</w:t>
      </w:r>
      <w:proofErr w:type="spellEnd"/>
      <w:r w:rsidR="00132BC4">
        <w:rPr>
          <w:lang w:val="en-US"/>
        </w:rPr>
        <w:t>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др</w:t>
      </w:r>
      <w:proofErr w:type="spellEnd"/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99706329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3E3B245A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глава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</w:t>
      </w:r>
      <w:proofErr w:type="spellStart"/>
      <w:r w:rsidRPr="007763FE">
        <w:rPr>
          <w:lang w:val="bg-BG"/>
        </w:rPr>
        <w:t>Core</w:t>
      </w:r>
      <w:proofErr w:type="spellEnd"/>
      <w:r w:rsidR="00DB35F7">
        <w:rPr>
          <w:lang w:val="bg-BG"/>
        </w:rPr>
        <w:t xml:space="preserve"> са </w:t>
      </w:r>
      <w:r w:rsidRPr="007763FE">
        <w:rPr>
          <w:lang w:val="bg-BG"/>
        </w:rPr>
        <w:t xml:space="preserve">REST и </w:t>
      </w:r>
      <w:proofErr w:type="spellStart"/>
      <w:r w:rsidRPr="007763FE">
        <w:rPr>
          <w:lang w:val="bg-BG"/>
        </w:rPr>
        <w:t>gRPC</w:t>
      </w:r>
      <w:proofErr w:type="spellEnd"/>
      <w:r w:rsidRPr="007763FE">
        <w:rPr>
          <w:lang w:val="bg-BG"/>
        </w:rPr>
        <w:t>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2137CBAE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D41D11">
        <w:rPr>
          <w:lang w:val="bg-BG"/>
        </w:rPr>
        <w:t>глава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73677E0A" w:rsidR="00D41D11" w:rsidRDefault="00D41D11" w:rsidP="0064735B">
      <w:pPr>
        <w:rPr>
          <w:lang w:val="bg-BG"/>
        </w:rPr>
      </w:pPr>
      <w:r>
        <w:rPr>
          <w:lang w:val="bg-BG"/>
        </w:rPr>
        <w:t>В третата част 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</w:t>
      </w:r>
      <w:proofErr w:type="spellStart"/>
      <w:r>
        <w:rPr>
          <w:lang w:val="bg-BG"/>
        </w:rPr>
        <w:t>бекенда</w:t>
      </w:r>
      <w:proofErr w:type="spellEnd"/>
      <w:r>
        <w:rPr>
          <w:lang w:val="bg-BG"/>
        </w:rPr>
        <w:t>.</w:t>
      </w:r>
    </w:p>
    <w:p w14:paraId="4FFD89C1" w14:textId="77A41C1A" w:rsidR="00DB35F7" w:rsidRPr="00611241" w:rsidRDefault="00D41D11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Четвъртата глава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9706330"/>
      <w:r w:rsidRPr="005B7F19">
        <w:rPr>
          <w:lang w:val="bg-BG"/>
        </w:rPr>
        <w:lastRenderedPageBreak/>
        <w:t>Използвана литература</w:t>
      </w:r>
      <w:bookmarkEnd w:id="16"/>
    </w:p>
    <w:p w14:paraId="1292B1E0" w14:textId="0F7E039F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 xml:space="preserve">Robert </w:t>
      </w:r>
      <w:proofErr w:type="spellStart"/>
      <w:r w:rsidRPr="00E55ECD">
        <w:rPr>
          <w:szCs w:val="28"/>
          <w:lang w:val="en-US"/>
        </w:rPr>
        <w:t>Vettor</w:t>
      </w:r>
      <w:proofErr w:type="spellEnd"/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67BD891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Steve Smith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2B1D1B88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Erb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Concurrent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Programming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for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Scalable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Web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Architectures</w:t>
      </w:r>
      <w:proofErr w:type="spellEnd"/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proofErr w:type="spellStart"/>
      <w:r w:rsidRPr="00731EEB">
        <w:rPr>
          <w:rFonts w:cs="Times New Roman"/>
          <w:szCs w:val="28"/>
          <w:lang w:val="bg-BG"/>
        </w:rPr>
        <w:t>Engineering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and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Computer</w:t>
      </w:r>
      <w:proofErr w:type="spellEnd"/>
      <w:r w:rsidRPr="00731EEB">
        <w:rPr>
          <w:rFonts w:cs="Times New Roman"/>
          <w:szCs w:val="28"/>
          <w:lang w:val="bg-BG"/>
        </w:rPr>
        <w:t xml:space="preserve"> Science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Ulm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University</w:t>
      </w:r>
      <w:proofErr w:type="spellEnd"/>
      <w:r w:rsidR="003C3445" w:rsidRPr="00731EEB">
        <w:rPr>
          <w:rFonts w:cs="Times New Roman"/>
          <w:szCs w:val="28"/>
          <w:lang w:val="bg-BG"/>
        </w:rPr>
        <w:t>.</w:t>
      </w:r>
    </w:p>
    <w:p w14:paraId="1D4129C4" w14:textId="1E052A6E" w:rsidR="003C3445" w:rsidRDefault="00731EEB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С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 w:rsidR="003C3445"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bg-BG"/>
        </w:rPr>
        <w:t xml:space="preserve"> Л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Тодоранова</w:t>
      </w:r>
      <w:proofErr w:type="spellEnd"/>
      <w:r>
        <w:rPr>
          <w:rFonts w:cs="Times New Roman"/>
          <w:szCs w:val="28"/>
          <w:lang w:val="bg-BG"/>
        </w:rPr>
        <w:t>,</w:t>
      </w:r>
      <w:r w:rsidR="003C3445"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="003C3445"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="003C3445"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67EC1918" w14:textId="2431D965" w:rsidR="003C3445" w:rsidRPr="00E361C8" w:rsidRDefault="00026EFC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Н. Филипова, С. Парушева, Я. Александрова,</w:t>
      </w:r>
      <w:r w:rsidR="003C3445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7</w:t>
      </w:r>
      <w:r w:rsidR="003C3445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Основи на информационните системи</w:t>
      </w:r>
      <w:r w:rsidR="003C3445">
        <w:rPr>
          <w:rFonts w:cs="Times New Roman"/>
          <w:szCs w:val="28"/>
          <w:lang w:val="bg-BG"/>
        </w:rPr>
        <w:t xml:space="preserve">. </w:t>
      </w:r>
      <w:r w:rsidR="00AC2B9E">
        <w:rPr>
          <w:rFonts w:cs="Times New Roman"/>
          <w:szCs w:val="28"/>
          <w:lang w:val="bg-BG"/>
        </w:rPr>
        <w:t xml:space="preserve">Икономически университет </w:t>
      </w:r>
      <w:r w:rsidR="00AC2B9E">
        <w:rPr>
          <w:rFonts w:cs="Times New Roman"/>
          <w:szCs w:val="28"/>
          <w:lang w:val="bg-BG"/>
        </w:rPr>
        <w:t>–</w:t>
      </w:r>
      <w:r w:rsidR="00AC2B9E">
        <w:rPr>
          <w:rFonts w:cs="Times New Roman"/>
          <w:szCs w:val="28"/>
          <w:lang w:val="bg-BG"/>
        </w:rPr>
        <w:t xml:space="preserve"> Варна</w:t>
      </w:r>
      <w:r w:rsidR="00AC2B9E">
        <w:rPr>
          <w:rFonts w:cs="Times New Roman"/>
          <w:szCs w:val="28"/>
          <w:lang w:val="bg-BG"/>
        </w:rPr>
        <w:t>.</w:t>
      </w:r>
    </w:p>
    <w:p w14:paraId="3D1AA214" w14:textId="6A41D5AA" w:rsidR="00855DDD" w:rsidRPr="00AC2B9E" w:rsidRDefault="00AC2B9E" w:rsidP="00AC2B9E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 xml:space="preserve">С. </w:t>
      </w: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>
        <w:rPr>
          <w:rFonts w:cs="Times New Roman"/>
          <w:szCs w:val="28"/>
          <w:lang w:val="bg-BG"/>
        </w:rPr>
        <w:t>, Ю. Василев, Т. Атанасова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. (20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11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)</w:t>
      </w:r>
      <w:r w:rsidR="003C3445"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>
        <w:rPr>
          <w:rFonts w:eastAsia="Times New Roman" w:cs="Times New Roman"/>
          <w:i/>
          <w:iCs/>
          <w:szCs w:val="28"/>
          <w:lang w:val="bg-BG" w:eastAsia="en-US"/>
        </w:rPr>
        <w:t>Изследване на бизнес интелигентните системи за малки и средни предприятия</w:t>
      </w:r>
      <w:r w:rsidR="003C3445" w:rsidRPr="00D62203">
        <w:rPr>
          <w:rFonts w:eastAsia="Times New Roman" w:cs="Times New Roman"/>
          <w:i/>
          <w:iCs/>
          <w:szCs w:val="28"/>
          <w:lang w:val="bg-BG" w:eastAsia="en-US"/>
        </w:rPr>
        <w:t>.</w:t>
      </w:r>
      <w:r>
        <w:rPr>
          <w:rFonts w:eastAsia="Times New Roman" w:cs="Times New Roman"/>
          <w:szCs w:val="28"/>
          <w:lang w:val="bg-BG" w:eastAsia="en-US"/>
        </w:rPr>
        <w:t xml:space="preserve"> </w:t>
      </w:r>
      <w:r>
        <w:rPr>
          <w:rFonts w:cs="Times New Roman"/>
          <w:szCs w:val="28"/>
          <w:lang w:val="bg-BG"/>
        </w:rPr>
        <w:t>Икономически университет – Варна.</w:t>
      </w: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11D5" w14:textId="77777777" w:rsidR="00876436" w:rsidRDefault="00876436" w:rsidP="005D15E3">
      <w:pPr>
        <w:spacing w:line="240" w:lineRule="auto"/>
      </w:pPr>
      <w:r>
        <w:separator/>
      </w:r>
    </w:p>
  </w:endnote>
  <w:endnote w:type="continuationSeparator" w:id="0">
    <w:p w14:paraId="33525C53" w14:textId="77777777" w:rsidR="00876436" w:rsidRDefault="00876436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3370" w14:textId="77777777" w:rsidR="00876436" w:rsidRDefault="00876436" w:rsidP="005D15E3">
      <w:pPr>
        <w:spacing w:line="240" w:lineRule="auto"/>
      </w:pPr>
      <w:r>
        <w:separator/>
      </w:r>
    </w:p>
  </w:footnote>
  <w:footnote w:type="continuationSeparator" w:id="0">
    <w:p w14:paraId="5E20E867" w14:textId="77777777" w:rsidR="00876436" w:rsidRDefault="00876436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7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Load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Balancing</w:t>
      </w:r>
      <w:proofErr w:type="spellEnd"/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the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8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Fallacies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of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Distributed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643D"/>
    <w:rsid w:val="00007E02"/>
    <w:rsid w:val="000108D1"/>
    <w:rsid w:val="00014615"/>
    <w:rsid w:val="00021F8A"/>
    <w:rsid w:val="0002500E"/>
    <w:rsid w:val="000269B3"/>
    <w:rsid w:val="00026EFC"/>
    <w:rsid w:val="0002727A"/>
    <w:rsid w:val="000310F1"/>
    <w:rsid w:val="00043B87"/>
    <w:rsid w:val="000456C6"/>
    <w:rsid w:val="00046CAC"/>
    <w:rsid w:val="00053D5E"/>
    <w:rsid w:val="00054D87"/>
    <w:rsid w:val="00056D57"/>
    <w:rsid w:val="000579A4"/>
    <w:rsid w:val="0006376D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B03E4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414C"/>
    <w:rsid w:val="00134A84"/>
    <w:rsid w:val="001378FD"/>
    <w:rsid w:val="00141079"/>
    <w:rsid w:val="001427F6"/>
    <w:rsid w:val="00150DFC"/>
    <w:rsid w:val="00151B33"/>
    <w:rsid w:val="00153356"/>
    <w:rsid w:val="001536D5"/>
    <w:rsid w:val="00153D4A"/>
    <w:rsid w:val="0015474B"/>
    <w:rsid w:val="00154B94"/>
    <w:rsid w:val="0016129B"/>
    <w:rsid w:val="001628A4"/>
    <w:rsid w:val="001645B3"/>
    <w:rsid w:val="00166C77"/>
    <w:rsid w:val="001674DC"/>
    <w:rsid w:val="0017063B"/>
    <w:rsid w:val="00170EE9"/>
    <w:rsid w:val="00174717"/>
    <w:rsid w:val="00175EF6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740"/>
    <w:rsid w:val="001C2665"/>
    <w:rsid w:val="001C531C"/>
    <w:rsid w:val="001C7AD0"/>
    <w:rsid w:val="001C7F7F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2D5E"/>
    <w:rsid w:val="0024411D"/>
    <w:rsid w:val="00245423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653F3"/>
    <w:rsid w:val="00267FCF"/>
    <w:rsid w:val="00270B69"/>
    <w:rsid w:val="00270EA9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7A7"/>
    <w:rsid w:val="002A671F"/>
    <w:rsid w:val="002B2847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AF9"/>
    <w:rsid w:val="003A432C"/>
    <w:rsid w:val="003A51A6"/>
    <w:rsid w:val="003A625B"/>
    <w:rsid w:val="003A6837"/>
    <w:rsid w:val="003A73EB"/>
    <w:rsid w:val="003B11DA"/>
    <w:rsid w:val="003B442E"/>
    <w:rsid w:val="003B5DD6"/>
    <w:rsid w:val="003C3445"/>
    <w:rsid w:val="003C4B72"/>
    <w:rsid w:val="003C613B"/>
    <w:rsid w:val="003D08D7"/>
    <w:rsid w:val="003D19E5"/>
    <w:rsid w:val="003D2B55"/>
    <w:rsid w:val="003D4E5E"/>
    <w:rsid w:val="003D6018"/>
    <w:rsid w:val="003D76D9"/>
    <w:rsid w:val="003E3856"/>
    <w:rsid w:val="003E3948"/>
    <w:rsid w:val="003E4373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27E8"/>
    <w:rsid w:val="00402A01"/>
    <w:rsid w:val="00402EF9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60503"/>
    <w:rsid w:val="004615A4"/>
    <w:rsid w:val="00461994"/>
    <w:rsid w:val="00461D4A"/>
    <w:rsid w:val="0046382B"/>
    <w:rsid w:val="00464A49"/>
    <w:rsid w:val="00464DE2"/>
    <w:rsid w:val="004674EE"/>
    <w:rsid w:val="0047165B"/>
    <w:rsid w:val="00475041"/>
    <w:rsid w:val="00476FD3"/>
    <w:rsid w:val="00481329"/>
    <w:rsid w:val="00483424"/>
    <w:rsid w:val="00485363"/>
    <w:rsid w:val="00495344"/>
    <w:rsid w:val="004A579E"/>
    <w:rsid w:val="004B519A"/>
    <w:rsid w:val="004B77C6"/>
    <w:rsid w:val="004B7AD4"/>
    <w:rsid w:val="004C0303"/>
    <w:rsid w:val="004C3F17"/>
    <w:rsid w:val="004C4FAB"/>
    <w:rsid w:val="004C505B"/>
    <w:rsid w:val="004C70A5"/>
    <w:rsid w:val="004D0953"/>
    <w:rsid w:val="004D1CB7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10508"/>
    <w:rsid w:val="00512817"/>
    <w:rsid w:val="0051458D"/>
    <w:rsid w:val="0051468C"/>
    <w:rsid w:val="00516191"/>
    <w:rsid w:val="00516D98"/>
    <w:rsid w:val="00522CD8"/>
    <w:rsid w:val="005344F2"/>
    <w:rsid w:val="0053499A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7B1F"/>
    <w:rsid w:val="005B4B91"/>
    <w:rsid w:val="005B6B36"/>
    <w:rsid w:val="005B7F19"/>
    <w:rsid w:val="005C2184"/>
    <w:rsid w:val="005C249B"/>
    <w:rsid w:val="005C2652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735B"/>
    <w:rsid w:val="006519F5"/>
    <w:rsid w:val="0065563B"/>
    <w:rsid w:val="00655A9F"/>
    <w:rsid w:val="00660BE3"/>
    <w:rsid w:val="00663253"/>
    <w:rsid w:val="006667EC"/>
    <w:rsid w:val="00666D9F"/>
    <w:rsid w:val="0066740A"/>
    <w:rsid w:val="00672605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19BE"/>
    <w:rsid w:val="006923E5"/>
    <w:rsid w:val="0069262F"/>
    <w:rsid w:val="00693A97"/>
    <w:rsid w:val="006A1274"/>
    <w:rsid w:val="006A1BBB"/>
    <w:rsid w:val="006A27EE"/>
    <w:rsid w:val="006A6A89"/>
    <w:rsid w:val="006A7690"/>
    <w:rsid w:val="006B2280"/>
    <w:rsid w:val="006B3E1D"/>
    <w:rsid w:val="006C1AC1"/>
    <w:rsid w:val="006C3B80"/>
    <w:rsid w:val="006C4E03"/>
    <w:rsid w:val="006C5BF2"/>
    <w:rsid w:val="006C6CB4"/>
    <w:rsid w:val="006C7C57"/>
    <w:rsid w:val="006D077F"/>
    <w:rsid w:val="006D0FA4"/>
    <w:rsid w:val="006D21E7"/>
    <w:rsid w:val="006D2530"/>
    <w:rsid w:val="006D287A"/>
    <w:rsid w:val="006D37D5"/>
    <w:rsid w:val="006D40B6"/>
    <w:rsid w:val="006D675E"/>
    <w:rsid w:val="006D724F"/>
    <w:rsid w:val="006E11ED"/>
    <w:rsid w:val="006E1D3A"/>
    <w:rsid w:val="006E3915"/>
    <w:rsid w:val="006E5B68"/>
    <w:rsid w:val="006F2934"/>
    <w:rsid w:val="006F3D46"/>
    <w:rsid w:val="006F54FD"/>
    <w:rsid w:val="006F67EE"/>
    <w:rsid w:val="006F6E93"/>
    <w:rsid w:val="00700300"/>
    <w:rsid w:val="0070036A"/>
    <w:rsid w:val="00702FD1"/>
    <w:rsid w:val="007031EF"/>
    <w:rsid w:val="00703325"/>
    <w:rsid w:val="00703A24"/>
    <w:rsid w:val="007059D3"/>
    <w:rsid w:val="007059DA"/>
    <w:rsid w:val="00705FF4"/>
    <w:rsid w:val="00707BB6"/>
    <w:rsid w:val="00712462"/>
    <w:rsid w:val="0071285A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5635"/>
    <w:rsid w:val="00745FA9"/>
    <w:rsid w:val="00755AA2"/>
    <w:rsid w:val="00755BFE"/>
    <w:rsid w:val="00756360"/>
    <w:rsid w:val="00756732"/>
    <w:rsid w:val="00760A36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3F19"/>
    <w:rsid w:val="00795651"/>
    <w:rsid w:val="00797A71"/>
    <w:rsid w:val="007A023E"/>
    <w:rsid w:val="007A1915"/>
    <w:rsid w:val="007A3561"/>
    <w:rsid w:val="007A371E"/>
    <w:rsid w:val="007A6076"/>
    <w:rsid w:val="007B1973"/>
    <w:rsid w:val="007B33BB"/>
    <w:rsid w:val="007B475B"/>
    <w:rsid w:val="007B646F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6C2C"/>
    <w:rsid w:val="007F1EB7"/>
    <w:rsid w:val="007F2389"/>
    <w:rsid w:val="007F3F4F"/>
    <w:rsid w:val="007F638A"/>
    <w:rsid w:val="007F7087"/>
    <w:rsid w:val="008020B0"/>
    <w:rsid w:val="008022FA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43F3"/>
    <w:rsid w:val="00836C64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6436"/>
    <w:rsid w:val="008776FB"/>
    <w:rsid w:val="00883808"/>
    <w:rsid w:val="0088437F"/>
    <w:rsid w:val="00884FFC"/>
    <w:rsid w:val="00885C22"/>
    <w:rsid w:val="008921AD"/>
    <w:rsid w:val="0089278C"/>
    <w:rsid w:val="008A426A"/>
    <w:rsid w:val="008A4AC8"/>
    <w:rsid w:val="008B2DCE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F15FF"/>
    <w:rsid w:val="008F4B08"/>
    <w:rsid w:val="008F5F27"/>
    <w:rsid w:val="008F6186"/>
    <w:rsid w:val="008F6BC0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50C92"/>
    <w:rsid w:val="00951BBD"/>
    <w:rsid w:val="009547E8"/>
    <w:rsid w:val="0095653E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5424"/>
    <w:rsid w:val="00984655"/>
    <w:rsid w:val="0098618E"/>
    <w:rsid w:val="00995C43"/>
    <w:rsid w:val="009968F9"/>
    <w:rsid w:val="009A310A"/>
    <w:rsid w:val="009A36C0"/>
    <w:rsid w:val="009A4527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AD1"/>
    <w:rsid w:val="00A36201"/>
    <w:rsid w:val="00A45E3E"/>
    <w:rsid w:val="00A521EA"/>
    <w:rsid w:val="00A528AE"/>
    <w:rsid w:val="00A563F0"/>
    <w:rsid w:val="00A56B38"/>
    <w:rsid w:val="00A5781F"/>
    <w:rsid w:val="00A63D99"/>
    <w:rsid w:val="00A63E6D"/>
    <w:rsid w:val="00A64855"/>
    <w:rsid w:val="00A65926"/>
    <w:rsid w:val="00A70DD6"/>
    <w:rsid w:val="00A71911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92227"/>
    <w:rsid w:val="00A94957"/>
    <w:rsid w:val="00A973F9"/>
    <w:rsid w:val="00AA1398"/>
    <w:rsid w:val="00AA3F6A"/>
    <w:rsid w:val="00AA44CE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E1C"/>
    <w:rsid w:val="00BC243B"/>
    <w:rsid w:val="00BC6635"/>
    <w:rsid w:val="00BD1F59"/>
    <w:rsid w:val="00BD2988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20000"/>
    <w:rsid w:val="00C22FFF"/>
    <w:rsid w:val="00C237DB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52480"/>
    <w:rsid w:val="00C5355B"/>
    <w:rsid w:val="00C538A2"/>
    <w:rsid w:val="00C5402B"/>
    <w:rsid w:val="00C57E40"/>
    <w:rsid w:val="00C6199D"/>
    <w:rsid w:val="00C623CC"/>
    <w:rsid w:val="00C63C40"/>
    <w:rsid w:val="00C648D6"/>
    <w:rsid w:val="00C65BC8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4D01"/>
    <w:rsid w:val="00CA639F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7D97"/>
    <w:rsid w:val="00CE1998"/>
    <w:rsid w:val="00CE2901"/>
    <w:rsid w:val="00CE386C"/>
    <w:rsid w:val="00CE5289"/>
    <w:rsid w:val="00CE6702"/>
    <w:rsid w:val="00CF1B4C"/>
    <w:rsid w:val="00CF23AD"/>
    <w:rsid w:val="00CF358E"/>
    <w:rsid w:val="00D0047A"/>
    <w:rsid w:val="00D01E48"/>
    <w:rsid w:val="00D01EA5"/>
    <w:rsid w:val="00D047EC"/>
    <w:rsid w:val="00D04F2C"/>
    <w:rsid w:val="00D06BF0"/>
    <w:rsid w:val="00D07071"/>
    <w:rsid w:val="00D0711F"/>
    <w:rsid w:val="00D07E5D"/>
    <w:rsid w:val="00D109F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1D11"/>
    <w:rsid w:val="00D4296A"/>
    <w:rsid w:val="00D43FDE"/>
    <w:rsid w:val="00D514A1"/>
    <w:rsid w:val="00D555A5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71AD"/>
    <w:rsid w:val="00DA7995"/>
    <w:rsid w:val="00DB0592"/>
    <w:rsid w:val="00DB35F7"/>
    <w:rsid w:val="00DB509B"/>
    <w:rsid w:val="00DB54C4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42D6"/>
    <w:rsid w:val="00DD6411"/>
    <w:rsid w:val="00DD64F4"/>
    <w:rsid w:val="00DD6C0A"/>
    <w:rsid w:val="00DD73DC"/>
    <w:rsid w:val="00DD7D0B"/>
    <w:rsid w:val="00DE2EEE"/>
    <w:rsid w:val="00DE332A"/>
    <w:rsid w:val="00DE4138"/>
    <w:rsid w:val="00DE64EE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3443"/>
    <w:rsid w:val="00E146A8"/>
    <w:rsid w:val="00E1475B"/>
    <w:rsid w:val="00E16F08"/>
    <w:rsid w:val="00E170D4"/>
    <w:rsid w:val="00E21537"/>
    <w:rsid w:val="00E25217"/>
    <w:rsid w:val="00E26109"/>
    <w:rsid w:val="00E306D3"/>
    <w:rsid w:val="00E3450D"/>
    <w:rsid w:val="00E35465"/>
    <w:rsid w:val="00E3614F"/>
    <w:rsid w:val="00E361C8"/>
    <w:rsid w:val="00E54783"/>
    <w:rsid w:val="00E54BFC"/>
    <w:rsid w:val="00E551E5"/>
    <w:rsid w:val="00E564D8"/>
    <w:rsid w:val="00E56C92"/>
    <w:rsid w:val="00E573A3"/>
    <w:rsid w:val="00E57BEC"/>
    <w:rsid w:val="00E57C77"/>
    <w:rsid w:val="00E60C53"/>
    <w:rsid w:val="00E63380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A03B0"/>
    <w:rsid w:val="00EA15E9"/>
    <w:rsid w:val="00EA52CD"/>
    <w:rsid w:val="00EA533F"/>
    <w:rsid w:val="00EA58B0"/>
    <w:rsid w:val="00EA5CE3"/>
    <w:rsid w:val="00EA6A7F"/>
    <w:rsid w:val="00EB1DCB"/>
    <w:rsid w:val="00EB5B76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7B13"/>
    <w:rsid w:val="00F50809"/>
    <w:rsid w:val="00F52D8E"/>
    <w:rsid w:val="00F531C8"/>
    <w:rsid w:val="00F54091"/>
    <w:rsid w:val="00F54BE7"/>
    <w:rsid w:val="00F561C5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F36"/>
    <w:rsid w:val="00F82398"/>
    <w:rsid w:val="00F82D07"/>
    <w:rsid w:val="00F845B5"/>
    <w:rsid w:val="00F84A7C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F7E"/>
    <w:rsid w:val="00FC73BA"/>
    <w:rsid w:val="00FC7A08"/>
    <w:rsid w:val="00FD5966"/>
    <w:rsid w:val="00FE0260"/>
    <w:rsid w:val="00FE05CD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D6C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/deliveri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eu.123123.23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nager.com/order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20</Pages>
  <Words>3302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658</cp:revision>
  <cp:lastPrinted>2022-03-16T05:57:00Z</cp:lastPrinted>
  <dcterms:created xsi:type="dcterms:W3CDTF">2022-01-23T12:50:00Z</dcterms:created>
  <dcterms:modified xsi:type="dcterms:W3CDTF">2022-04-18T13:32:00Z</dcterms:modified>
  <cp:category/>
</cp:coreProperties>
</file>