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5CF6" w14:textId="1DB0A93F" w:rsidR="005201BB" w:rsidRDefault="00C834B5">
      <w:pPr>
        <w:spacing w:after="0" w:line="360" w:lineRule="auto"/>
        <w:jc w:val="right"/>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JEL</w:t>
      </w:r>
      <w:r w:rsidR="00603431">
        <w:rPr>
          <w:rFonts w:ascii="Times New Roman" w:eastAsia="Times New Roman" w:hAnsi="Times New Roman" w:cs="Times New Roman"/>
          <w:b/>
          <w:smallCaps/>
          <w:sz w:val="28"/>
          <w:szCs w:val="28"/>
        </w:rPr>
        <w:t>:</w:t>
      </w:r>
      <w:r>
        <w:rPr>
          <w:rFonts w:ascii="Times New Roman" w:eastAsia="Times New Roman" w:hAnsi="Times New Roman" w:cs="Times New Roman"/>
          <w:b/>
          <w:smallCaps/>
          <w:sz w:val="28"/>
          <w:szCs w:val="28"/>
        </w:rPr>
        <w:t xml:space="preserve"> C8</w:t>
      </w:r>
    </w:p>
    <w:p w14:paraId="2C84FD59" w14:textId="77777777" w:rsidR="00D428FB" w:rsidRPr="00CE22F6" w:rsidRDefault="00D428FB" w:rsidP="00D428FB">
      <w:pPr>
        <w:pBdr>
          <w:top w:val="nil"/>
          <w:left w:val="nil"/>
          <w:bottom w:val="nil"/>
          <w:right w:val="nil"/>
          <w:between w:val="nil"/>
        </w:pBdr>
        <w:spacing w:after="480" w:line="360" w:lineRule="auto"/>
        <w:jc w:val="center"/>
        <w:rPr>
          <w:rFonts w:ascii="Times New Roman" w:eastAsia="Times New Roman" w:hAnsi="Times New Roman" w:cs="Times New Roman"/>
          <w:b/>
          <w:smallCaps/>
          <w:color w:val="000000"/>
          <w:sz w:val="28"/>
          <w:szCs w:val="28"/>
        </w:rPr>
      </w:pPr>
      <w:r>
        <w:rPr>
          <w:rFonts w:ascii="Times New Roman" w:eastAsia="Times New Roman" w:hAnsi="Times New Roman" w:cs="Times New Roman"/>
          <w:b/>
          <w:smallCaps/>
          <w:color w:val="000000"/>
          <w:sz w:val="28"/>
          <w:szCs w:val="28"/>
        </w:rPr>
        <w:t xml:space="preserve">ПОДХОДИ И </w:t>
      </w:r>
      <w:r w:rsidRPr="005A79EE">
        <w:rPr>
          <w:rFonts w:ascii="Times New Roman" w:eastAsia="Times New Roman" w:hAnsi="Times New Roman" w:cs="Times New Roman"/>
          <w:b/>
          <w:smallCaps/>
          <w:color w:val="000000"/>
          <w:sz w:val="28"/>
          <w:szCs w:val="28"/>
        </w:rPr>
        <w:t xml:space="preserve">МОДЕЛИ </w:t>
      </w:r>
      <w:r>
        <w:rPr>
          <w:rFonts w:ascii="Times New Roman" w:eastAsia="Times New Roman" w:hAnsi="Times New Roman" w:cs="Times New Roman"/>
          <w:b/>
          <w:smallCaps/>
          <w:color w:val="000000"/>
          <w:sz w:val="28"/>
          <w:szCs w:val="28"/>
        </w:rPr>
        <w:t>ЗА РАЗВИТИЕ НА ЧОВЕШКИТЕ РЕСУРСИ</w:t>
      </w:r>
      <w:r>
        <w:rPr>
          <w:rFonts w:ascii="Times New Roman" w:eastAsia="Times New Roman" w:hAnsi="Times New Roman" w:cs="Times New Roman"/>
          <w:b/>
          <w:smallCaps/>
          <w:color w:val="000000"/>
          <w:sz w:val="28"/>
          <w:szCs w:val="28"/>
          <w:lang w:val="en-US"/>
        </w:rPr>
        <w:t xml:space="preserve"> </w:t>
      </w:r>
      <w:r>
        <w:rPr>
          <w:rFonts w:ascii="Times New Roman" w:eastAsia="Times New Roman" w:hAnsi="Times New Roman" w:cs="Times New Roman"/>
          <w:b/>
          <w:smallCaps/>
          <w:color w:val="000000"/>
          <w:sz w:val="28"/>
          <w:szCs w:val="28"/>
        </w:rPr>
        <w:t>В СОФТУЕРНИТЕ КОМПАНИИ</w:t>
      </w:r>
    </w:p>
    <w:p w14:paraId="77D874EF" w14:textId="1D5B01F4" w:rsidR="00B70AF8" w:rsidRDefault="00B70AF8" w:rsidP="00B70AF8">
      <w:pPr>
        <w:jc w:val="center"/>
        <w:rPr>
          <w:rFonts w:ascii="Times New Roman" w:hAnsi="Times New Roman" w:cs="Times New Roman"/>
          <w:b/>
          <w:sz w:val="28"/>
          <w:szCs w:val="28"/>
          <w:vertAlign w:val="superscript"/>
          <w:lang w:val="en-US"/>
        </w:rPr>
      </w:pPr>
      <w:r w:rsidRPr="00B70AF8">
        <w:rPr>
          <w:rFonts w:ascii="Times New Roman" w:hAnsi="Times New Roman" w:cs="Times New Roman"/>
          <w:b/>
          <w:sz w:val="28"/>
          <w:szCs w:val="28"/>
        </w:rPr>
        <w:t>Славка Цветанова Стаменова</w:t>
      </w:r>
      <w:r>
        <w:rPr>
          <w:rFonts w:ascii="Times New Roman" w:hAnsi="Times New Roman" w:cs="Times New Roman"/>
          <w:b/>
          <w:sz w:val="28"/>
          <w:szCs w:val="28"/>
          <w:vertAlign w:val="superscript"/>
          <w:lang w:val="en-US"/>
        </w:rPr>
        <w:t>1</w:t>
      </w:r>
    </w:p>
    <w:p w14:paraId="0BA97B40" w14:textId="77777777" w:rsidR="00B70AF8" w:rsidRPr="00B70AF8" w:rsidRDefault="00B70AF8" w:rsidP="00B70AF8">
      <w:pPr>
        <w:jc w:val="center"/>
        <w:rPr>
          <w:rFonts w:ascii="Times New Roman" w:hAnsi="Times New Roman" w:cs="Times New Roman"/>
          <w:b/>
          <w:sz w:val="28"/>
          <w:szCs w:val="28"/>
          <w:vertAlign w:val="superscript"/>
          <w:lang w:val="en-US"/>
        </w:rPr>
      </w:pPr>
    </w:p>
    <w:p w14:paraId="5F39F530" w14:textId="65875EC0" w:rsidR="00B70AF8" w:rsidRPr="00B70AF8" w:rsidRDefault="00B70AF8" w:rsidP="00B70AF8">
      <w:pPr>
        <w:rPr>
          <w:rFonts w:ascii="Times New Roman" w:hAnsi="Times New Roman" w:cs="Times New Roman"/>
          <w:sz w:val="24"/>
          <w:szCs w:val="24"/>
          <w:lang w:val="en-US"/>
        </w:rPr>
      </w:pPr>
      <w:r w:rsidRPr="00B70AF8">
        <w:rPr>
          <w:rFonts w:ascii="Times New Roman" w:hAnsi="Times New Roman" w:cs="Times New Roman"/>
          <w:sz w:val="24"/>
          <w:szCs w:val="24"/>
          <w:vertAlign w:val="superscript"/>
          <w:lang w:val="en-US"/>
        </w:rPr>
        <w:t xml:space="preserve">1 </w:t>
      </w:r>
      <w:r w:rsidRPr="00B70AF8">
        <w:rPr>
          <w:rFonts w:ascii="Times New Roman" w:hAnsi="Times New Roman" w:cs="Times New Roman"/>
          <w:sz w:val="24"/>
          <w:szCs w:val="24"/>
        </w:rPr>
        <w:t>Докторант</w:t>
      </w:r>
      <w:r w:rsidRPr="00B70AF8">
        <w:rPr>
          <w:rFonts w:ascii="Times New Roman" w:hAnsi="Times New Roman" w:cs="Times New Roman"/>
          <w:sz w:val="24"/>
          <w:szCs w:val="24"/>
          <w:lang w:val="en-US"/>
        </w:rPr>
        <w:t>,</w:t>
      </w:r>
      <w:r w:rsidRPr="00B70AF8">
        <w:rPr>
          <w:rFonts w:ascii="Times New Roman" w:hAnsi="Times New Roman" w:cs="Times New Roman"/>
          <w:sz w:val="24"/>
          <w:szCs w:val="24"/>
        </w:rPr>
        <w:t xml:space="preserve"> </w:t>
      </w:r>
      <w:r>
        <w:rPr>
          <w:rFonts w:ascii="Times New Roman" w:hAnsi="Times New Roman" w:cs="Times New Roman"/>
          <w:sz w:val="24"/>
          <w:szCs w:val="24"/>
        </w:rPr>
        <w:t>Катедра „</w:t>
      </w:r>
      <w:proofErr w:type="gramStart"/>
      <w:r>
        <w:rPr>
          <w:rFonts w:ascii="Times New Roman" w:hAnsi="Times New Roman" w:cs="Times New Roman"/>
          <w:sz w:val="24"/>
          <w:szCs w:val="24"/>
        </w:rPr>
        <w:t>Информатика“</w:t>
      </w:r>
      <w:proofErr w:type="gramEnd"/>
      <w:r>
        <w:rPr>
          <w:rFonts w:ascii="Times New Roman" w:hAnsi="Times New Roman" w:cs="Times New Roman"/>
          <w:sz w:val="24"/>
          <w:szCs w:val="24"/>
        </w:rPr>
        <w:t xml:space="preserve">, </w:t>
      </w:r>
      <w:r w:rsidRPr="00B70AF8">
        <w:rPr>
          <w:rFonts w:ascii="Times New Roman" w:hAnsi="Times New Roman" w:cs="Times New Roman"/>
          <w:sz w:val="24"/>
          <w:szCs w:val="24"/>
        </w:rPr>
        <w:t>Икономически университет – Варна</w:t>
      </w:r>
      <w:r w:rsidRPr="00B70AF8">
        <w:rPr>
          <w:rFonts w:ascii="Times New Roman" w:hAnsi="Times New Roman" w:cs="Times New Roman"/>
          <w:sz w:val="24"/>
          <w:szCs w:val="24"/>
          <w:lang w:val="en-US"/>
        </w:rPr>
        <w:t xml:space="preserve">. E-mail: </w:t>
      </w:r>
      <w:hyperlink r:id="rId6" w:history="1">
        <w:r w:rsidRPr="00B70AF8">
          <w:rPr>
            <w:rStyle w:val="Hyperlink"/>
            <w:rFonts w:ascii="Times New Roman" w:hAnsi="Times New Roman" w:cs="Times New Roman"/>
            <w:sz w:val="24"/>
            <w:szCs w:val="24"/>
            <w:lang w:val="en-GB"/>
          </w:rPr>
          <w:t>slavka.stamenova</w:t>
        </w:r>
        <w:r w:rsidRPr="00B70AF8">
          <w:rPr>
            <w:rStyle w:val="Hyperlink"/>
            <w:rFonts w:ascii="Times New Roman" w:hAnsi="Times New Roman" w:cs="Times New Roman"/>
            <w:sz w:val="24"/>
            <w:szCs w:val="24"/>
            <w:lang w:val="en-US"/>
          </w:rPr>
          <w:t>@ue-varna.bg</w:t>
        </w:r>
      </w:hyperlink>
    </w:p>
    <w:p w14:paraId="0506A7F4" w14:textId="77777777" w:rsidR="00B70AF8" w:rsidRDefault="00B70AF8">
      <w:pPr>
        <w:spacing w:after="0" w:line="360" w:lineRule="auto"/>
        <w:ind w:firstLine="709"/>
        <w:jc w:val="both"/>
        <w:rPr>
          <w:rFonts w:ascii="Times New Roman" w:eastAsia="Times New Roman" w:hAnsi="Times New Roman" w:cs="Times New Roman"/>
          <w:b/>
          <w:sz w:val="24"/>
          <w:szCs w:val="24"/>
        </w:rPr>
      </w:pPr>
    </w:p>
    <w:p w14:paraId="0431B927" w14:textId="77777777" w:rsidR="005201BB" w:rsidRDefault="00C834B5">
      <w:pPr>
        <w:spacing w:after="0"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Резюме </w:t>
      </w:r>
    </w:p>
    <w:p w14:paraId="0298CDD6" w14:textId="0BA54186" w:rsidR="005201BB" w:rsidRDefault="00C834B5">
      <w:pPr>
        <w:spacing w:after="0" w:line="360" w:lineRule="auto"/>
        <w:ind w:firstLine="709"/>
        <w:jc w:val="both"/>
        <w:rPr>
          <w:rFonts w:ascii="Times New Roman" w:eastAsia="Times New Roman" w:hAnsi="Times New Roman" w:cs="Times New Roman"/>
          <w:sz w:val="24"/>
          <w:szCs w:val="24"/>
        </w:rPr>
      </w:pPr>
      <w:bookmarkStart w:id="0" w:name="_Hlk108128561"/>
      <w:r>
        <w:rPr>
          <w:rFonts w:ascii="Times New Roman" w:eastAsia="Times New Roman" w:hAnsi="Times New Roman" w:cs="Times New Roman"/>
          <w:sz w:val="24"/>
          <w:szCs w:val="24"/>
        </w:rPr>
        <w:t>За осъществяването на своята дейност, публичните и бизнес организации трябва да  разполагат с необходимите ресурси, за постигане на желаните от тях резултати. Човешките ресурси имат основна стратегическа роля и безспорно са движеща сила в развитието на фирми</w:t>
      </w:r>
      <w:r w:rsidR="00415D6C">
        <w:rPr>
          <w:rFonts w:ascii="Times New Roman" w:eastAsia="Times New Roman" w:hAnsi="Times New Roman" w:cs="Times New Roman"/>
          <w:sz w:val="24"/>
          <w:szCs w:val="24"/>
        </w:rPr>
        <w:t>те</w:t>
      </w:r>
      <w:r>
        <w:rPr>
          <w:rFonts w:ascii="Times New Roman" w:eastAsia="Times New Roman" w:hAnsi="Times New Roman" w:cs="Times New Roman"/>
          <w:sz w:val="24"/>
          <w:szCs w:val="24"/>
        </w:rPr>
        <w:t xml:space="preserve">. Качественият подбор на служители е един от основните фактори, спомагащи за реализирането на целите на </w:t>
      </w:r>
      <w:r w:rsidR="00415D6C">
        <w:rPr>
          <w:rFonts w:ascii="Times New Roman" w:eastAsia="Times New Roman" w:hAnsi="Times New Roman" w:cs="Times New Roman"/>
          <w:sz w:val="24"/>
          <w:szCs w:val="24"/>
        </w:rPr>
        <w:t>софтуерните компании</w:t>
      </w:r>
      <w:r>
        <w:rPr>
          <w:rFonts w:ascii="Times New Roman" w:eastAsia="Times New Roman" w:hAnsi="Times New Roman" w:cs="Times New Roman"/>
          <w:sz w:val="24"/>
          <w:szCs w:val="24"/>
        </w:rPr>
        <w:t>. Условията</w:t>
      </w:r>
      <w:r w:rsidR="004451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дадена фирма да бъде сертифицирана на високо ниво на зрялост е наличие на </w:t>
      </w:r>
      <w:r w:rsidRPr="00A674FC">
        <w:rPr>
          <w:rFonts w:ascii="Times New Roman" w:eastAsia="Times New Roman" w:hAnsi="Times New Roman" w:cs="Times New Roman"/>
          <w:sz w:val="24"/>
          <w:szCs w:val="24"/>
        </w:rPr>
        <w:t>реализиран</w:t>
      </w:r>
      <w:r w:rsidR="00A674FC" w:rsidRPr="00A674FC">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ключови практики в областта на човешките ресурси, целящи усъвършенстването на служителите относно текущите и бъдещи задачи, както и личното им кариерно развитие. </w:t>
      </w:r>
      <w:r w:rsidR="00A64057">
        <w:rPr>
          <w:rFonts w:ascii="Times New Roman" w:eastAsia="Times New Roman" w:hAnsi="Times New Roman" w:cs="Times New Roman"/>
          <w:sz w:val="24"/>
          <w:szCs w:val="24"/>
        </w:rPr>
        <w:t xml:space="preserve">Целта на тази публикация е да </w:t>
      </w:r>
      <w:r>
        <w:rPr>
          <w:rFonts w:ascii="Times New Roman" w:eastAsia="Times New Roman" w:hAnsi="Times New Roman" w:cs="Times New Roman"/>
          <w:sz w:val="24"/>
          <w:szCs w:val="24"/>
        </w:rPr>
        <w:t>с</w:t>
      </w:r>
      <w:r w:rsidR="00A64057">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 </w:t>
      </w:r>
      <w:r w:rsidR="00A64057">
        <w:rPr>
          <w:rFonts w:ascii="Times New Roman" w:eastAsia="Times New Roman" w:hAnsi="Times New Roman" w:cs="Times New Roman"/>
          <w:sz w:val="24"/>
          <w:szCs w:val="24"/>
        </w:rPr>
        <w:t>представят</w:t>
      </w:r>
      <w:r>
        <w:rPr>
          <w:rFonts w:ascii="Times New Roman" w:eastAsia="Times New Roman" w:hAnsi="Times New Roman" w:cs="Times New Roman"/>
          <w:sz w:val="24"/>
          <w:szCs w:val="24"/>
        </w:rPr>
        <w:t xml:space="preserve"> подходи</w:t>
      </w:r>
      <w:r w:rsidR="00A64057">
        <w:rPr>
          <w:rFonts w:ascii="Times New Roman" w:eastAsia="Times New Roman" w:hAnsi="Times New Roman" w:cs="Times New Roman"/>
          <w:sz w:val="24"/>
          <w:szCs w:val="24"/>
        </w:rPr>
        <w:t xml:space="preserve"> и модели</w:t>
      </w:r>
      <w:r w:rsidR="00CC44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C44F3">
        <w:rPr>
          <w:rFonts w:ascii="Times New Roman" w:eastAsia="Times New Roman" w:hAnsi="Times New Roman" w:cs="Times New Roman"/>
          <w:sz w:val="24"/>
          <w:szCs w:val="24"/>
        </w:rPr>
        <w:t>подходящи за прилагане в</w:t>
      </w:r>
      <w:r>
        <w:rPr>
          <w:rFonts w:ascii="Times New Roman" w:eastAsia="Times New Roman" w:hAnsi="Times New Roman" w:cs="Times New Roman"/>
          <w:sz w:val="24"/>
          <w:szCs w:val="24"/>
        </w:rPr>
        <w:t xml:space="preserve"> процеса на </w:t>
      </w:r>
      <w:r w:rsidR="00DB517C">
        <w:rPr>
          <w:rFonts w:ascii="Times New Roman" w:eastAsia="Times New Roman" w:hAnsi="Times New Roman" w:cs="Times New Roman"/>
          <w:sz w:val="24"/>
          <w:szCs w:val="24"/>
        </w:rPr>
        <w:t xml:space="preserve">подбор и професионално </w:t>
      </w:r>
      <w:r w:rsidRPr="00DB517C">
        <w:rPr>
          <w:rFonts w:ascii="Times New Roman" w:eastAsia="Times New Roman" w:hAnsi="Times New Roman" w:cs="Times New Roman"/>
          <w:sz w:val="24"/>
          <w:szCs w:val="24"/>
        </w:rPr>
        <w:t>развитие на човешките ресурси</w:t>
      </w:r>
      <w:r>
        <w:rPr>
          <w:rFonts w:ascii="Times New Roman" w:eastAsia="Times New Roman" w:hAnsi="Times New Roman" w:cs="Times New Roman"/>
          <w:sz w:val="24"/>
          <w:szCs w:val="24"/>
        </w:rPr>
        <w:t xml:space="preserve"> в </w:t>
      </w:r>
      <w:r w:rsidR="00415D6C">
        <w:rPr>
          <w:rFonts w:ascii="Times New Roman" w:eastAsia="Times New Roman" w:hAnsi="Times New Roman" w:cs="Times New Roman"/>
          <w:sz w:val="24"/>
          <w:szCs w:val="24"/>
        </w:rPr>
        <w:t xml:space="preserve">софтуерните </w:t>
      </w:r>
      <w:r>
        <w:rPr>
          <w:rFonts w:ascii="Times New Roman" w:eastAsia="Times New Roman" w:hAnsi="Times New Roman" w:cs="Times New Roman"/>
          <w:sz w:val="24"/>
          <w:szCs w:val="24"/>
        </w:rPr>
        <w:t xml:space="preserve">компании, </w:t>
      </w:r>
      <w:r w:rsidRPr="00AA54C5">
        <w:rPr>
          <w:rFonts w:ascii="Times New Roman" w:eastAsia="Times New Roman" w:hAnsi="Times New Roman" w:cs="Times New Roman"/>
          <w:sz w:val="24"/>
          <w:szCs w:val="24"/>
        </w:rPr>
        <w:t>както и мето</w:t>
      </w:r>
      <w:r w:rsidR="00683744" w:rsidRPr="00AA54C5">
        <w:rPr>
          <w:rFonts w:ascii="Times New Roman" w:eastAsia="Times New Roman" w:hAnsi="Times New Roman" w:cs="Times New Roman"/>
          <w:sz w:val="24"/>
          <w:szCs w:val="24"/>
        </w:rPr>
        <w:t xml:space="preserve">дите за оценка на зрялост, използвани </w:t>
      </w:r>
      <w:r w:rsidRPr="00AA54C5">
        <w:rPr>
          <w:rFonts w:ascii="Times New Roman" w:eastAsia="Times New Roman" w:hAnsi="Times New Roman" w:cs="Times New Roman"/>
          <w:sz w:val="24"/>
          <w:szCs w:val="24"/>
        </w:rPr>
        <w:t>за създаване на ефективна сис</w:t>
      </w:r>
      <w:r>
        <w:rPr>
          <w:rFonts w:ascii="Times New Roman" w:eastAsia="Times New Roman" w:hAnsi="Times New Roman" w:cs="Times New Roman"/>
          <w:sz w:val="24"/>
          <w:szCs w:val="24"/>
        </w:rPr>
        <w:t>тема за тяхното управление</w:t>
      </w:r>
      <w:bookmarkEnd w:id="0"/>
      <w:r>
        <w:rPr>
          <w:rFonts w:ascii="Times New Roman" w:eastAsia="Times New Roman" w:hAnsi="Times New Roman" w:cs="Times New Roman"/>
          <w:sz w:val="24"/>
          <w:szCs w:val="24"/>
        </w:rPr>
        <w:t xml:space="preserve">. </w:t>
      </w:r>
    </w:p>
    <w:p w14:paraId="3B1D34DA" w14:textId="7176EB0F"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Ключови думи: </w:t>
      </w:r>
      <w:r>
        <w:rPr>
          <w:rFonts w:ascii="Times New Roman" w:eastAsia="Times New Roman" w:hAnsi="Times New Roman" w:cs="Times New Roman"/>
          <w:sz w:val="24"/>
          <w:szCs w:val="24"/>
        </w:rPr>
        <w:t xml:space="preserve">Човешки ресурси, </w:t>
      </w:r>
      <w:r w:rsidR="00A11315">
        <w:rPr>
          <w:rFonts w:ascii="Times New Roman" w:eastAsia="Times New Roman" w:hAnsi="Times New Roman" w:cs="Times New Roman"/>
          <w:sz w:val="24"/>
          <w:szCs w:val="24"/>
        </w:rPr>
        <w:t>Подходи за р</w:t>
      </w:r>
      <w:r>
        <w:rPr>
          <w:rFonts w:ascii="Times New Roman" w:eastAsia="Times New Roman" w:hAnsi="Times New Roman" w:cs="Times New Roman"/>
          <w:sz w:val="24"/>
          <w:szCs w:val="24"/>
        </w:rPr>
        <w:t>азвитие, CMM, CMMI,</w:t>
      </w:r>
      <w:r w:rsidR="00415D6C">
        <w:rPr>
          <w:rFonts w:ascii="Times New Roman" w:eastAsia="Times New Roman" w:hAnsi="Times New Roman" w:cs="Times New Roman"/>
          <w:sz w:val="24"/>
          <w:szCs w:val="24"/>
        </w:rPr>
        <w:t xml:space="preserve"> </w:t>
      </w:r>
      <w:r w:rsidR="00A11315">
        <w:rPr>
          <w:rFonts w:ascii="Times New Roman" w:eastAsia="Times New Roman" w:hAnsi="Times New Roman" w:cs="Times New Roman"/>
          <w:sz w:val="24"/>
          <w:szCs w:val="24"/>
        </w:rPr>
        <w:t>С</w:t>
      </w:r>
      <w:r w:rsidR="00415D6C">
        <w:rPr>
          <w:rFonts w:ascii="Times New Roman" w:eastAsia="Times New Roman" w:hAnsi="Times New Roman" w:cs="Times New Roman"/>
          <w:sz w:val="24"/>
          <w:szCs w:val="24"/>
        </w:rPr>
        <w:t>офтуер</w:t>
      </w:r>
      <w:r>
        <w:rPr>
          <w:rFonts w:ascii="Times New Roman" w:eastAsia="Times New Roman" w:hAnsi="Times New Roman" w:cs="Times New Roman"/>
          <w:sz w:val="24"/>
          <w:szCs w:val="24"/>
        </w:rPr>
        <w:t>.</w:t>
      </w:r>
    </w:p>
    <w:p w14:paraId="6A816C2E" w14:textId="77777777" w:rsidR="005201BB" w:rsidRDefault="005201BB">
      <w:pPr>
        <w:spacing w:after="0" w:line="360" w:lineRule="auto"/>
        <w:ind w:firstLine="709"/>
        <w:jc w:val="both"/>
        <w:rPr>
          <w:rFonts w:ascii="Times New Roman" w:eastAsia="Times New Roman" w:hAnsi="Times New Roman" w:cs="Times New Roman"/>
          <w:sz w:val="24"/>
          <w:szCs w:val="24"/>
        </w:rPr>
      </w:pPr>
    </w:p>
    <w:p w14:paraId="02202184" w14:textId="0B3F9E32" w:rsidR="005201BB" w:rsidRDefault="00833109">
      <w:pPr>
        <w:pBdr>
          <w:top w:val="nil"/>
          <w:left w:val="nil"/>
          <w:bottom w:val="nil"/>
          <w:right w:val="nil"/>
          <w:between w:val="nil"/>
        </w:pBdr>
        <w:spacing w:after="480" w:line="360" w:lineRule="auto"/>
        <w:jc w:val="center"/>
        <w:rPr>
          <w:rFonts w:ascii="Times New Roman" w:eastAsia="Times New Roman" w:hAnsi="Times New Roman" w:cs="Times New Roman"/>
          <w:b/>
          <w:smallCaps/>
          <w:color w:val="000000"/>
          <w:sz w:val="28"/>
          <w:szCs w:val="28"/>
        </w:rPr>
      </w:pPr>
      <w:r w:rsidRPr="00833109">
        <w:rPr>
          <w:rFonts w:ascii="Times New Roman" w:eastAsia="Times New Roman" w:hAnsi="Times New Roman" w:cs="Times New Roman"/>
          <w:b/>
          <w:smallCaps/>
          <w:color w:val="000000"/>
          <w:sz w:val="28"/>
          <w:szCs w:val="28"/>
        </w:rPr>
        <w:t>APPROACHES AND MODELS FOR DEVELOPMENT OF HUMAN RESOURCES IN SOFTWARE COMPANIES</w:t>
      </w:r>
    </w:p>
    <w:p w14:paraId="154AC7FD" w14:textId="5333D36D" w:rsidR="00B70AF8" w:rsidRDefault="00B70AF8" w:rsidP="00B70AF8">
      <w:pPr>
        <w:spacing w:after="0" w:line="360" w:lineRule="auto"/>
        <w:ind w:firstLine="709"/>
        <w:jc w:val="center"/>
        <w:rPr>
          <w:rFonts w:ascii="Times New Roman" w:eastAsia="Times New Roman" w:hAnsi="Times New Roman" w:cs="Times New Roman"/>
          <w:b/>
          <w:sz w:val="28"/>
          <w:szCs w:val="28"/>
          <w:lang w:val="en-US"/>
        </w:rPr>
      </w:pPr>
      <w:r w:rsidRPr="00B70AF8">
        <w:rPr>
          <w:rFonts w:ascii="Times New Roman" w:eastAsia="Times New Roman" w:hAnsi="Times New Roman" w:cs="Times New Roman"/>
          <w:b/>
          <w:sz w:val="28"/>
          <w:szCs w:val="28"/>
          <w:lang w:val="en-US"/>
        </w:rPr>
        <w:t>Slavka Stamenova</w:t>
      </w:r>
    </w:p>
    <w:p w14:paraId="46BD2E3D" w14:textId="77777777" w:rsidR="00B70AF8" w:rsidRPr="00B70AF8" w:rsidRDefault="00B70AF8" w:rsidP="00B70AF8">
      <w:pPr>
        <w:spacing w:after="0" w:line="360" w:lineRule="auto"/>
        <w:ind w:firstLine="709"/>
        <w:jc w:val="center"/>
        <w:rPr>
          <w:rFonts w:ascii="Times New Roman" w:eastAsia="Times New Roman" w:hAnsi="Times New Roman" w:cs="Times New Roman"/>
          <w:b/>
          <w:sz w:val="28"/>
          <w:szCs w:val="28"/>
          <w:lang w:val="en-US"/>
        </w:rPr>
      </w:pPr>
    </w:p>
    <w:p w14:paraId="25B281A6" w14:textId="77777777" w:rsidR="005201BB" w:rsidRDefault="00C834B5">
      <w:pPr>
        <w:spacing w:after="0"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7D2CBA2" w14:textId="293666A5" w:rsidR="007E344E" w:rsidRDefault="00EA17AA">
      <w:pPr>
        <w:spacing w:after="0" w:line="360" w:lineRule="auto"/>
        <w:ind w:firstLine="709"/>
        <w:jc w:val="both"/>
        <w:rPr>
          <w:rFonts w:ascii="Times New Roman" w:eastAsia="Times New Roman" w:hAnsi="Times New Roman" w:cs="Times New Roman"/>
          <w:sz w:val="24"/>
          <w:szCs w:val="24"/>
        </w:rPr>
      </w:pPr>
      <w:r w:rsidRPr="00EA17AA">
        <w:rPr>
          <w:rFonts w:ascii="Times New Roman" w:eastAsia="Times New Roman" w:hAnsi="Times New Roman" w:cs="Times New Roman"/>
          <w:sz w:val="24"/>
          <w:szCs w:val="24"/>
        </w:rPr>
        <w:t xml:space="preserve">In order to carry out their activities, public and business organizations must have the necessary resources to achieve their desired results. Human resources have a major strategic </w:t>
      </w:r>
      <w:r w:rsidRPr="00EA17AA">
        <w:rPr>
          <w:rFonts w:ascii="Times New Roman" w:eastAsia="Times New Roman" w:hAnsi="Times New Roman" w:cs="Times New Roman"/>
          <w:sz w:val="24"/>
          <w:szCs w:val="24"/>
        </w:rPr>
        <w:lastRenderedPageBreak/>
        <w:t>role and are undoubtedly a driving force in the development of companies. The quality selection of employees is one of the main factors helping to realize the goals of software companies. The conditions for a company to be certified at a high level of maturity are the presence of realized key practices in the field of human resources, aimed at the improvement of employees regarding current and future tasks, as well as their personal career development. The purpose of this publication is to present approaches and models suitable for application in the process of selection and professional development of human resources in software companies, as well as maturity assessment methods used to create an effective system for their management.</w:t>
      </w:r>
    </w:p>
    <w:p w14:paraId="2DC548CC" w14:textId="5D3D0E05" w:rsidR="005201BB" w:rsidRDefault="00C834B5" w:rsidP="00A11315">
      <w:pPr>
        <w:spacing w:after="0" w:line="360" w:lineRule="auto"/>
        <w:ind w:firstLine="709"/>
        <w:jc w:val="both"/>
        <w:rPr>
          <w:rFonts w:ascii="Times New Roman" w:eastAsia="Times New Roman" w:hAnsi="Times New Roman" w:cs="Times New Roman"/>
          <w:sz w:val="24"/>
          <w:szCs w:val="24"/>
          <w:lang w:val="en-GB"/>
        </w:rPr>
      </w:pPr>
      <w:r w:rsidRPr="00A11315">
        <w:rPr>
          <w:rFonts w:ascii="Times New Roman" w:eastAsia="Times New Roman" w:hAnsi="Times New Roman" w:cs="Times New Roman"/>
          <w:b/>
          <w:sz w:val="24"/>
          <w:szCs w:val="24"/>
          <w:lang w:val="en-GB"/>
        </w:rPr>
        <w:t xml:space="preserve">Keywords: </w:t>
      </w:r>
      <w:r w:rsidRPr="00A11315">
        <w:rPr>
          <w:rFonts w:ascii="Times New Roman" w:eastAsia="Times New Roman" w:hAnsi="Times New Roman" w:cs="Times New Roman"/>
          <w:sz w:val="24"/>
          <w:szCs w:val="24"/>
          <w:lang w:val="en-GB"/>
        </w:rPr>
        <w:t>Human Resources, Development</w:t>
      </w:r>
      <w:r w:rsidR="00A11315" w:rsidRPr="00A11315">
        <w:rPr>
          <w:rFonts w:ascii="Times New Roman" w:eastAsia="Times New Roman" w:hAnsi="Times New Roman" w:cs="Times New Roman"/>
          <w:sz w:val="24"/>
          <w:szCs w:val="24"/>
          <w:lang w:val="en-GB"/>
        </w:rPr>
        <w:t xml:space="preserve"> approaches</w:t>
      </w:r>
      <w:r w:rsidRPr="00A11315">
        <w:rPr>
          <w:rFonts w:ascii="Times New Roman" w:eastAsia="Times New Roman" w:hAnsi="Times New Roman" w:cs="Times New Roman"/>
          <w:sz w:val="24"/>
          <w:szCs w:val="24"/>
          <w:lang w:val="en-GB"/>
        </w:rPr>
        <w:t xml:space="preserve">, CMM, CMMI, </w:t>
      </w:r>
      <w:r w:rsidR="00415D6C" w:rsidRPr="00A11315">
        <w:rPr>
          <w:rFonts w:ascii="Times New Roman" w:eastAsia="Times New Roman" w:hAnsi="Times New Roman" w:cs="Times New Roman"/>
          <w:sz w:val="24"/>
          <w:szCs w:val="24"/>
          <w:lang w:val="en-GB"/>
        </w:rPr>
        <w:t>Software</w:t>
      </w:r>
      <w:r w:rsidRPr="00A11315">
        <w:rPr>
          <w:rFonts w:ascii="Times New Roman" w:eastAsia="Times New Roman" w:hAnsi="Times New Roman" w:cs="Times New Roman"/>
          <w:sz w:val="24"/>
          <w:szCs w:val="24"/>
          <w:lang w:val="en-GB"/>
        </w:rPr>
        <w:t xml:space="preserve">. </w:t>
      </w:r>
    </w:p>
    <w:p w14:paraId="0A4FCF34" w14:textId="77777777" w:rsidR="005A79EE" w:rsidRPr="00A11315" w:rsidRDefault="005A79EE" w:rsidP="00A11315">
      <w:pPr>
        <w:spacing w:after="0" w:line="360" w:lineRule="auto"/>
        <w:ind w:firstLine="709"/>
        <w:jc w:val="both"/>
        <w:rPr>
          <w:rFonts w:ascii="Times New Roman" w:eastAsia="Times New Roman" w:hAnsi="Times New Roman" w:cs="Times New Roman"/>
          <w:sz w:val="24"/>
          <w:szCs w:val="24"/>
          <w:lang w:val="en-GB"/>
        </w:rPr>
      </w:pPr>
    </w:p>
    <w:p w14:paraId="37F55953" w14:textId="77777777" w:rsidR="005201BB" w:rsidRPr="00B072C8" w:rsidRDefault="00C834B5" w:rsidP="00B072C8">
      <w:pPr>
        <w:pStyle w:val="Article-section-title-withoutNo"/>
        <w:rPr>
          <w:rFonts w:eastAsiaTheme="minorHAnsi"/>
        </w:rPr>
      </w:pPr>
      <w:r w:rsidRPr="00B072C8">
        <w:rPr>
          <w:rFonts w:eastAsiaTheme="minorHAnsi"/>
        </w:rPr>
        <w:t>Въведение</w:t>
      </w:r>
    </w:p>
    <w:p w14:paraId="5A708E95" w14:textId="2716F87F" w:rsidR="005201BB" w:rsidRDefault="00C834B5">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Динамичните промени в съвременния свят поставят бизнес организациите пред редица предизвикателства. Развитието на технологиите и пренасянето на традиционния бизнес в електронна среда налагат </w:t>
      </w:r>
      <w:r>
        <w:rPr>
          <w:rFonts w:ascii="Times New Roman" w:eastAsia="Times New Roman" w:hAnsi="Times New Roman" w:cs="Times New Roman"/>
          <w:sz w:val="24"/>
          <w:szCs w:val="24"/>
        </w:rPr>
        <w:t>промени</w:t>
      </w:r>
      <w:r>
        <w:rPr>
          <w:rFonts w:ascii="Times New Roman" w:eastAsia="Times New Roman" w:hAnsi="Times New Roman" w:cs="Times New Roman"/>
          <w:color w:val="000000"/>
          <w:sz w:val="24"/>
          <w:szCs w:val="24"/>
        </w:rPr>
        <w:t xml:space="preserve"> в начина </w:t>
      </w:r>
      <w:r w:rsidRPr="001D25A2">
        <w:rPr>
          <w:rFonts w:ascii="Times New Roman" w:eastAsia="Times New Roman" w:hAnsi="Times New Roman" w:cs="Times New Roman"/>
          <w:color w:val="000000"/>
          <w:sz w:val="24"/>
          <w:szCs w:val="24"/>
        </w:rPr>
        <w:t xml:space="preserve">на </w:t>
      </w:r>
      <w:bookmarkStart w:id="1" w:name="_Hlk109230538"/>
      <w:r w:rsidRPr="001D25A2">
        <w:rPr>
          <w:rFonts w:ascii="Times New Roman" w:eastAsia="Times New Roman" w:hAnsi="Times New Roman" w:cs="Times New Roman"/>
          <w:color w:val="000000"/>
          <w:sz w:val="24"/>
          <w:szCs w:val="24"/>
        </w:rPr>
        <w:t>подбор</w:t>
      </w:r>
      <w:bookmarkEnd w:id="1"/>
      <w:r w:rsidR="00DB517C" w:rsidRPr="001D25A2">
        <w:rPr>
          <w:rFonts w:ascii="Times New Roman" w:eastAsia="Times New Roman" w:hAnsi="Times New Roman" w:cs="Times New Roman"/>
          <w:color w:val="000000"/>
          <w:sz w:val="24"/>
          <w:szCs w:val="24"/>
        </w:rPr>
        <w:t xml:space="preserve"> на персонал и неговото кариерно</w:t>
      </w:r>
      <w:r w:rsidRPr="001D25A2">
        <w:rPr>
          <w:rFonts w:ascii="Times New Roman" w:eastAsia="Times New Roman" w:hAnsi="Times New Roman" w:cs="Times New Roman"/>
          <w:color w:val="000000"/>
          <w:sz w:val="24"/>
          <w:szCs w:val="24"/>
        </w:rPr>
        <w:t xml:space="preserve"> развитие</w:t>
      </w:r>
      <w:r w:rsidR="00A11315" w:rsidRPr="001D25A2">
        <w:rPr>
          <w:rFonts w:ascii="Times New Roman" w:eastAsia="Times New Roman" w:hAnsi="Times New Roman" w:cs="Times New Roman"/>
          <w:color w:val="000000"/>
          <w:sz w:val="24"/>
          <w:szCs w:val="24"/>
        </w:rPr>
        <w:t>.</w:t>
      </w:r>
    </w:p>
    <w:p w14:paraId="2B1AC445" w14:textId="69147888" w:rsidR="005201BB" w:rsidRDefault="00C834B5">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Човешките ресурси имат основна стратегическа роля и безспорно са движеща сила в развитието на</w:t>
      </w:r>
      <w:r w:rsidR="00B072C8">
        <w:rPr>
          <w:rFonts w:ascii="Times New Roman" w:eastAsia="Times New Roman" w:hAnsi="Times New Roman" w:cs="Times New Roman"/>
          <w:color w:val="000000"/>
          <w:sz w:val="24"/>
          <w:szCs w:val="24"/>
          <w:lang w:val="en-US"/>
        </w:rPr>
        <w:t xml:space="preserve"> </w:t>
      </w:r>
      <w:r w:rsidR="00B072C8">
        <w:rPr>
          <w:rFonts w:ascii="Times New Roman" w:eastAsia="Times New Roman" w:hAnsi="Times New Roman" w:cs="Times New Roman"/>
          <w:color w:val="000000"/>
          <w:sz w:val="24"/>
          <w:szCs w:val="24"/>
        </w:rPr>
        <w:t>софтуерните</w:t>
      </w:r>
      <w:r>
        <w:rPr>
          <w:rFonts w:ascii="Times New Roman" w:eastAsia="Times New Roman" w:hAnsi="Times New Roman" w:cs="Times New Roman"/>
          <w:color w:val="000000"/>
          <w:sz w:val="24"/>
          <w:szCs w:val="24"/>
        </w:rPr>
        <w:t xml:space="preserve"> </w:t>
      </w:r>
      <w:r w:rsidR="005C05C4">
        <w:rPr>
          <w:rFonts w:ascii="Times New Roman" w:eastAsia="Times New Roman" w:hAnsi="Times New Roman" w:cs="Times New Roman"/>
          <w:color w:val="000000"/>
          <w:sz w:val="24"/>
          <w:szCs w:val="24"/>
        </w:rPr>
        <w:t>компании</w:t>
      </w:r>
      <w:r>
        <w:rPr>
          <w:rFonts w:ascii="Times New Roman" w:eastAsia="Times New Roman" w:hAnsi="Times New Roman" w:cs="Times New Roman"/>
          <w:color w:val="000000"/>
          <w:sz w:val="24"/>
          <w:szCs w:val="24"/>
        </w:rPr>
        <w:t>. Качественият подбор на служители спомага за реализирането на</w:t>
      </w:r>
      <w:r w:rsidR="00B072C8">
        <w:rPr>
          <w:rFonts w:ascii="Times New Roman" w:eastAsia="Times New Roman" w:hAnsi="Times New Roman" w:cs="Times New Roman"/>
          <w:color w:val="000000"/>
          <w:sz w:val="24"/>
          <w:szCs w:val="24"/>
        </w:rPr>
        <w:t xml:space="preserve"> </w:t>
      </w:r>
      <w:r w:rsidR="005C05C4">
        <w:rPr>
          <w:rFonts w:ascii="Times New Roman" w:eastAsia="Times New Roman" w:hAnsi="Times New Roman" w:cs="Times New Roman"/>
          <w:color w:val="000000"/>
          <w:sz w:val="24"/>
          <w:szCs w:val="24"/>
        </w:rPr>
        <w:t xml:space="preserve">фирмените </w:t>
      </w:r>
      <w:r>
        <w:rPr>
          <w:rFonts w:ascii="Times New Roman" w:eastAsia="Times New Roman" w:hAnsi="Times New Roman" w:cs="Times New Roman"/>
          <w:color w:val="000000"/>
          <w:sz w:val="24"/>
          <w:szCs w:val="24"/>
        </w:rPr>
        <w:t>цели</w:t>
      </w:r>
      <w:r w:rsidR="00B072C8">
        <w:rPr>
          <w:rFonts w:ascii="Times New Roman" w:eastAsia="Times New Roman" w:hAnsi="Times New Roman" w:cs="Times New Roman"/>
          <w:color w:val="000000"/>
          <w:sz w:val="24"/>
          <w:szCs w:val="24"/>
        </w:rPr>
        <w:t xml:space="preserve"> и увеличаване на печалбите</w:t>
      </w:r>
      <w:r>
        <w:rPr>
          <w:rFonts w:ascii="Times New Roman" w:eastAsia="Times New Roman" w:hAnsi="Times New Roman" w:cs="Times New Roman"/>
          <w:color w:val="000000"/>
          <w:sz w:val="24"/>
          <w:szCs w:val="24"/>
        </w:rPr>
        <w:t xml:space="preserve">. Технологичната революция и стремежът към изграждане на ефективна съвкупност от човешки ресурси, водят до еволюция в управленската наука и до изграждане на иновативни софтуерни решения в областта. Системите за управление на човешки ресурси са от изключителна важност за съвременните компании. Изграждането на система за </w:t>
      </w:r>
      <w:r w:rsidR="005C05C4" w:rsidRPr="005C05C4">
        <w:rPr>
          <w:rFonts w:ascii="Times New Roman" w:eastAsia="Times New Roman" w:hAnsi="Times New Roman" w:cs="Times New Roman"/>
          <w:color w:val="000000"/>
          <w:sz w:val="24"/>
          <w:szCs w:val="24"/>
        </w:rPr>
        <w:t>подбор</w:t>
      </w:r>
      <w:r w:rsidR="00DB517C">
        <w:rPr>
          <w:rFonts w:ascii="Times New Roman" w:eastAsia="Times New Roman" w:hAnsi="Times New Roman" w:cs="Times New Roman"/>
          <w:color w:val="000000"/>
          <w:sz w:val="24"/>
          <w:szCs w:val="24"/>
        </w:rPr>
        <w:t xml:space="preserve"> и</w:t>
      </w:r>
      <w:r>
        <w:rPr>
          <w:rFonts w:ascii="Times New Roman" w:eastAsia="Times New Roman" w:hAnsi="Times New Roman" w:cs="Times New Roman"/>
          <w:color w:val="000000"/>
          <w:sz w:val="24"/>
          <w:szCs w:val="24"/>
        </w:rPr>
        <w:t xml:space="preserve"> развитие на персонала може да доведе до преодоляването на редица трудности и повишаване на ефективността и конкурентоспособността на фирмите. </w:t>
      </w:r>
      <w:r w:rsidR="00EE10A7">
        <w:rPr>
          <w:rFonts w:ascii="Times New Roman" w:eastAsia="Times New Roman" w:hAnsi="Times New Roman" w:cs="Times New Roman"/>
          <w:color w:val="000000"/>
          <w:sz w:val="24"/>
          <w:szCs w:val="24"/>
        </w:rPr>
        <w:t xml:space="preserve">Методологиите </w:t>
      </w:r>
      <w:r w:rsidR="00A11315" w:rsidRPr="00A11315">
        <w:rPr>
          <w:rFonts w:ascii="Times New Roman" w:eastAsia="Times New Roman" w:hAnsi="Times New Roman" w:cs="Times New Roman"/>
          <w:color w:val="000000"/>
          <w:sz w:val="24"/>
          <w:szCs w:val="24"/>
        </w:rPr>
        <w:t xml:space="preserve">Capability Maturity Model </w:t>
      </w:r>
      <w:r w:rsidR="00A11315">
        <w:rPr>
          <w:rFonts w:ascii="Times New Roman" w:eastAsia="Times New Roman" w:hAnsi="Times New Roman" w:cs="Times New Roman"/>
          <w:color w:val="000000"/>
          <w:sz w:val="24"/>
          <w:szCs w:val="24"/>
        </w:rPr>
        <w:t>(</w:t>
      </w:r>
      <w:r w:rsidR="00A11315" w:rsidRPr="00A11315">
        <w:rPr>
          <w:rFonts w:ascii="Times New Roman" w:eastAsia="Times New Roman" w:hAnsi="Times New Roman" w:cs="Times New Roman"/>
          <w:color w:val="000000"/>
          <w:sz w:val="24"/>
          <w:szCs w:val="24"/>
        </w:rPr>
        <w:t>CMM</w:t>
      </w:r>
      <w:r w:rsidR="00A11315">
        <w:rPr>
          <w:rFonts w:ascii="Times New Roman" w:eastAsia="Times New Roman" w:hAnsi="Times New Roman" w:cs="Times New Roman"/>
          <w:color w:val="000000"/>
          <w:sz w:val="24"/>
          <w:szCs w:val="24"/>
        </w:rPr>
        <w:t>)</w:t>
      </w:r>
      <w:r w:rsidR="00EE10A7">
        <w:rPr>
          <w:rFonts w:ascii="Times New Roman" w:eastAsia="Times New Roman" w:hAnsi="Times New Roman" w:cs="Times New Roman"/>
          <w:color w:val="000000"/>
          <w:sz w:val="24"/>
          <w:szCs w:val="24"/>
        </w:rPr>
        <w:t xml:space="preserve">, </w:t>
      </w:r>
      <w:r w:rsidR="00A11315" w:rsidRPr="00A11315">
        <w:rPr>
          <w:rFonts w:ascii="Times New Roman" w:eastAsia="Times New Roman" w:hAnsi="Times New Roman" w:cs="Times New Roman"/>
          <w:color w:val="000000"/>
          <w:sz w:val="24"/>
          <w:szCs w:val="24"/>
        </w:rPr>
        <w:t xml:space="preserve">Capability Maturity Model Integration </w:t>
      </w:r>
      <w:r w:rsidR="00A11315">
        <w:rPr>
          <w:rFonts w:ascii="Times New Roman" w:eastAsia="Times New Roman" w:hAnsi="Times New Roman" w:cs="Times New Roman"/>
          <w:color w:val="000000"/>
          <w:sz w:val="24"/>
          <w:szCs w:val="24"/>
        </w:rPr>
        <w:t>(</w:t>
      </w:r>
      <w:r w:rsidR="00A11315" w:rsidRPr="00A11315">
        <w:rPr>
          <w:rFonts w:ascii="Times New Roman" w:eastAsia="Times New Roman" w:hAnsi="Times New Roman" w:cs="Times New Roman"/>
          <w:color w:val="000000"/>
          <w:sz w:val="24"/>
          <w:szCs w:val="24"/>
        </w:rPr>
        <w:t>CMMI</w:t>
      </w:r>
      <w:r w:rsidR="00A11315">
        <w:rPr>
          <w:rFonts w:ascii="Times New Roman" w:eastAsia="Times New Roman" w:hAnsi="Times New Roman" w:cs="Times New Roman"/>
          <w:color w:val="000000"/>
          <w:sz w:val="24"/>
          <w:szCs w:val="24"/>
        </w:rPr>
        <w:t>)</w:t>
      </w:r>
      <w:r w:rsidR="00A11315" w:rsidRPr="00A11315">
        <w:rPr>
          <w:rFonts w:ascii="Times New Roman" w:eastAsia="Times New Roman" w:hAnsi="Times New Roman" w:cs="Times New Roman"/>
          <w:color w:val="000000"/>
          <w:sz w:val="24"/>
          <w:szCs w:val="24"/>
        </w:rPr>
        <w:t xml:space="preserve"> </w:t>
      </w:r>
      <w:r w:rsidRPr="00A11315">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 People CMM спомагат за сертифициране на компаниите на високо ниво на зрялост, чрез изграждането на устойчив</w:t>
      </w:r>
      <w:r>
        <w:rPr>
          <w:rFonts w:ascii="Times New Roman" w:eastAsia="Times New Roman" w:hAnsi="Times New Roman" w:cs="Times New Roman"/>
          <w:sz w:val="24"/>
          <w:szCs w:val="24"/>
        </w:rPr>
        <w:t>и</w:t>
      </w:r>
      <w:r>
        <w:rPr>
          <w:rFonts w:ascii="Times New Roman" w:eastAsia="Times New Roman" w:hAnsi="Times New Roman" w:cs="Times New Roman"/>
          <w:color w:val="000000"/>
          <w:sz w:val="24"/>
          <w:szCs w:val="24"/>
        </w:rPr>
        <w:t xml:space="preserve"> систем</w:t>
      </w:r>
      <w:r>
        <w:rPr>
          <w:rFonts w:ascii="Times New Roman" w:eastAsia="Times New Roman" w:hAnsi="Times New Roman" w:cs="Times New Roman"/>
          <w:sz w:val="24"/>
          <w:szCs w:val="24"/>
        </w:rPr>
        <w:t xml:space="preserve">и, както за бизнес процесите, така и за целите на </w:t>
      </w:r>
      <w:r>
        <w:rPr>
          <w:rFonts w:ascii="Times New Roman" w:eastAsia="Times New Roman" w:hAnsi="Times New Roman" w:cs="Times New Roman"/>
          <w:color w:val="000000"/>
          <w:sz w:val="24"/>
          <w:szCs w:val="24"/>
        </w:rPr>
        <w:t xml:space="preserve"> управлението на човешките ресурси</w:t>
      </w:r>
      <w:r w:rsidR="00B072C8">
        <w:rPr>
          <w:rFonts w:ascii="Times New Roman" w:eastAsia="Times New Roman" w:hAnsi="Times New Roman" w:cs="Times New Roman"/>
          <w:color w:val="000000"/>
          <w:sz w:val="24"/>
          <w:szCs w:val="24"/>
        </w:rPr>
        <w:t xml:space="preserve"> в софтуерния бизнес</w:t>
      </w:r>
      <w:r>
        <w:rPr>
          <w:rFonts w:ascii="Times New Roman" w:eastAsia="Times New Roman" w:hAnsi="Times New Roman" w:cs="Times New Roman"/>
          <w:color w:val="000000"/>
          <w:sz w:val="24"/>
          <w:szCs w:val="24"/>
        </w:rPr>
        <w:t xml:space="preserve">. </w:t>
      </w:r>
    </w:p>
    <w:p w14:paraId="37A82A28" w14:textId="452FFFE5" w:rsidR="005201BB" w:rsidRDefault="00385CB9">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sidRPr="00385CB9">
        <w:rPr>
          <w:rFonts w:ascii="Times New Roman" w:eastAsia="Times New Roman" w:hAnsi="Times New Roman" w:cs="Times New Roman"/>
          <w:color w:val="000000"/>
          <w:sz w:val="24"/>
          <w:szCs w:val="24"/>
        </w:rPr>
        <w:t>Основната цел на настоящата статия е да се анализират подходите и използващите се методи при процеса на обучение и професионално развитие на човешките ресурси в софтуерните компании</w:t>
      </w:r>
      <w:r w:rsidR="00C834B5">
        <w:rPr>
          <w:rFonts w:ascii="Times New Roman" w:eastAsia="Times New Roman" w:hAnsi="Times New Roman" w:cs="Times New Roman"/>
          <w:color w:val="000000"/>
          <w:sz w:val="24"/>
          <w:szCs w:val="24"/>
        </w:rPr>
        <w:t>.</w:t>
      </w:r>
    </w:p>
    <w:p w14:paraId="260CDAE9" w14:textId="2BB2A6A8" w:rsidR="00833109" w:rsidRDefault="00C834B5" w:rsidP="00BD7D53">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 база проучванията на прилаганите подходи и методологии се извеждат заключения, целящи подобряване процеса на развитие на персонала в компаниите, които да бъдат основа за създаването на автоматизирана система </w:t>
      </w:r>
      <w:r w:rsidR="00B63992">
        <w:rPr>
          <w:rFonts w:ascii="Times New Roman" w:eastAsia="Times New Roman" w:hAnsi="Times New Roman" w:cs="Times New Roman"/>
          <w:color w:val="000000"/>
          <w:sz w:val="24"/>
          <w:szCs w:val="24"/>
        </w:rPr>
        <w:t>за подбор</w:t>
      </w:r>
      <w:r w:rsidR="00DB517C">
        <w:rPr>
          <w:rFonts w:ascii="Times New Roman" w:eastAsia="Times New Roman" w:hAnsi="Times New Roman" w:cs="Times New Roman"/>
          <w:color w:val="000000"/>
          <w:sz w:val="24"/>
          <w:szCs w:val="24"/>
        </w:rPr>
        <w:t xml:space="preserve"> и професионално</w:t>
      </w:r>
      <w:r w:rsidR="00B6399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lastRenderedPageBreak/>
        <w:t xml:space="preserve">развитие </w:t>
      </w:r>
      <w:r w:rsidR="00DB517C">
        <w:rPr>
          <w:rFonts w:ascii="Times New Roman" w:eastAsia="Times New Roman" w:hAnsi="Times New Roman" w:cs="Times New Roman"/>
          <w:color w:val="000000"/>
          <w:sz w:val="24"/>
          <w:szCs w:val="24"/>
        </w:rPr>
        <w:t xml:space="preserve">на </w:t>
      </w:r>
      <w:r>
        <w:rPr>
          <w:rFonts w:ascii="Times New Roman" w:eastAsia="Times New Roman" w:hAnsi="Times New Roman" w:cs="Times New Roman"/>
          <w:color w:val="000000"/>
          <w:sz w:val="24"/>
          <w:szCs w:val="24"/>
        </w:rPr>
        <w:t>персонала</w:t>
      </w:r>
      <w:r w:rsidR="00B63992">
        <w:rPr>
          <w:rFonts w:ascii="Times New Roman" w:eastAsia="Times New Roman" w:hAnsi="Times New Roman" w:cs="Times New Roman"/>
          <w:color w:val="000000"/>
          <w:sz w:val="24"/>
          <w:szCs w:val="24"/>
        </w:rPr>
        <w:t xml:space="preserve"> в ИТ бизнеса, </w:t>
      </w:r>
      <w:r w:rsidR="005A7EDB">
        <w:rPr>
          <w:rFonts w:ascii="Times New Roman" w:eastAsia="Times New Roman" w:hAnsi="Times New Roman" w:cs="Times New Roman"/>
          <w:color w:val="000000"/>
          <w:sz w:val="24"/>
          <w:szCs w:val="24"/>
        </w:rPr>
        <w:t>целяща увеличаване на</w:t>
      </w:r>
      <w:r w:rsidR="00B63992">
        <w:rPr>
          <w:rFonts w:ascii="Times New Roman" w:eastAsia="Times New Roman" w:hAnsi="Times New Roman" w:cs="Times New Roman"/>
          <w:color w:val="000000"/>
          <w:sz w:val="24"/>
          <w:szCs w:val="24"/>
        </w:rPr>
        <w:t xml:space="preserve"> положителните ефекти при управлението му</w:t>
      </w:r>
      <w:r>
        <w:rPr>
          <w:rFonts w:ascii="Times New Roman" w:eastAsia="Times New Roman" w:hAnsi="Times New Roman" w:cs="Times New Roman"/>
          <w:color w:val="000000"/>
          <w:sz w:val="24"/>
          <w:szCs w:val="24"/>
        </w:rPr>
        <w:t>.</w:t>
      </w:r>
    </w:p>
    <w:p w14:paraId="6B8A71A4" w14:textId="77777777" w:rsidR="005201BB" w:rsidRDefault="005201BB" w:rsidP="008F12B2">
      <w:pPr>
        <w:tabs>
          <w:tab w:val="left" w:pos="1134"/>
        </w:tabs>
        <w:spacing w:after="0" w:line="360" w:lineRule="auto"/>
        <w:ind w:firstLine="567"/>
        <w:jc w:val="both"/>
        <w:rPr>
          <w:rFonts w:ascii="Times New Roman" w:eastAsia="Times New Roman" w:hAnsi="Times New Roman" w:cs="Times New Roman"/>
          <w:sz w:val="24"/>
          <w:szCs w:val="24"/>
        </w:rPr>
      </w:pPr>
    </w:p>
    <w:p w14:paraId="39368D3A" w14:textId="5A4356A0" w:rsidR="005201BB" w:rsidRPr="00B072C8" w:rsidRDefault="00796D93" w:rsidP="008F12B2">
      <w:pPr>
        <w:pStyle w:val="Article-section-title"/>
        <w:numPr>
          <w:ilvl w:val="0"/>
          <w:numId w:val="5"/>
        </w:numPr>
        <w:ind w:left="0" w:firstLine="709"/>
        <w:rPr>
          <w:rFonts w:eastAsiaTheme="minorHAnsi"/>
        </w:rPr>
      </w:pPr>
      <w:r>
        <w:rPr>
          <w:rFonts w:eastAsiaTheme="minorHAnsi"/>
        </w:rPr>
        <w:t>Подходи и модели</w:t>
      </w:r>
      <w:r w:rsidR="00AC4185">
        <w:rPr>
          <w:rFonts w:eastAsiaTheme="minorHAnsi"/>
        </w:rPr>
        <w:t xml:space="preserve"> </w:t>
      </w:r>
      <w:r w:rsidR="00C834B5" w:rsidRPr="00B072C8">
        <w:rPr>
          <w:rFonts w:eastAsiaTheme="minorHAnsi"/>
        </w:rPr>
        <w:t xml:space="preserve">за </w:t>
      </w:r>
      <w:r w:rsidR="001D25A2">
        <w:rPr>
          <w:rFonts w:eastAsiaTheme="minorHAnsi"/>
        </w:rPr>
        <w:t xml:space="preserve">професионално </w:t>
      </w:r>
      <w:r w:rsidR="00C834B5" w:rsidRPr="00B072C8">
        <w:rPr>
          <w:rFonts w:eastAsiaTheme="minorHAnsi"/>
        </w:rPr>
        <w:t>развитие на човешки ресурси</w:t>
      </w:r>
      <w:r w:rsidR="009637EC">
        <w:rPr>
          <w:rFonts w:eastAsiaTheme="minorHAnsi"/>
        </w:rPr>
        <w:t xml:space="preserve"> в софтуерния бизнес</w:t>
      </w:r>
    </w:p>
    <w:p w14:paraId="7CD4AC3B" w14:textId="15706AF4" w:rsidR="005201BB" w:rsidRDefault="0042546E">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Софтуерните о</w:t>
      </w:r>
      <w:r w:rsidR="00C834B5">
        <w:rPr>
          <w:rFonts w:ascii="Times New Roman" w:eastAsia="Times New Roman" w:hAnsi="Times New Roman" w:cs="Times New Roman"/>
          <w:color w:val="000000"/>
          <w:sz w:val="24"/>
          <w:szCs w:val="24"/>
        </w:rPr>
        <w:t>рганизации все повече се стремят към оптимизиране на процесите, внедряване на нови практики, технологии и подобряване на  използването на ресурсите си, с цел постигане на своите цели</w:t>
      </w:r>
      <w:r w:rsidR="002D0D9C">
        <w:rPr>
          <w:rFonts w:ascii="Times New Roman" w:eastAsia="Times New Roman" w:hAnsi="Times New Roman" w:cs="Times New Roman"/>
          <w:color w:val="000000"/>
          <w:sz w:val="24"/>
          <w:szCs w:val="24"/>
        </w:rPr>
        <w:t xml:space="preserve"> (Кечева, 2020)</w:t>
      </w:r>
      <w:r w:rsidR="00C834B5">
        <w:rPr>
          <w:rFonts w:ascii="Times New Roman" w:eastAsia="Times New Roman" w:hAnsi="Times New Roman" w:cs="Times New Roman"/>
          <w:color w:val="000000"/>
          <w:sz w:val="24"/>
          <w:szCs w:val="24"/>
        </w:rPr>
        <w:t xml:space="preserve">. Човешкият капитал е една от основните движещи сили за фирмите. Мениджърите все повече насочват усилията си върху знанията, уменията и способностите на заетите, към </w:t>
      </w:r>
      <w:r w:rsidR="00C834B5">
        <w:rPr>
          <w:rFonts w:ascii="Times New Roman" w:eastAsia="Times New Roman" w:hAnsi="Times New Roman" w:cs="Times New Roman"/>
          <w:sz w:val="24"/>
          <w:szCs w:val="24"/>
        </w:rPr>
        <w:t xml:space="preserve">постигането на дългосрочни положителни </w:t>
      </w:r>
      <w:r w:rsidR="00C834B5">
        <w:rPr>
          <w:rFonts w:ascii="Times New Roman" w:eastAsia="Times New Roman" w:hAnsi="Times New Roman" w:cs="Times New Roman"/>
          <w:color w:val="000000"/>
          <w:sz w:val="24"/>
          <w:szCs w:val="24"/>
        </w:rPr>
        <w:t>резултати</w:t>
      </w:r>
      <w:r w:rsidR="00C834B5">
        <w:rPr>
          <w:rFonts w:ascii="Times New Roman" w:eastAsia="Times New Roman" w:hAnsi="Times New Roman" w:cs="Times New Roman"/>
          <w:sz w:val="24"/>
          <w:szCs w:val="24"/>
        </w:rPr>
        <w:t xml:space="preserve"> в полза </w:t>
      </w:r>
      <w:r w:rsidR="00E90FCA">
        <w:rPr>
          <w:rFonts w:ascii="Times New Roman" w:eastAsia="Times New Roman" w:hAnsi="Times New Roman" w:cs="Times New Roman"/>
          <w:sz w:val="24"/>
          <w:szCs w:val="24"/>
        </w:rPr>
        <w:t>постигане на икономическ</w:t>
      </w:r>
      <w:r w:rsidR="00644919">
        <w:rPr>
          <w:rFonts w:ascii="Times New Roman" w:eastAsia="Times New Roman" w:hAnsi="Times New Roman" w:cs="Times New Roman"/>
          <w:sz w:val="24"/>
          <w:szCs w:val="24"/>
        </w:rPr>
        <w:t xml:space="preserve">о, технологично и социално развитие на </w:t>
      </w:r>
      <w:r w:rsidR="00E90FCA">
        <w:rPr>
          <w:rFonts w:ascii="Times New Roman" w:eastAsia="Times New Roman" w:hAnsi="Times New Roman" w:cs="Times New Roman"/>
          <w:sz w:val="24"/>
          <w:szCs w:val="24"/>
        </w:rPr>
        <w:t>компаниите</w:t>
      </w:r>
      <w:r w:rsidR="00C834B5">
        <w:rPr>
          <w:rFonts w:ascii="Times New Roman" w:eastAsia="Times New Roman" w:hAnsi="Times New Roman" w:cs="Times New Roman"/>
          <w:sz w:val="24"/>
          <w:szCs w:val="24"/>
        </w:rPr>
        <w:t>.</w:t>
      </w:r>
      <w:r w:rsidR="00C834B5">
        <w:rPr>
          <w:rFonts w:ascii="Times New Roman" w:eastAsia="Times New Roman" w:hAnsi="Times New Roman" w:cs="Times New Roman"/>
          <w:color w:val="000000"/>
          <w:sz w:val="24"/>
          <w:szCs w:val="24"/>
        </w:rPr>
        <w:t xml:space="preserve"> </w:t>
      </w:r>
    </w:p>
    <w:p w14:paraId="080E1A54" w14:textId="4D185D69" w:rsidR="00EF3798" w:rsidRDefault="00C834B5">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Управлението на човешки ресурси е </w:t>
      </w:r>
      <w:r>
        <w:rPr>
          <w:rFonts w:ascii="Times New Roman" w:eastAsia="Times New Roman" w:hAnsi="Times New Roman" w:cs="Times New Roman"/>
          <w:sz w:val="24"/>
          <w:szCs w:val="24"/>
        </w:rPr>
        <w:t>сложен и комплексен</w:t>
      </w:r>
      <w:r>
        <w:rPr>
          <w:rFonts w:ascii="Times New Roman" w:eastAsia="Times New Roman" w:hAnsi="Times New Roman" w:cs="Times New Roman"/>
          <w:color w:val="000000"/>
          <w:sz w:val="24"/>
          <w:szCs w:val="24"/>
        </w:rPr>
        <w:t xml:space="preserve"> процес от дейности, носещи ползи, както</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за </w:t>
      </w:r>
      <w:r w:rsidR="00644919">
        <w:rPr>
          <w:rFonts w:ascii="Times New Roman" w:eastAsia="Times New Roman" w:hAnsi="Times New Roman" w:cs="Times New Roman"/>
          <w:color w:val="000000"/>
          <w:sz w:val="24"/>
          <w:szCs w:val="24"/>
        </w:rPr>
        <w:t>всеки един служител поотделно</w:t>
      </w:r>
      <w:r>
        <w:rPr>
          <w:rFonts w:ascii="Times New Roman" w:eastAsia="Times New Roman" w:hAnsi="Times New Roman" w:cs="Times New Roman"/>
          <w:color w:val="000000"/>
          <w:sz w:val="24"/>
          <w:szCs w:val="24"/>
        </w:rPr>
        <w:t xml:space="preserve">, така и за </w:t>
      </w:r>
      <w:r w:rsidR="00644919" w:rsidRPr="001D25A2">
        <w:rPr>
          <w:rFonts w:ascii="Times New Roman" w:eastAsia="Times New Roman" w:hAnsi="Times New Roman" w:cs="Times New Roman"/>
          <w:color w:val="000000"/>
          <w:sz w:val="24"/>
          <w:szCs w:val="24"/>
        </w:rPr>
        <w:t>цялостното</w:t>
      </w:r>
      <w:r w:rsidR="00644919">
        <w:rPr>
          <w:rFonts w:ascii="Times New Roman" w:eastAsia="Times New Roman" w:hAnsi="Times New Roman" w:cs="Times New Roman"/>
          <w:color w:val="000000"/>
          <w:sz w:val="24"/>
          <w:szCs w:val="24"/>
        </w:rPr>
        <w:t xml:space="preserve"> благосъстояние на софтуерните фирми</w:t>
      </w:r>
      <w:r w:rsidR="00D87A20">
        <w:rPr>
          <w:rFonts w:ascii="Times New Roman" w:eastAsia="Times New Roman" w:hAnsi="Times New Roman" w:cs="Times New Roman"/>
          <w:color w:val="000000"/>
          <w:sz w:val="24"/>
          <w:szCs w:val="24"/>
        </w:rPr>
        <w:t xml:space="preserve"> (</w:t>
      </w:r>
      <w:proofErr w:type="spellStart"/>
      <w:r w:rsidR="008D727C">
        <w:rPr>
          <w:rFonts w:ascii="Times New Roman" w:eastAsia="Times New Roman" w:hAnsi="Times New Roman" w:cs="Times New Roman"/>
          <w:color w:val="000000"/>
          <w:sz w:val="24"/>
          <w:szCs w:val="24"/>
          <w:lang w:val="en-US"/>
        </w:rPr>
        <w:t>Atanasova</w:t>
      </w:r>
      <w:proofErr w:type="spellEnd"/>
      <w:r w:rsidR="00D87A20">
        <w:rPr>
          <w:rFonts w:ascii="Times New Roman" w:eastAsia="Times New Roman" w:hAnsi="Times New Roman" w:cs="Times New Roman"/>
          <w:color w:val="000000"/>
          <w:sz w:val="24"/>
          <w:szCs w:val="24"/>
        </w:rPr>
        <w:t xml:space="preserve">, </w:t>
      </w:r>
      <w:r w:rsidR="004E43B4">
        <w:rPr>
          <w:rFonts w:ascii="Times New Roman" w:eastAsia="Times New Roman" w:hAnsi="Times New Roman" w:cs="Times New Roman"/>
          <w:color w:val="000000"/>
          <w:sz w:val="24"/>
          <w:szCs w:val="24"/>
        </w:rPr>
        <w:t>2017</w:t>
      </w:r>
      <w:r w:rsidR="00D87A2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До началото на миналия век се счита, че персоналът е ресурс, като всички останали фирмени ресурси, </w:t>
      </w:r>
      <w:r>
        <w:rPr>
          <w:rFonts w:ascii="Times New Roman" w:eastAsia="Times New Roman" w:hAnsi="Times New Roman" w:cs="Times New Roman"/>
          <w:sz w:val="24"/>
          <w:szCs w:val="24"/>
        </w:rPr>
        <w:t>подложен</w:t>
      </w:r>
      <w:r>
        <w:rPr>
          <w:rFonts w:ascii="Times New Roman" w:eastAsia="Times New Roman" w:hAnsi="Times New Roman" w:cs="Times New Roman"/>
          <w:color w:val="000000"/>
          <w:sz w:val="24"/>
          <w:szCs w:val="24"/>
        </w:rPr>
        <w:t xml:space="preserve"> на строги правила, контрол и без да се влагат усилия в посока неговото развитие и усъвършенстване</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С</w:t>
      </w:r>
      <w:r>
        <w:rPr>
          <w:rFonts w:ascii="Times New Roman" w:eastAsia="Times New Roman" w:hAnsi="Times New Roman" w:cs="Times New Roman"/>
          <w:color w:val="000000"/>
          <w:sz w:val="24"/>
          <w:szCs w:val="24"/>
        </w:rPr>
        <w:t xml:space="preserve"> времето </w:t>
      </w:r>
      <w:r w:rsidR="00796D93">
        <w:rPr>
          <w:rFonts w:ascii="Times New Roman" w:eastAsia="Times New Roman" w:hAnsi="Times New Roman" w:cs="Times New Roman"/>
          <w:color w:val="000000"/>
          <w:sz w:val="24"/>
          <w:szCs w:val="24"/>
        </w:rPr>
        <w:t xml:space="preserve">понятието „човешки ресурси“ </w:t>
      </w:r>
      <w:r>
        <w:rPr>
          <w:rFonts w:ascii="Times New Roman" w:eastAsia="Times New Roman" w:hAnsi="Times New Roman" w:cs="Times New Roman"/>
          <w:color w:val="000000"/>
          <w:sz w:val="24"/>
          <w:szCs w:val="24"/>
        </w:rPr>
        <w:t>придобива ново значение за организациите и се превръща във водеща сила</w:t>
      </w:r>
      <w:r w:rsidR="00644919">
        <w:rPr>
          <w:rFonts w:ascii="Times New Roman" w:eastAsia="Times New Roman" w:hAnsi="Times New Roman" w:cs="Times New Roman"/>
          <w:color w:val="000000"/>
          <w:sz w:val="24"/>
          <w:szCs w:val="24"/>
        </w:rPr>
        <w:t xml:space="preserve">. </w:t>
      </w:r>
    </w:p>
    <w:p w14:paraId="05E03C30" w14:textId="3EDF2CA8" w:rsidR="005201BB" w:rsidRDefault="00004274" w:rsidP="00EF3798">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Съществуват различни подходи и модели за професионално управление на човешки ресурси. Те могат да бъдат класифицирани като подходи, акцентиращи върху самите хора в организациите</w:t>
      </w:r>
      <w:r w:rsidR="00B867D8">
        <w:rPr>
          <w:rFonts w:ascii="Times New Roman" w:eastAsia="Times New Roman" w:hAnsi="Times New Roman" w:cs="Times New Roman"/>
          <w:color w:val="000000"/>
          <w:sz w:val="24"/>
          <w:szCs w:val="24"/>
        </w:rPr>
        <w:t>, каквито са социалният и системният подход</w:t>
      </w:r>
      <w:r>
        <w:rPr>
          <w:rFonts w:ascii="Times New Roman" w:eastAsia="Times New Roman" w:hAnsi="Times New Roman" w:cs="Times New Roman"/>
          <w:color w:val="000000"/>
          <w:sz w:val="24"/>
          <w:szCs w:val="24"/>
        </w:rPr>
        <w:t xml:space="preserve">  и модели за устойчиво управление на човешки ресурси</w:t>
      </w:r>
      <w:r w:rsidR="00B867D8">
        <w:rPr>
          <w:rFonts w:ascii="Times New Roman" w:eastAsia="Times New Roman" w:hAnsi="Times New Roman" w:cs="Times New Roman"/>
          <w:color w:val="000000"/>
          <w:sz w:val="24"/>
          <w:szCs w:val="24"/>
        </w:rPr>
        <w:t>, като м</w:t>
      </w:r>
      <w:r w:rsidR="00B867D8" w:rsidRPr="00B867D8">
        <w:rPr>
          <w:rFonts w:ascii="Times New Roman" w:eastAsia="Times New Roman" w:hAnsi="Times New Roman" w:cs="Times New Roman"/>
          <w:color w:val="000000"/>
          <w:sz w:val="24"/>
          <w:szCs w:val="24"/>
        </w:rPr>
        <w:t>одел</w:t>
      </w:r>
      <w:r w:rsidR="00B867D8">
        <w:rPr>
          <w:rFonts w:ascii="Times New Roman" w:eastAsia="Times New Roman" w:hAnsi="Times New Roman" w:cs="Times New Roman"/>
          <w:color w:val="000000"/>
          <w:sz w:val="24"/>
          <w:szCs w:val="24"/>
        </w:rPr>
        <w:t>а</w:t>
      </w:r>
      <w:r w:rsidR="00B867D8" w:rsidRPr="00B867D8">
        <w:rPr>
          <w:rFonts w:ascii="Times New Roman" w:eastAsia="Times New Roman" w:hAnsi="Times New Roman" w:cs="Times New Roman"/>
          <w:color w:val="000000"/>
          <w:sz w:val="24"/>
          <w:szCs w:val="24"/>
        </w:rPr>
        <w:t xml:space="preserve"> на Енерт</w:t>
      </w:r>
      <w:r w:rsidR="00B867D8">
        <w:rPr>
          <w:rFonts w:ascii="Times New Roman" w:eastAsia="Times New Roman" w:hAnsi="Times New Roman" w:cs="Times New Roman"/>
          <w:color w:val="000000"/>
          <w:sz w:val="24"/>
          <w:szCs w:val="24"/>
        </w:rPr>
        <w:t xml:space="preserve">, </w:t>
      </w:r>
      <w:r w:rsidR="00B867D8" w:rsidRPr="00B867D8">
        <w:rPr>
          <w:rFonts w:ascii="Times New Roman" w:eastAsia="Times New Roman" w:hAnsi="Times New Roman" w:cs="Times New Roman"/>
          <w:color w:val="000000"/>
          <w:sz w:val="24"/>
          <w:szCs w:val="24"/>
        </w:rPr>
        <w:t>модел</w:t>
      </w:r>
      <w:r w:rsidR="00B867D8">
        <w:rPr>
          <w:rFonts w:ascii="Times New Roman" w:eastAsia="Times New Roman" w:hAnsi="Times New Roman" w:cs="Times New Roman"/>
          <w:color w:val="000000"/>
          <w:sz w:val="24"/>
          <w:szCs w:val="24"/>
        </w:rPr>
        <w:t>а</w:t>
      </w:r>
      <w:r w:rsidR="00B867D8" w:rsidRPr="00B867D8">
        <w:rPr>
          <w:rFonts w:ascii="Times New Roman" w:eastAsia="Times New Roman" w:hAnsi="Times New Roman" w:cs="Times New Roman"/>
          <w:color w:val="000000"/>
          <w:sz w:val="24"/>
          <w:szCs w:val="24"/>
        </w:rPr>
        <w:t xml:space="preserve"> „7S“ на Маккинзи</w:t>
      </w:r>
      <w:r w:rsidR="00B867D8">
        <w:rPr>
          <w:rFonts w:ascii="Times New Roman" w:eastAsia="Times New Roman" w:hAnsi="Times New Roman" w:cs="Times New Roman"/>
          <w:color w:val="000000"/>
          <w:sz w:val="24"/>
          <w:szCs w:val="24"/>
        </w:rPr>
        <w:t>,</w:t>
      </w:r>
      <w:r w:rsidR="00B867D8" w:rsidRPr="00B867D8">
        <w:rPr>
          <w:rFonts w:ascii="Times New Roman" w:eastAsia="Times New Roman" w:hAnsi="Times New Roman" w:cs="Times New Roman"/>
          <w:b/>
          <w:bCs/>
          <w:sz w:val="24"/>
          <w:szCs w:val="24"/>
        </w:rPr>
        <w:t xml:space="preserve"> </w:t>
      </w:r>
      <w:r w:rsidR="00EF3798">
        <w:rPr>
          <w:rFonts w:ascii="Times New Roman" w:eastAsia="Times New Roman" w:hAnsi="Times New Roman" w:cs="Times New Roman"/>
          <w:color w:val="000000"/>
          <w:sz w:val="24"/>
          <w:szCs w:val="24"/>
        </w:rPr>
        <w:t>м</w:t>
      </w:r>
      <w:r w:rsidR="00B867D8" w:rsidRPr="00B867D8">
        <w:rPr>
          <w:rFonts w:ascii="Times New Roman" w:eastAsia="Times New Roman" w:hAnsi="Times New Roman" w:cs="Times New Roman"/>
          <w:color w:val="000000"/>
          <w:sz w:val="24"/>
          <w:szCs w:val="24"/>
        </w:rPr>
        <w:t>одел</w:t>
      </w:r>
      <w:r w:rsidR="00EF3798">
        <w:rPr>
          <w:rFonts w:ascii="Times New Roman" w:eastAsia="Times New Roman" w:hAnsi="Times New Roman" w:cs="Times New Roman"/>
          <w:color w:val="000000"/>
          <w:sz w:val="24"/>
          <w:szCs w:val="24"/>
        </w:rPr>
        <w:t>а</w:t>
      </w:r>
      <w:r w:rsidR="00B867D8" w:rsidRPr="00B867D8">
        <w:rPr>
          <w:rFonts w:ascii="Times New Roman" w:eastAsia="Times New Roman" w:hAnsi="Times New Roman" w:cs="Times New Roman"/>
          <w:color w:val="000000"/>
          <w:sz w:val="24"/>
          <w:szCs w:val="24"/>
        </w:rPr>
        <w:t xml:space="preserve"> на Доналд Къркпатрик, модел</w:t>
      </w:r>
      <w:r w:rsidR="00EF3798">
        <w:rPr>
          <w:rFonts w:ascii="Times New Roman" w:eastAsia="Times New Roman" w:hAnsi="Times New Roman" w:cs="Times New Roman"/>
          <w:color w:val="000000"/>
          <w:sz w:val="24"/>
          <w:szCs w:val="24"/>
        </w:rPr>
        <w:t>а</w:t>
      </w:r>
      <w:r w:rsidR="00B867D8" w:rsidRPr="00B867D8">
        <w:rPr>
          <w:rFonts w:ascii="Times New Roman" w:eastAsia="Times New Roman" w:hAnsi="Times New Roman" w:cs="Times New Roman"/>
          <w:color w:val="000000"/>
          <w:sz w:val="24"/>
          <w:szCs w:val="24"/>
        </w:rPr>
        <w:t xml:space="preserve"> на Епщайн</w:t>
      </w:r>
      <w:r w:rsidR="00B867D8">
        <w:rPr>
          <w:rFonts w:ascii="Times New Roman" w:eastAsia="Times New Roman" w:hAnsi="Times New Roman" w:cs="Times New Roman"/>
          <w:color w:val="000000"/>
          <w:sz w:val="24"/>
          <w:szCs w:val="24"/>
        </w:rPr>
        <w:t xml:space="preserve"> </w:t>
      </w:r>
      <w:r w:rsidR="00EF3798">
        <w:rPr>
          <w:rFonts w:ascii="Times New Roman" w:eastAsia="Times New Roman" w:hAnsi="Times New Roman" w:cs="Times New Roman"/>
          <w:color w:val="000000"/>
          <w:sz w:val="24"/>
          <w:szCs w:val="24"/>
        </w:rPr>
        <w:t>и с</w:t>
      </w:r>
      <w:r w:rsidR="00EF3798" w:rsidRPr="00EF3798">
        <w:rPr>
          <w:rFonts w:ascii="Times New Roman" w:eastAsia="Times New Roman" w:hAnsi="Times New Roman" w:cs="Times New Roman"/>
          <w:color w:val="000000"/>
          <w:sz w:val="24"/>
          <w:szCs w:val="24"/>
        </w:rPr>
        <w:t>тратегически алтернативи</w:t>
      </w:r>
      <w:r>
        <w:rPr>
          <w:rFonts w:ascii="Times New Roman" w:eastAsia="Times New Roman" w:hAnsi="Times New Roman" w:cs="Times New Roman"/>
          <w:color w:val="000000"/>
          <w:sz w:val="24"/>
          <w:szCs w:val="24"/>
        </w:rPr>
        <w:t xml:space="preserve">. </w:t>
      </w:r>
      <w:r w:rsidR="00EF3798">
        <w:rPr>
          <w:rFonts w:ascii="Times New Roman" w:eastAsia="Times New Roman" w:hAnsi="Times New Roman" w:cs="Times New Roman"/>
          <w:color w:val="000000"/>
          <w:sz w:val="24"/>
          <w:szCs w:val="24"/>
        </w:rPr>
        <w:t>При</w:t>
      </w:r>
      <w:r w:rsidR="00C834B5">
        <w:rPr>
          <w:rFonts w:ascii="Times New Roman" w:eastAsia="Times New Roman" w:hAnsi="Times New Roman" w:cs="Times New Roman"/>
          <w:color w:val="000000"/>
          <w:sz w:val="24"/>
          <w:szCs w:val="24"/>
        </w:rPr>
        <w:t xml:space="preserve"> </w:t>
      </w:r>
      <w:r w:rsidR="00C834B5">
        <w:rPr>
          <w:rFonts w:ascii="Times New Roman" w:eastAsia="Times New Roman" w:hAnsi="Times New Roman" w:cs="Times New Roman"/>
          <w:b/>
          <w:color w:val="000000"/>
          <w:sz w:val="24"/>
          <w:szCs w:val="24"/>
        </w:rPr>
        <w:t>социалния подход</w:t>
      </w:r>
      <w:r w:rsidR="00C834B5">
        <w:rPr>
          <w:rFonts w:ascii="Times New Roman" w:eastAsia="Times New Roman" w:hAnsi="Times New Roman" w:cs="Times New Roman"/>
          <w:color w:val="000000"/>
          <w:sz w:val="24"/>
          <w:szCs w:val="24"/>
        </w:rPr>
        <w:t xml:space="preserve"> при управлението на човешкия капитал</w:t>
      </w:r>
      <w:r w:rsidR="00C834B5">
        <w:rPr>
          <w:rFonts w:ascii="Times New Roman" w:eastAsia="Times New Roman" w:hAnsi="Times New Roman" w:cs="Times New Roman"/>
          <w:sz w:val="24"/>
          <w:szCs w:val="24"/>
        </w:rPr>
        <w:t xml:space="preserve"> се</w:t>
      </w:r>
      <w:r w:rsidR="00C834B5">
        <w:rPr>
          <w:rFonts w:ascii="Times New Roman" w:eastAsia="Times New Roman" w:hAnsi="Times New Roman" w:cs="Times New Roman"/>
          <w:color w:val="000000"/>
          <w:sz w:val="24"/>
          <w:szCs w:val="24"/>
        </w:rPr>
        <w:t xml:space="preserve"> </w:t>
      </w:r>
      <w:r w:rsidR="00EF3798">
        <w:rPr>
          <w:rFonts w:ascii="Times New Roman" w:eastAsia="Times New Roman" w:hAnsi="Times New Roman" w:cs="Times New Roman"/>
          <w:color w:val="000000"/>
          <w:sz w:val="24"/>
          <w:szCs w:val="24"/>
        </w:rPr>
        <w:t xml:space="preserve">изгражда </w:t>
      </w:r>
      <w:r w:rsidR="00C834B5">
        <w:rPr>
          <w:rFonts w:ascii="Times New Roman" w:eastAsia="Times New Roman" w:hAnsi="Times New Roman" w:cs="Times New Roman"/>
          <w:color w:val="000000"/>
          <w:sz w:val="24"/>
          <w:szCs w:val="24"/>
        </w:rPr>
        <w:t>корпоративна социална отговорност</w:t>
      </w:r>
      <w:r w:rsidR="00C834B5">
        <w:rPr>
          <w:rFonts w:ascii="Times New Roman" w:eastAsia="Times New Roman" w:hAnsi="Times New Roman" w:cs="Times New Roman"/>
          <w:sz w:val="24"/>
          <w:szCs w:val="24"/>
        </w:rPr>
        <w:t xml:space="preserve">, чрез </w:t>
      </w:r>
      <w:r w:rsidR="00C834B5">
        <w:rPr>
          <w:rFonts w:ascii="Times New Roman" w:eastAsia="Times New Roman" w:hAnsi="Times New Roman" w:cs="Times New Roman"/>
          <w:color w:val="000000"/>
          <w:sz w:val="24"/>
          <w:szCs w:val="24"/>
        </w:rPr>
        <w:t>прилагане на политики, свързани със спазване правата на човека, осигуряване на социална сигурност и безопасни условия за труд, изграждане на стандарти за етично поведение, производствена политика и политика по отношение на клиентите, политика по отношение на околната среда, социални придобивки и други (</w:t>
      </w:r>
      <w:r w:rsidR="008D727C">
        <w:rPr>
          <w:rFonts w:ascii="Times New Roman" w:eastAsia="Times New Roman" w:hAnsi="Times New Roman" w:cs="Times New Roman"/>
          <w:color w:val="000000"/>
          <w:sz w:val="24"/>
          <w:szCs w:val="24"/>
          <w:lang w:val="en-US"/>
        </w:rPr>
        <w:t>Antonova</w:t>
      </w:r>
      <w:r w:rsidR="00D87A20">
        <w:rPr>
          <w:rFonts w:ascii="Times New Roman" w:eastAsia="Times New Roman" w:hAnsi="Times New Roman" w:cs="Times New Roman"/>
          <w:color w:val="000000"/>
          <w:sz w:val="24"/>
          <w:szCs w:val="24"/>
          <w:lang w:val="en-US"/>
        </w:rPr>
        <w:t>, 2017</w:t>
      </w:r>
      <w:r w:rsidR="00C834B5">
        <w:rPr>
          <w:rFonts w:ascii="Times New Roman" w:eastAsia="Times New Roman" w:hAnsi="Times New Roman" w:cs="Times New Roman"/>
          <w:color w:val="000000"/>
          <w:sz w:val="24"/>
          <w:szCs w:val="24"/>
        </w:rPr>
        <w:t xml:space="preserve">).  </w:t>
      </w:r>
    </w:p>
    <w:p w14:paraId="0671AE85" w14:textId="51473D77" w:rsidR="005201BB" w:rsidRDefault="00C834B5">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Управлението на </w:t>
      </w:r>
      <w:r>
        <w:rPr>
          <w:rFonts w:ascii="Times New Roman" w:eastAsia="Times New Roman" w:hAnsi="Times New Roman" w:cs="Times New Roman"/>
          <w:sz w:val="24"/>
          <w:szCs w:val="24"/>
        </w:rPr>
        <w:t>човешки ресурси често се представя, като</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съвкупност от механични действия и </w:t>
      </w:r>
      <w:r>
        <w:rPr>
          <w:rFonts w:ascii="Times New Roman" w:eastAsia="Times New Roman" w:hAnsi="Times New Roman" w:cs="Times New Roman"/>
          <w:color w:val="000000"/>
          <w:sz w:val="24"/>
          <w:szCs w:val="24"/>
        </w:rPr>
        <w:t xml:space="preserve">управленски решения относно проблемите, свързани със служителите в организацията. При </w:t>
      </w:r>
      <w:r>
        <w:rPr>
          <w:rFonts w:ascii="Times New Roman" w:eastAsia="Times New Roman" w:hAnsi="Times New Roman" w:cs="Times New Roman"/>
          <w:b/>
          <w:color w:val="000000"/>
          <w:sz w:val="24"/>
          <w:szCs w:val="24"/>
        </w:rPr>
        <w:t>системния подход</w:t>
      </w:r>
      <w:r>
        <w:rPr>
          <w:rFonts w:ascii="Times New Roman" w:eastAsia="Times New Roman" w:hAnsi="Times New Roman" w:cs="Times New Roman"/>
          <w:color w:val="000000"/>
          <w:sz w:val="24"/>
          <w:szCs w:val="24"/>
        </w:rPr>
        <w:t xml:space="preserve"> в управлението на хората в организацията всички дейности се разглеждат като </w:t>
      </w:r>
      <w:r>
        <w:rPr>
          <w:rFonts w:ascii="Times New Roman" w:eastAsia="Times New Roman" w:hAnsi="Times New Roman" w:cs="Times New Roman"/>
          <w:sz w:val="24"/>
          <w:szCs w:val="24"/>
        </w:rPr>
        <w:t>взаимосвързани</w:t>
      </w:r>
      <w:r>
        <w:rPr>
          <w:rFonts w:ascii="Times New Roman" w:eastAsia="Times New Roman" w:hAnsi="Times New Roman" w:cs="Times New Roman"/>
          <w:color w:val="000000"/>
          <w:sz w:val="24"/>
          <w:szCs w:val="24"/>
        </w:rPr>
        <w:t xml:space="preserve"> процеси, като се </w:t>
      </w:r>
      <w:r>
        <w:rPr>
          <w:rFonts w:ascii="Times New Roman" w:eastAsia="Times New Roman" w:hAnsi="Times New Roman" w:cs="Times New Roman"/>
          <w:color w:val="000000"/>
          <w:sz w:val="24"/>
          <w:szCs w:val="24"/>
        </w:rPr>
        <w:lastRenderedPageBreak/>
        <w:t>отчита и влиян</w:t>
      </w:r>
      <w:r>
        <w:rPr>
          <w:rFonts w:ascii="Times New Roman" w:eastAsia="Times New Roman" w:hAnsi="Times New Roman" w:cs="Times New Roman"/>
          <w:sz w:val="24"/>
          <w:szCs w:val="24"/>
        </w:rPr>
        <w:t xml:space="preserve">ието на </w:t>
      </w:r>
      <w:r>
        <w:rPr>
          <w:rFonts w:ascii="Times New Roman" w:eastAsia="Times New Roman" w:hAnsi="Times New Roman" w:cs="Times New Roman"/>
          <w:color w:val="000000"/>
          <w:sz w:val="24"/>
          <w:szCs w:val="24"/>
        </w:rPr>
        <w:t>вътрешните и външните фактори върху системата</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Поставя се </w:t>
      </w:r>
      <w:r>
        <w:rPr>
          <w:rFonts w:ascii="Times New Roman" w:eastAsia="Times New Roman" w:hAnsi="Times New Roman" w:cs="Times New Roman"/>
          <w:color w:val="000000"/>
          <w:sz w:val="24"/>
          <w:szCs w:val="24"/>
        </w:rPr>
        <w:t xml:space="preserve">акцент </w:t>
      </w:r>
      <w:r>
        <w:rPr>
          <w:rFonts w:ascii="Times New Roman" w:eastAsia="Times New Roman" w:hAnsi="Times New Roman" w:cs="Times New Roman"/>
          <w:sz w:val="24"/>
          <w:szCs w:val="24"/>
        </w:rPr>
        <w:t>върху</w:t>
      </w:r>
      <w:r>
        <w:rPr>
          <w:rFonts w:ascii="Times New Roman" w:eastAsia="Times New Roman" w:hAnsi="Times New Roman" w:cs="Times New Roman"/>
          <w:color w:val="000000"/>
          <w:sz w:val="24"/>
          <w:szCs w:val="24"/>
        </w:rPr>
        <w:t xml:space="preserve"> развитието и управлението на хората и екипите в организацията и постигането на корпоративните цели. Към системния подход се вкл</w:t>
      </w:r>
      <w:r>
        <w:rPr>
          <w:rFonts w:ascii="Times New Roman" w:eastAsia="Times New Roman" w:hAnsi="Times New Roman" w:cs="Times New Roman"/>
          <w:sz w:val="24"/>
          <w:szCs w:val="24"/>
        </w:rPr>
        <w:t>ю</w:t>
      </w:r>
      <w:r>
        <w:rPr>
          <w:rFonts w:ascii="Times New Roman" w:eastAsia="Times New Roman" w:hAnsi="Times New Roman" w:cs="Times New Roman"/>
          <w:color w:val="000000"/>
          <w:sz w:val="24"/>
          <w:szCs w:val="24"/>
        </w:rPr>
        <w:t xml:space="preserve">чват: усъвършенстване на заетите лица чрез обучение, привличане и управление на таланти, управление на ангажираността на заетите лица и промяна в </w:t>
      </w:r>
      <w:r>
        <w:rPr>
          <w:rFonts w:ascii="Times New Roman" w:eastAsia="Times New Roman" w:hAnsi="Times New Roman" w:cs="Times New Roman"/>
          <w:sz w:val="24"/>
          <w:szCs w:val="24"/>
        </w:rPr>
        <w:t xml:space="preserve">значението на </w:t>
      </w:r>
      <w:r>
        <w:rPr>
          <w:rFonts w:ascii="Times New Roman" w:eastAsia="Times New Roman" w:hAnsi="Times New Roman" w:cs="Times New Roman"/>
          <w:color w:val="000000"/>
          <w:sz w:val="24"/>
          <w:szCs w:val="24"/>
        </w:rPr>
        <w:t>лидерството</w:t>
      </w:r>
      <w:r>
        <w:rPr>
          <w:rFonts w:ascii="Times New Roman" w:eastAsia="Times New Roman" w:hAnsi="Times New Roman" w:cs="Times New Roman"/>
          <w:sz w:val="24"/>
          <w:szCs w:val="24"/>
        </w:rPr>
        <w:t xml:space="preserve"> като начин на поведение и управление</w:t>
      </w:r>
      <w:r>
        <w:rPr>
          <w:rFonts w:ascii="Times New Roman" w:eastAsia="Times New Roman" w:hAnsi="Times New Roman" w:cs="Times New Roman"/>
          <w:color w:val="000000"/>
          <w:sz w:val="24"/>
          <w:szCs w:val="24"/>
        </w:rPr>
        <w:t>.</w:t>
      </w:r>
      <w:r w:rsidR="00116B5E">
        <w:rPr>
          <w:rFonts w:ascii="Times New Roman" w:eastAsia="Times New Roman" w:hAnsi="Times New Roman" w:cs="Times New Roman"/>
          <w:color w:val="000000"/>
          <w:sz w:val="24"/>
          <w:szCs w:val="24"/>
        </w:rPr>
        <w:t xml:space="preserve"> Това е от особено значени</w:t>
      </w:r>
      <w:r w:rsidR="00A82841">
        <w:rPr>
          <w:rFonts w:ascii="Times New Roman" w:eastAsia="Times New Roman" w:hAnsi="Times New Roman" w:cs="Times New Roman"/>
          <w:color w:val="000000"/>
          <w:sz w:val="24"/>
          <w:szCs w:val="24"/>
        </w:rPr>
        <w:t>е</w:t>
      </w:r>
      <w:r w:rsidR="00116B5E">
        <w:rPr>
          <w:rFonts w:ascii="Times New Roman" w:eastAsia="Times New Roman" w:hAnsi="Times New Roman" w:cs="Times New Roman"/>
          <w:color w:val="000000"/>
          <w:sz w:val="24"/>
          <w:szCs w:val="24"/>
        </w:rPr>
        <w:t xml:space="preserve"> за</w:t>
      </w:r>
      <w:r w:rsidR="00116B5E">
        <w:rPr>
          <w:rFonts w:ascii="Times New Roman" w:eastAsia="Times New Roman" w:hAnsi="Times New Roman" w:cs="Times New Roman"/>
          <w:sz w:val="24"/>
          <w:szCs w:val="24"/>
        </w:rPr>
        <w:t xml:space="preserve"> бързо развиваща</w:t>
      </w:r>
      <w:r w:rsidR="00116B5E">
        <w:rPr>
          <w:rFonts w:ascii="Times New Roman" w:eastAsia="Times New Roman" w:hAnsi="Times New Roman" w:cs="Times New Roman"/>
          <w:color w:val="000000"/>
          <w:sz w:val="24"/>
          <w:szCs w:val="24"/>
        </w:rPr>
        <w:t xml:space="preserve"> </w:t>
      </w:r>
      <w:r w:rsidR="00116B5E">
        <w:rPr>
          <w:rFonts w:ascii="Times New Roman" w:eastAsia="Times New Roman" w:hAnsi="Times New Roman" w:cs="Times New Roman"/>
          <w:sz w:val="24"/>
          <w:szCs w:val="24"/>
        </w:rPr>
        <w:t>се</w:t>
      </w:r>
      <w:r w:rsidR="00116B5E">
        <w:rPr>
          <w:rFonts w:ascii="Times New Roman" w:eastAsia="Times New Roman" w:hAnsi="Times New Roman" w:cs="Times New Roman"/>
          <w:color w:val="000000"/>
          <w:sz w:val="24"/>
          <w:szCs w:val="24"/>
        </w:rPr>
        <w:t xml:space="preserve"> </w:t>
      </w:r>
      <w:r w:rsidR="00116B5E">
        <w:rPr>
          <w:rFonts w:ascii="Times New Roman" w:eastAsia="Times New Roman" w:hAnsi="Times New Roman" w:cs="Times New Roman"/>
          <w:sz w:val="24"/>
          <w:szCs w:val="24"/>
        </w:rPr>
        <w:t>среда, каквато е софтуерния бизнес</w:t>
      </w:r>
      <w:r w:rsidR="00116B5E">
        <w:rPr>
          <w:rFonts w:ascii="Times New Roman" w:eastAsia="Times New Roman" w:hAnsi="Times New Roman" w:cs="Times New Roman"/>
          <w:color w:val="000000"/>
          <w:sz w:val="24"/>
          <w:szCs w:val="24"/>
        </w:rPr>
        <w:t>. Непрестанната поява на нови технологии изисква бързо адаптиране на процесите и навременна квалификация на персонала.</w:t>
      </w:r>
    </w:p>
    <w:p w14:paraId="2FFE8F7D" w14:textId="27A004AA" w:rsidR="00276EC1" w:rsidRDefault="00C834B5">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съвременната управленска практика се набляга на </w:t>
      </w:r>
      <w:r>
        <w:rPr>
          <w:rFonts w:ascii="Times New Roman" w:eastAsia="Times New Roman" w:hAnsi="Times New Roman" w:cs="Times New Roman"/>
          <w:b/>
          <w:color w:val="000000"/>
          <w:sz w:val="24"/>
          <w:szCs w:val="24"/>
        </w:rPr>
        <w:t xml:space="preserve">устойчиви подходи </w:t>
      </w:r>
      <w:r w:rsidR="00BD1497">
        <w:rPr>
          <w:rFonts w:ascii="Times New Roman" w:eastAsia="Times New Roman" w:hAnsi="Times New Roman" w:cs="Times New Roman"/>
          <w:b/>
          <w:color w:val="000000"/>
          <w:sz w:val="24"/>
          <w:szCs w:val="24"/>
        </w:rPr>
        <w:t xml:space="preserve">и модели </w:t>
      </w:r>
      <w:r>
        <w:rPr>
          <w:rFonts w:ascii="Times New Roman" w:eastAsia="Times New Roman" w:hAnsi="Times New Roman" w:cs="Times New Roman"/>
          <w:b/>
          <w:color w:val="000000"/>
          <w:sz w:val="24"/>
          <w:szCs w:val="24"/>
        </w:rPr>
        <w:t>за развитие</w:t>
      </w:r>
      <w:r>
        <w:rPr>
          <w:rFonts w:ascii="Times New Roman" w:eastAsia="Times New Roman" w:hAnsi="Times New Roman" w:cs="Times New Roman"/>
          <w:color w:val="000000"/>
          <w:sz w:val="24"/>
          <w:szCs w:val="24"/>
        </w:rPr>
        <w:t>, чрез които да бъдат постигани бъдещи успехи с активни действия от страна на самите организации за гарантиране на квалифициран</w:t>
      </w:r>
      <w:r w:rsidR="00BD1497">
        <w:rPr>
          <w:rFonts w:ascii="Times New Roman" w:eastAsia="Times New Roman" w:hAnsi="Times New Roman" w:cs="Times New Roman"/>
          <w:color w:val="000000"/>
          <w:sz w:val="24"/>
          <w:szCs w:val="24"/>
        </w:rPr>
        <w:t>и</w:t>
      </w:r>
      <w:r>
        <w:rPr>
          <w:rFonts w:ascii="Times New Roman" w:eastAsia="Times New Roman" w:hAnsi="Times New Roman" w:cs="Times New Roman"/>
          <w:color w:val="000000"/>
          <w:sz w:val="24"/>
          <w:szCs w:val="24"/>
        </w:rPr>
        <w:t xml:space="preserve"> </w:t>
      </w:r>
      <w:r w:rsidR="00BD1497">
        <w:rPr>
          <w:rFonts w:ascii="Times New Roman" w:eastAsia="Times New Roman" w:hAnsi="Times New Roman" w:cs="Times New Roman"/>
          <w:sz w:val="24"/>
          <w:szCs w:val="24"/>
        </w:rPr>
        <w:t>служители</w:t>
      </w:r>
      <w:r w:rsidR="004E43B4">
        <w:rPr>
          <w:rFonts w:ascii="Times New Roman" w:eastAsia="Times New Roman" w:hAnsi="Times New Roman" w:cs="Times New Roman"/>
          <w:sz w:val="24"/>
          <w:szCs w:val="24"/>
        </w:rPr>
        <w:t xml:space="preserve"> (</w:t>
      </w:r>
      <w:proofErr w:type="spellStart"/>
      <w:r w:rsidR="008D727C">
        <w:rPr>
          <w:rFonts w:ascii="Times New Roman" w:eastAsia="Times New Roman" w:hAnsi="Times New Roman" w:cs="Times New Roman"/>
          <w:sz w:val="24"/>
          <w:szCs w:val="24"/>
          <w:lang w:val="en-US"/>
        </w:rPr>
        <w:t>Atanasova</w:t>
      </w:r>
      <w:proofErr w:type="spellEnd"/>
      <w:r w:rsidR="004E43B4">
        <w:rPr>
          <w:rFonts w:ascii="Times New Roman" w:eastAsia="Times New Roman" w:hAnsi="Times New Roman" w:cs="Times New Roman"/>
          <w:sz w:val="24"/>
          <w:szCs w:val="24"/>
        </w:rPr>
        <w:t>, 2015</w:t>
      </w:r>
      <w:r w:rsidR="004E43B4" w:rsidRPr="004E43B4">
        <w:rPr>
          <w:rFonts w:ascii="Times New Roman" w:eastAsia="Times New Roman" w:hAnsi="Times New Roman" w:cs="Times New Roman"/>
          <w:sz w:val="24"/>
          <w:szCs w:val="24"/>
        </w:rPr>
        <w:t>)</w:t>
      </w:r>
      <w:r w:rsidRPr="004E43B4">
        <w:rPr>
          <w:rFonts w:ascii="Times New Roman" w:eastAsia="Times New Roman" w:hAnsi="Times New Roman" w:cs="Times New Roman"/>
          <w:color w:val="000000"/>
          <w:sz w:val="24"/>
          <w:szCs w:val="24"/>
        </w:rPr>
        <w:t xml:space="preserve">. </w:t>
      </w:r>
    </w:p>
    <w:p w14:paraId="5240D6D1" w14:textId="100D07B1" w:rsidR="005201BB" w:rsidRDefault="00C834B5">
      <w:pPr>
        <w:pBdr>
          <w:top w:val="nil"/>
          <w:left w:val="nil"/>
          <w:bottom w:val="nil"/>
          <w:right w:val="nil"/>
          <w:between w:val="nil"/>
        </w:pBdr>
        <w:spacing w:after="0" w:line="360" w:lineRule="auto"/>
        <w:ind w:firstLine="709"/>
        <w:jc w:val="both"/>
        <w:rPr>
          <w:rFonts w:ascii="Times New Roman" w:eastAsia="Times New Roman" w:hAnsi="Times New Roman" w:cs="Times New Roman"/>
          <w:sz w:val="24"/>
          <w:szCs w:val="24"/>
        </w:rPr>
      </w:pPr>
      <w:r w:rsidRPr="000B2052">
        <w:rPr>
          <w:rFonts w:ascii="Times New Roman" w:eastAsia="Times New Roman" w:hAnsi="Times New Roman" w:cs="Times New Roman"/>
          <w:b/>
          <w:bCs/>
          <w:color w:val="000000"/>
          <w:sz w:val="24"/>
          <w:szCs w:val="24"/>
        </w:rPr>
        <w:t>Моделът на Енерт</w:t>
      </w:r>
      <w:r>
        <w:rPr>
          <w:rFonts w:ascii="Times New Roman" w:eastAsia="Times New Roman" w:hAnsi="Times New Roman" w:cs="Times New Roman"/>
          <w:color w:val="000000"/>
          <w:sz w:val="24"/>
          <w:szCs w:val="24"/>
        </w:rPr>
        <w:t xml:space="preserve"> за устойчиво </w:t>
      </w:r>
      <w:r>
        <w:rPr>
          <w:rFonts w:ascii="Times New Roman" w:eastAsia="Times New Roman" w:hAnsi="Times New Roman" w:cs="Times New Roman"/>
          <w:sz w:val="24"/>
          <w:szCs w:val="24"/>
        </w:rPr>
        <w:t xml:space="preserve">управление на човешки ресурси е базиран на </w:t>
      </w:r>
      <w:r>
        <w:rPr>
          <w:rFonts w:ascii="Times New Roman" w:eastAsia="Times New Roman" w:hAnsi="Times New Roman" w:cs="Times New Roman"/>
          <w:color w:val="000000"/>
          <w:sz w:val="24"/>
          <w:szCs w:val="24"/>
        </w:rPr>
        <w:t xml:space="preserve">интегративния модел за стратегическо </w:t>
      </w:r>
      <w:r>
        <w:rPr>
          <w:rFonts w:ascii="Times New Roman" w:eastAsia="Times New Roman" w:hAnsi="Times New Roman" w:cs="Times New Roman"/>
          <w:sz w:val="24"/>
          <w:szCs w:val="24"/>
        </w:rPr>
        <w:t>управление</w:t>
      </w:r>
      <w:r>
        <w:rPr>
          <w:rFonts w:ascii="Times New Roman" w:eastAsia="Times New Roman" w:hAnsi="Times New Roman" w:cs="Times New Roman"/>
          <w:color w:val="000000"/>
          <w:sz w:val="24"/>
          <w:szCs w:val="24"/>
        </w:rPr>
        <w:t xml:space="preserve"> на Мартин-Алкасар </w:t>
      </w:r>
      <w:r>
        <w:rPr>
          <w:rFonts w:ascii="Times New Roman" w:eastAsia="Times New Roman" w:hAnsi="Times New Roman" w:cs="Times New Roman"/>
          <w:sz w:val="24"/>
          <w:szCs w:val="24"/>
        </w:rPr>
        <w:t>(Martin Alcazar)</w:t>
      </w:r>
      <w:r>
        <w:rPr>
          <w:rFonts w:ascii="Times New Roman" w:eastAsia="Times New Roman" w:hAnsi="Times New Roman" w:cs="Times New Roman"/>
          <w:color w:val="000000"/>
          <w:sz w:val="24"/>
          <w:szCs w:val="24"/>
        </w:rPr>
        <w:t>. В модела на Енерт се разглежда</w:t>
      </w:r>
      <w:r w:rsidR="00C13B72">
        <w:rPr>
          <w:rFonts w:ascii="Times New Roman" w:eastAsia="Times New Roman" w:hAnsi="Times New Roman" w:cs="Times New Roman"/>
          <w:color w:val="000000"/>
          <w:sz w:val="24"/>
          <w:szCs w:val="24"/>
        </w:rPr>
        <w:t>т</w:t>
      </w:r>
      <w:r>
        <w:rPr>
          <w:rFonts w:ascii="Times New Roman" w:eastAsia="Times New Roman" w:hAnsi="Times New Roman" w:cs="Times New Roman"/>
          <w:color w:val="000000"/>
          <w:sz w:val="24"/>
          <w:szCs w:val="24"/>
        </w:rPr>
        <w:t xml:space="preserve"> ефектите от прилагането на устойчиво </w:t>
      </w:r>
      <w:r>
        <w:rPr>
          <w:rFonts w:ascii="Times New Roman" w:eastAsia="Times New Roman" w:hAnsi="Times New Roman" w:cs="Times New Roman"/>
          <w:sz w:val="24"/>
          <w:szCs w:val="24"/>
        </w:rPr>
        <w:t>управление на човешки ресурси</w:t>
      </w:r>
      <w:r>
        <w:rPr>
          <w:rFonts w:ascii="Times New Roman" w:eastAsia="Times New Roman" w:hAnsi="Times New Roman" w:cs="Times New Roman"/>
          <w:color w:val="000000"/>
          <w:sz w:val="24"/>
          <w:szCs w:val="24"/>
        </w:rPr>
        <w:t xml:space="preserve"> на ниво организация, общество и индивид (</w:t>
      </w:r>
      <w:proofErr w:type="spellStart"/>
      <w:r w:rsidR="008D727C">
        <w:rPr>
          <w:rFonts w:ascii="Times New Roman" w:eastAsia="Times New Roman" w:hAnsi="Times New Roman" w:cs="Times New Roman"/>
          <w:color w:val="000000"/>
          <w:sz w:val="24"/>
          <w:szCs w:val="24"/>
          <w:lang w:val="en-US"/>
        </w:rPr>
        <w:t>Dankova</w:t>
      </w:r>
      <w:proofErr w:type="spellEnd"/>
      <w:r w:rsidR="002D0D9C">
        <w:rPr>
          <w:rFonts w:ascii="Times New Roman" w:eastAsia="Times New Roman" w:hAnsi="Times New Roman" w:cs="Times New Roman"/>
          <w:sz w:val="24"/>
          <w:szCs w:val="24"/>
        </w:rPr>
        <w:t xml:space="preserve">, </w:t>
      </w:r>
      <w:r w:rsidR="002D0D9C" w:rsidRPr="00A81860">
        <w:rPr>
          <w:rFonts w:ascii="Times New Roman" w:eastAsia="Times New Roman" w:hAnsi="Times New Roman" w:cs="Times New Roman"/>
          <w:sz w:val="24"/>
          <w:szCs w:val="24"/>
        </w:rPr>
        <w:t>2012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Моделът</w:t>
      </w:r>
      <w:r>
        <w:rPr>
          <w:rFonts w:ascii="Times New Roman" w:eastAsia="Times New Roman" w:hAnsi="Times New Roman" w:cs="Times New Roman"/>
          <w:color w:val="000000"/>
          <w:sz w:val="24"/>
          <w:szCs w:val="24"/>
        </w:rPr>
        <w:t xml:space="preserve"> предлага четири възможни стратегии във връзка с развитието на </w:t>
      </w:r>
      <w:r w:rsidR="00C13B72">
        <w:rPr>
          <w:rFonts w:ascii="Times New Roman" w:eastAsia="Times New Roman" w:hAnsi="Times New Roman" w:cs="Times New Roman"/>
          <w:color w:val="000000"/>
          <w:sz w:val="24"/>
          <w:szCs w:val="24"/>
        </w:rPr>
        <w:t>човешки ресурси</w:t>
      </w:r>
      <w:r>
        <w:rPr>
          <w:rFonts w:ascii="Times New Roman" w:eastAsia="Times New Roman" w:hAnsi="Times New Roman" w:cs="Times New Roman"/>
          <w:color w:val="000000"/>
          <w:sz w:val="24"/>
          <w:szCs w:val="24"/>
        </w:rPr>
        <w:t xml:space="preserve"> в организацията: </w:t>
      </w:r>
      <w:r>
        <w:rPr>
          <w:rFonts w:ascii="Times New Roman" w:eastAsia="Times New Roman" w:hAnsi="Times New Roman" w:cs="Times New Roman"/>
          <w:b/>
          <w:color w:val="000000"/>
          <w:sz w:val="24"/>
          <w:szCs w:val="24"/>
        </w:rPr>
        <w:t>развитие на източниците на ресурси</w:t>
      </w:r>
      <w:r>
        <w:rPr>
          <w:rFonts w:ascii="Times New Roman" w:eastAsia="Times New Roman" w:hAnsi="Times New Roman" w:cs="Times New Roman"/>
          <w:color w:val="000000"/>
          <w:sz w:val="24"/>
          <w:szCs w:val="24"/>
        </w:rPr>
        <w:t xml:space="preserve"> - инвестиране в обучение, осигуряване на </w:t>
      </w:r>
      <w:r>
        <w:rPr>
          <w:rFonts w:ascii="Times New Roman" w:eastAsia="Times New Roman" w:hAnsi="Times New Roman" w:cs="Times New Roman"/>
          <w:b/>
          <w:color w:val="000000"/>
          <w:sz w:val="24"/>
          <w:szCs w:val="24"/>
        </w:rPr>
        <w:t>баланс между личен и професионален живот</w:t>
      </w:r>
      <w:r>
        <w:rPr>
          <w:rFonts w:ascii="Times New Roman" w:eastAsia="Times New Roman" w:hAnsi="Times New Roman" w:cs="Times New Roman"/>
          <w:color w:val="000000"/>
          <w:sz w:val="24"/>
          <w:szCs w:val="24"/>
        </w:rPr>
        <w:t xml:space="preserve">, контрол върху състоянието на ЧР – </w:t>
      </w:r>
      <w:r>
        <w:rPr>
          <w:rFonts w:ascii="Times New Roman" w:eastAsia="Times New Roman" w:hAnsi="Times New Roman" w:cs="Times New Roman"/>
          <w:b/>
          <w:color w:val="000000"/>
          <w:sz w:val="24"/>
          <w:szCs w:val="24"/>
        </w:rPr>
        <w:t>осигуряване на безопасни и здравословни условия на труд</w:t>
      </w:r>
      <w:r>
        <w:rPr>
          <w:rFonts w:ascii="Times New Roman" w:eastAsia="Times New Roman" w:hAnsi="Times New Roman" w:cs="Times New Roman"/>
          <w:color w:val="000000"/>
          <w:sz w:val="24"/>
          <w:szCs w:val="24"/>
        </w:rPr>
        <w:t xml:space="preserve"> и на възможности за възстановяване</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възможност за взаимна размяна на ресурси</w:t>
      </w:r>
      <w:r>
        <w:rPr>
          <w:rFonts w:ascii="Times New Roman" w:eastAsia="Times New Roman" w:hAnsi="Times New Roman" w:cs="Times New Roman"/>
          <w:color w:val="000000"/>
          <w:sz w:val="24"/>
          <w:szCs w:val="24"/>
        </w:rPr>
        <w:t xml:space="preserve"> – разбиране потребностите на заетите, създаване на отношения на доверие и лоялност, изграждане на партньорства с източниците на ресурси и поддържане на социална отговорност – прилагане на </w:t>
      </w:r>
      <w:r>
        <w:rPr>
          <w:rFonts w:ascii="Times New Roman" w:eastAsia="Times New Roman" w:hAnsi="Times New Roman" w:cs="Times New Roman"/>
          <w:sz w:val="24"/>
          <w:szCs w:val="24"/>
        </w:rPr>
        <w:t>социално отговорни</w:t>
      </w:r>
      <w:r>
        <w:rPr>
          <w:rFonts w:ascii="Times New Roman" w:eastAsia="Times New Roman" w:hAnsi="Times New Roman" w:cs="Times New Roman"/>
          <w:color w:val="000000"/>
          <w:sz w:val="24"/>
          <w:szCs w:val="24"/>
        </w:rPr>
        <w:t xml:space="preserve"> практики и постигане на положителен имидж. </w:t>
      </w:r>
    </w:p>
    <w:p w14:paraId="1C7DFA1A" w14:textId="77777777" w:rsidR="005201BB" w:rsidRDefault="00C834B5">
      <w:pPr>
        <w:pBdr>
          <w:top w:val="nil"/>
          <w:left w:val="nil"/>
          <w:bottom w:val="nil"/>
          <w:right w:val="nil"/>
          <w:between w:val="nil"/>
        </w:pBd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За да се развиват организациите, е необходимо тяхното управление да има стратегически характер. </w:t>
      </w:r>
      <w:r>
        <w:rPr>
          <w:rFonts w:ascii="Times New Roman" w:eastAsia="Times New Roman" w:hAnsi="Times New Roman" w:cs="Times New Roman"/>
          <w:b/>
          <w:sz w:val="24"/>
          <w:szCs w:val="24"/>
        </w:rPr>
        <w:t>Стратегическите алтернативи</w:t>
      </w:r>
      <w:r>
        <w:rPr>
          <w:rFonts w:ascii="Times New Roman" w:eastAsia="Times New Roman" w:hAnsi="Times New Roman" w:cs="Times New Roman"/>
          <w:sz w:val="24"/>
          <w:szCs w:val="24"/>
        </w:rPr>
        <w:t xml:space="preserve"> представляват възможностите за избор и всяка организация ги определя според стратегията си. Тези алтернативи трябва да са насочени към развитието на организацията и на заетите лица. Според този подход ако хората са информирани за възможностите пред тях, много по-вероятно е те да са по-ангажирани към организацията, да продължат да се обучават, да са креативни и да споделят идеите си. </w:t>
      </w:r>
    </w:p>
    <w:p w14:paraId="27F079AF" w14:textId="0C7BA3E7" w:rsidR="005201BB" w:rsidRDefault="00C834B5">
      <w:pPr>
        <w:pBdr>
          <w:top w:val="nil"/>
          <w:left w:val="nil"/>
          <w:bottom w:val="nil"/>
          <w:right w:val="nil"/>
          <w:between w:val="nil"/>
        </w:pBd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Един от основните модели за стратегическо управление на човешките ресурси е </w:t>
      </w:r>
      <w:r>
        <w:rPr>
          <w:rFonts w:ascii="Times New Roman" w:eastAsia="Times New Roman" w:hAnsi="Times New Roman" w:cs="Times New Roman"/>
          <w:b/>
          <w:color w:val="000000"/>
          <w:sz w:val="24"/>
          <w:szCs w:val="24"/>
        </w:rPr>
        <w:t>моделът „7S“ на Маккинзи</w:t>
      </w:r>
      <w:r>
        <w:rPr>
          <w:rFonts w:ascii="Times New Roman" w:eastAsia="Times New Roman" w:hAnsi="Times New Roman" w:cs="Times New Roman"/>
          <w:color w:val="000000"/>
          <w:sz w:val="24"/>
          <w:szCs w:val="24"/>
        </w:rPr>
        <w:t xml:space="preserve">. В основата му е развитието на личностния потенциал и </w:t>
      </w:r>
      <w:r>
        <w:rPr>
          <w:rFonts w:ascii="Times New Roman" w:eastAsia="Times New Roman" w:hAnsi="Times New Roman" w:cs="Times New Roman"/>
          <w:color w:val="000000"/>
          <w:sz w:val="24"/>
          <w:szCs w:val="24"/>
        </w:rPr>
        <w:lastRenderedPageBreak/>
        <w:t xml:space="preserve">усъвършенстване на професионалните умения на човешкия капитал. В </w:t>
      </w:r>
      <w:r w:rsidR="00A15FF3">
        <w:rPr>
          <w:rFonts w:ascii="Times New Roman" w:eastAsia="Times New Roman" w:hAnsi="Times New Roman" w:cs="Times New Roman"/>
          <w:color w:val="000000"/>
          <w:sz w:val="24"/>
          <w:szCs w:val="24"/>
        </w:rPr>
        <w:t>него</w:t>
      </w:r>
      <w:r>
        <w:rPr>
          <w:rFonts w:ascii="Times New Roman" w:eastAsia="Times New Roman" w:hAnsi="Times New Roman" w:cs="Times New Roman"/>
          <w:color w:val="000000"/>
          <w:sz w:val="24"/>
          <w:szCs w:val="24"/>
        </w:rPr>
        <w:t xml:space="preserve"> са заложени седем елемента: стратегия, структура, системите или процедурите на процесите в организацията, служители, стил на управление, съвкупността от умения, споделени ценности</w:t>
      </w:r>
      <w:r w:rsidR="00A15FF3">
        <w:rPr>
          <w:rFonts w:ascii="Times New Roman" w:eastAsia="Times New Roman" w:hAnsi="Times New Roman" w:cs="Times New Roman"/>
          <w:color w:val="000000"/>
          <w:sz w:val="24"/>
          <w:szCs w:val="24"/>
        </w:rPr>
        <w:t xml:space="preserve"> (</w:t>
      </w:r>
      <w:r w:rsidR="008D727C">
        <w:rPr>
          <w:rFonts w:ascii="Times New Roman" w:eastAsia="Times New Roman" w:hAnsi="Times New Roman" w:cs="Times New Roman"/>
          <w:color w:val="000000"/>
          <w:sz w:val="24"/>
          <w:szCs w:val="24"/>
          <w:lang w:val="en-US"/>
        </w:rPr>
        <w:t>Stamenova</w:t>
      </w:r>
      <w:r w:rsidR="00651C7E">
        <w:rPr>
          <w:rFonts w:ascii="Times New Roman" w:eastAsia="Times New Roman" w:hAnsi="Times New Roman" w:cs="Times New Roman"/>
          <w:color w:val="000000"/>
          <w:sz w:val="24"/>
          <w:szCs w:val="24"/>
        </w:rPr>
        <w:t>, 2021</w:t>
      </w:r>
      <w:r w:rsidR="00A15FF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A15FF3">
        <w:rPr>
          <w:rFonts w:ascii="Times New Roman" w:eastAsia="Times New Roman" w:hAnsi="Times New Roman" w:cs="Times New Roman"/>
          <w:color w:val="000000"/>
          <w:sz w:val="24"/>
          <w:szCs w:val="24"/>
        </w:rPr>
        <w:t>Софтуерните к</w:t>
      </w:r>
      <w:r>
        <w:rPr>
          <w:rFonts w:ascii="Times New Roman" w:eastAsia="Times New Roman" w:hAnsi="Times New Roman" w:cs="Times New Roman"/>
          <w:color w:val="000000"/>
          <w:sz w:val="24"/>
          <w:szCs w:val="24"/>
        </w:rPr>
        <w:t xml:space="preserve">омпании  все повече се стремят към личностното  и кариерно развитие на персонала, създавайки среда, в която всеки да може да демонстрира качества и умения. Моделът „7S“ разделя факторите на вътрешната среда на организацията на „hard“ и „soft“. При „hard“ факторите акцентът е поставен върху количествените резултати и към тях спадат стратегията, структурата и системите. При „soft“ подходи се обръща внимание на личността на служителите, техните емоции и поведенчески реакции, стилът на управление, способностите и споделените ценности. По този начин се изгражда гъвкавост и адаптивност на служителите за постигане на по-висока отдаденост в процеса на работа </w:t>
      </w:r>
      <w:r w:rsidRPr="00F02DBE">
        <w:rPr>
          <w:rFonts w:ascii="Times New Roman" w:eastAsia="Times New Roman" w:hAnsi="Times New Roman" w:cs="Times New Roman"/>
          <w:color w:val="000000"/>
          <w:sz w:val="24"/>
          <w:szCs w:val="24"/>
        </w:rPr>
        <w:t>(</w:t>
      </w:r>
      <w:r w:rsidR="00061E16" w:rsidRPr="00F02DBE">
        <w:rPr>
          <w:rFonts w:ascii="Times New Roman" w:eastAsia="Times New Roman" w:hAnsi="Times New Roman" w:cs="Times New Roman"/>
          <w:color w:val="000000"/>
          <w:sz w:val="24"/>
          <w:szCs w:val="24"/>
        </w:rPr>
        <w:t>Александрова</w:t>
      </w:r>
      <w:r w:rsidRPr="00F02DBE">
        <w:rPr>
          <w:rFonts w:ascii="Times New Roman" w:eastAsia="Times New Roman" w:hAnsi="Times New Roman" w:cs="Times New Roman"/>
          <w:color w:val="000000"/>
          <w:sz w:val="24"/>
          <w:szCs w:val="24"/>
        </w:rPr>
        <w:t>, 2017).</w:t>
      </w:r>
      <w:r>
        <w:rPr>
          <w:rFonts w:ascii="Times New Roman" w:eastAsia="Times New Roman" w:hAnsi="Times New Roman" w:cs="Times New Roman"/>
          <w:color w:val="000000"/>
          <w:sz w:val="24"/>
          <w:szCs w:val="24"/>
        </w:rPr>
        <w:t xml:space="preserve"> Според тази концепция на Маккинзи, само тези организации, в които всички седем елемента са взаимно свързани, могат да функционират и да се развиват ефективно (</w:t>
      </w:r>
      <w:r w:rsidR="008D727C">
        <w:rPr>
          <w:rFonts w:ascii="Times New Roman" w:eastAsia="Times New Roman" w:hAnsi="Times New Roman" w:cs="Times New Roman"/>
          <w:color w:val="000000"/>
          <w:sz w:val="24"/>
          <w:szCs w:val="24"/>
          <w:lang w:val="en-US"/>
        </w:rPr>
        <w:t>Antonova</w:t>
      </w:r>
      <w:r>
        <w:rPr>
          <w:rFonts w:ascii="Times New Roman" w:eastAsia="Times New Roman" w:hAnsi="Times New Roman" w:cs="Times New Roman"/>
          <w:color w:val="000000"/>
          <w:sz w:val="24"/>
          <w:szCs w:val="24"/>
        </w:rPr>
        <w:t xml:space="preserve">, </w:t>
      </w:r>
      <w:r w:rsidR="00D87A20">
        <w:rPr>
          <w:rFonts w:ascii="Times New Roman" w:eastAsia="Times New Roman" w:hAnsi="Times New Roman" w:cs="Times New Roman"/>
          <w:color w:val="000000"/>
          <w:sz w:val="24"/>
          <w:szCs w:val="24"/>
          <w:lang w:val="en-US"/>
        </w:rPr>
        <w:t>2017</w:t>
      </w:r>
      <w:r>
        <w:rPr>
          <w:rFonts w:ascii="Times New Roman" w:eastAsia="Times New Roman" w:hAnsi="Times New Roman" w:cs="Times New Roman"/>
          <w:color w:val="000000"/>
          <w:sz w:val="24"/>
          <w:szCs w:val="24"/>
        </w:rPr>
        <w:t>).</w:t>
      </w:r>
    </w:p>
    <w:p w14:paraId="4F161AAD" w14:textId="4F972062" w:rsidR="00276EC1"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Освен необходимостта от обучение и развитие на персонала, нараства и необходимостта от използването на подходи за оценка на ефективността  на  обучението  в  организациите  с  оглед  постигането  на  по-високи резултати при обучителни практики и дейности. </w:t>
      </w:r>
      <w:r w:rsidRPr="00A15FF3">
        <w:rPr>
          <w:rFonts w:ascii="Times New Roman" w:eastAsia="Times New Roman" w:hAnsi="Times New Roman" w:cs="Times New Roman"/>
          <w:b/>
          <w:bCs/>
          <w:sz w:val="24"/>
          <w:szCs w:val="24"/>
        </w:rPr>
        <w:t>Моделът на Доналд Къркпатрик</w:t>
      </w:r>
      <w:r w:rsidR="00A15FF3">
        <w:rPr>
          <w:rFonts w:ascii="Times New Roman" w:eastAsia="Times New Roman" w:hAnsi="Times New Roman" w:cs="Times New Roman"/>
          <w:sz w:val="24"/>
          <w:szCs w:val="24"/>
        </w:rPr>
        <w:t xml:space="preserve">, известен </w:t>
      </w:r>
      <w:r>
        <w:rPr>
          <w:rFonts w:ascii="Times New Roman" w:eastAsia="Times New Roman" w:hAnsi="Times New Roman" w:cs="Times New Roman"/>
          <w:sz w:val="24"/>
          <w:szCs w:val="24"/>
        </w:rPr>
        <w:t xml:space="preserve">като „модел за оценка на четири нива“, представлява рамка за оценка на ефективността на обучителните програми (Kirkpatrick,  2016). По своята същност моделът </w:t>
      </w:r>
      <w:r w:rsidR="00A15FF3">
        <w:rPr>
          <w:rFonts w:ascii="Times New Roman" w:eastAsia="Times New Roman" w:hAnsi="Times New Roman" w:cs="Times New Roman"/>
          <w:sz w:val="24"/>
          <w:szCs w:val="24"/>
        </w:rPr>
        <w:t>представя</w:t>
      </w:r>
      <w:r>
        <w:rPr>
          <w:rFonts w:ascii="Times New Roman" w:eastAsia="Times New Roman" w:hAnsi="Times New Roman" w:cs="Times New Roman"/>
          <w:sz w:val="24"/>
          <w:szCs w:val="24"/>
        </w:rPr>
        <w:t xml:space="preserve"> изводите по отношение на ефективността на обучението </w:t>
      </w:r>
      <w:r w:rsidR="00A15FF3">
        <w:rPr>
          <w:rFonts w:ascii="Times New Roman" w:eastAsia="Times New Roman" w:hAnsi="Times New Roman" w:cs="Times New Roman"/>
          <w:sz w:val="24"/>
          <w:szCs w:val="24"/>
        </w:rPr>
        <w:t xml:space="preserve">без да </w:t>
      </w:r>
      <w:r>
        <w:rPr>
          <w:rFonts w:ascii="Times New Roman" w:eastAsia="Times New Roman" w:hAnsi="Times New Roman" w:cs="Times New Roman"/>
          <w:sz w:val="24"/>
          <w:szCs w:val="24"/>
        </w:rPr>
        <w:t>се отчита</w:t>
      </w:r>
      <w:r w:rsidR="00A15FF3">
        <w:rPr>
          <w:rFonts w:ascii="Times New Roman" w:eastAsia="Times New Roman" w:hAnsi="Times New Roman" w:cs="Times New Roman"/>
          <w:sz w:val="24"/>
          <w:szCs w:val="24"/>
        </w:rPr>
        <w:t xml:space="preserve">т други </w:t>
      </w:r>
      <w:r>
        <w:rPr>
          <w:rFonts w:ascii="Times New Roman" w:eastAsia="Times New Roman" w:hAnsi="Times New Roman" w:cs="Times New Roman"/>
          <w:sz w:val="24"/>
          <w:szCs w:val="24"/>
        </w:rPr>
        <w:t xml:space="preserve">заобикалящи </w:t>
      </w:r>
      <w:r w:rsidR="00A15FF3">
        <w:rPr>
          <w:rFonts w:ascii="Times New Roman" w:eastAsia="Times New Roman" w:hAnsi="Times New Roman" w:cs="Times New Roman"/>
          <w:sz w:val="24"/>
          <w:szCs w:val="24"/>
        </w:rPr>
        <w:t>фактори, оказващи влияние на процесите на обучение</w:t>
      </w:r>
      <w:r>
        <w:rPr>
          <w:rFonts w:ascii="Times New Roman" w:eastAsia="Times New Roman" w:hAnsi="Times New Roman" w:cs="Times New Roman"/>
          <w:sz w:val="24"/>
          <w:szCs w:val="24"/>
        </w:rPr>
        <w:t xml:space="preserve"> (Bates, 2004). Фокусът на модела е насочен изцяло върху резултатите от обучението и въплъщава разбирането, че ако оценителите измерват едно или повече от едно от четирите нива, ще получат адекватна оценъчна информация</w:t>
      </w:r>
      <w:r w:rsidR="002209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(Митева,</w:t>
      </w:r>
      <w:r w:rsidR="0022094B">
        <w:rPr>
          <w:rFonts w:ascii="Times New Roman" w:eastAsia="Times New Roman" w:hAnsi="Times New Roman" w:cs="Times New Roman"/>
          <w:sz w:val="24"/>
          <w:szCs w:val="24"/>
        </w:rPr>
        <w:t xml:space="preserve"> 2019</w:t>
      </w:r>
      <w:r>
        <w:rPr>
          <w:rFonts w:ascii="Times New Roman" w:eastAsia="Times New Roman" w:hAnsi="Times New Roman" w:cs="Times New Roman"/>
          <w:sz w:val="24"/>
          <w:szCs w:val="24"/>
        </w:rPr>
        <w:t>)</w:t>
      </w:r>
      <w:r w:rsidR="0022094B">
        <w:rPr>
          <w:rFonts w:ascii="Times New Roman" w:eastAsia="Times New Roman" w:hAnsi="Times New Roman" w:cs="Times New Roman"/>
          <w:sz w:val="24"/>
          <w:szCs w:val="24"/>
        </w:rPr>
        <w:t>.</w:t>
      </w:r>
    </w:p>
    <w:p w14:paraId="4F78F7EE" w14:textId="7144D967"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Друг модел за </w:t>
      </w:r>
      <w:r w:rsidR="00A15FF3">
        <w:rPr>
          <w:rFonts w:ascii="Times New Roman" w:eastAsia="Times New Roman" w:hAnsi="Times New Roman" w:cs="Times New Roman"/>
          <w:sz w:val="24"/>
          <w:szCs w:val="24"/>
        </w:rPr>
        <w:t xml:space="preserve">управление на човешките ресурси в </w:t>
      </w:r>
      <w:r>
        <w:rPr>
          <w:rFonts w:ascii="Times New Roman" w:eastAsia="Times New Roman" w:hAnsi="Times New Roman" w:cs="Times New Roman"/>
          <w:sz w:val="24"/>
          <w:szCs w:val="24"/>
        </w:rPr>
        <w:t xml:space="preserve">организациите е </w:t>
      </w:r>
      <w:bookmarkStart w:id="2" w:name="_Hlk109806712"/>
      <w:r w:rsidR="00A15FF3" w:rsidRPr="00A15FF3">
        <w:rPr>
          <w:rFonts w:ascii="Times New Roman" w:eastAsia="Times New Roman" w:hAnsi="Times New Roman" w:cs="Times New Roman"/>
          <w:b/>
          <w:bCs/>
          <w:sz w:val="24"/>
          <w:szCs w:val="24"/>
        </w:rPr>
        <w:t>моделът</w:t>
      </w:r>
      <w:r w:rsidRPr="00A15FF3">
        <w:rPr>
          <w:rFonts w:ascii="Times New Roman" w:eastAsia="Times New Roman" w:hAnsi="Times New Roman" w:cs="Times New Roman"/>
          <w:b/>
          <w:bCs/>
          <w:sz w:val="24"/>
          <w:szCs w:val="24"/>
        </w:rPr>
        <w:t xml:space="preserve"> на Епщайн</w:t>
      </w:r>
      <w:bookmarkEnd w:id="2"/>
      <w:r>
        <w:rPr>
          <w:rFonts w:ascii="Times New Roman" w:eastAsia="Times New Roman" w:hAnsi="Times New Roman" w:cs="Times New Roman"/>
          <w:sz w:val="24"/>
          <w:szCs w:val="24"/>
        </w:rPr>
        <w:t xml:space="preserve">. По мнение на автора, този модел предлага подход за анализ и оценка, като се вземат предвид финансовия, социалния и екологичния </w:t>
      </w:r>
      <w:r w:rsidR="00A15FF3">
        <w:rPr>
          <w:rFonts w:ascii="Times New Roman" w:eastAsia="Times New Roman" w:hAnsi="Times New Roman" w:cs="Times New Roman"/>
          <w:sz w:val="24"/>
          <w:szCs w:val="24"/>
        </w:rPr>
        <w:t>фактор</w:t>
      </w:r>
      <w:r>
        <w:rPr>
          <w:rFonts w:ascii="Times New Roman" w:eastAsia="Times New Roman" w:hAnsi="Times New Roman" w:cs="Times New Roman"/>
          <w:sz w:val="24"/>
          <w:szCs w:val="24"/>
        </w:rPr>
        <w:t xml:space="preserve">. Заедно с оценката на резултатите от дейността, моделът позволява да се съгласуват и координират дейностите по различните направления, да се мотивират </w:t>
      </w:r>
      <w:r w:rsidR="00CC427F">
        <w:rPr>
          <w:rFonts w:ascii="Times New Roman" w:eastAsia="Times New Roman" w:hAnsi="Times New Roman" w:cs="Times New Roman"/>
          <w:sz w:val="24"/>
          <w:szCs w:val="24"/>
        </w:rPr>
        <w:t>служителите</w:t>
      </w:r>
      <w:r>
        <w:rPr>
          <w:rFonts w:ascii="Times New Roman" w:eastAsia="Times New Roman" w:hAnsi="Times New Roman" w:cs="Times New Roman"/>
          <w:sz w:val="24"/>
          <w:szCs w:val="24"/>
        </w:rPr>
        <w:t xml:space="preserve"> и да се </w:t>
      </w:r>
      <w:r w:rsidR="00CC427F">
        <w:rPr>
          <w:rFonts w:ascii="Times New Roman" w:eastAsia="Times New Roman" w:hAnsi="Times New Roman" w:cs="Times New Roman"/>
          <w:sz w:val="24"/>
          <w:szCs w:val="24"/>
        </w:rPr>
        <w:t>подобри</w:t>
      </w:r>
      <w:r>
        <w:rPr>
          <w:rFonts w:ascii="Times New Roman" w:eastAsia="Times New Roman" w:hAnsi="Times New Roman" w:cs="Times New Roman"/>
          <w:sz w:val="24"/>
          <w:szCs w:val="24"/>
        </w:rPr>
        <w:t xml:space="preserve"> влиянието на действията в икономически, социален и екологичен</w:t>
      </w:r>
      <w:r w:rsidR="00CC427F">
        <w:rPr>
          <w:rFonts w:ascii="Times New Roman" w:eastAsia="Times New Roman" w:hAnsi="Times New Roman" w:cs="Times New Roman"/>
          <w:sz w:val="24"/>
          <w:szCs w:val="24"/>
        </w:rPr>
        <w:t xml:space="preserve"> аспект</w:t>
      </w:r>
      <w:r w:rsidR="00457295">
        <w:rPr>
          <w:rFonts w:ascii="Times New Roman" w:eastAsia="Times New Roman" w:hAnsi="Times New Roman" w:cs="Times New Roman"/>
          <w:sz w:val="24"/>
          <w:szCs w:val="24"/>
        </w:rPr>
        <w:t xml:space="preserve"> (</w:t>
      </w:r>
      <w:r w:rsidR="00457295" w:rsidRPr="00A81860">
        <w:rPr>
          <w:rFonts w:ascii="Times New Roman" w:eastAsia="Times New Roman" w:hAnsi="Times New Roman" w:cs="Times New Roman"/>
          <w:color w:val="000000"/>
          <w:sz w:val="24"/>
          <w:szCs w:val="24"/>
        </w:rPr>
        <w:t>Epstein</w:t>
      </w:r>
      <w:r w:rsidR="00457295">
        <w:rPr>
          <w:rFonts w:ascii="Times New Roman" w:eastAsia="Times New Roman" w:hAnsi="Times New Roman" w:cs="Times New Roman"/>
          <w:color w:val="000000"/>
          <w:sz w:val="24"/>
          <w:szCs w:val="24"/>
        </w:rPr>
        <w:t xml:space="preserve"> </w:t>
      </w:r>
      <w:r w:rsidR="00457295">
        <w:rPr>
          <w:rFonts w:ascii="Times New Roman" w:eastAsia="Times New Roman" w:hAnsi="Times New Roman" w:cs="Times New Roman"/>
          <w:color w:val="000000"/>
          <w:sz w:val="24"/>
          <w:szCs w:val="24"/>
          <w:lang w:val="en-US"/>
        </w:rPr>
        <w:t>et al.</w:t>
      </w:r>
      <w:r w:rsidR="00457295">
        <w:rPr>
          <w:rFonts w:ascii="Times New Roman" w:eastAsia="Times New Roman" w:hAnsi="Times New Roman" w:cs="Times New Roman"/>
          <w:color w:val="000000"/>
          <w:sz w:val="24"/>
          <w:szCs w:val="24"/>
        </w:rPr>
        <w:t>, 2003</w:t>
      </w:r>
      <w:r w:rsidR="004572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6ECC38A1" w14:textId="0CAAD207" w:rsidR="005201BB" w:rsidRPr="0068216A" w:rsidRDefault="00C834B5">
      <w:pPr>
        <w:spacing w:after="0" w:line="360" w:lineRule="auto"/>
        <w:ind w:firstLine="708"/>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Посочените по-горе подходи</w:t>
      </w:r>
      <w:r w:rsidR="00796D93">
        <w:rPr>
          <w:rFonts w:ascii="Times New Roman" w:eastAsia="Times New Roman" w:hAnsi="Times New Roman" w:cs="Times New Roman"/>
          <w:sz w:val="24"/>
          <w:szCs w:val="24"/>
        </w:rPr>
        <w:t xml:space="preserve"> и модели</w:t>
      </w:r>
      <w:r>
        <w:rPr>
          <w:rFonts w:ascii="Times New Roman" w:eastAsia="Times New Roman" w:hAnsi="Times New Roman" w:cs="Times New Roman"/>
          <w:sz w:val="24"/>
          <w:szCs w:val="24"/>
        </w:rPr>
        <w:t xml:space="preserve"> разкриват значителни възможности за усъвършенстване и устойчиво управление на заетите лица в</w:t>
      </w:r>
      <w:r w:rsidR="00CC427F">
        <w:rPr>
          <w:rFonts w:ascii="Times New Roman" w:eastAsia="Times New Roman" w:hAnsi="Times New Roman" w:cs="Times New Roman"/>
          <w:sz w:val="24"/>
          <w:szCs w:val="24"/>
        </w:rPr>
        <w:t xml:space="preserve"> софтуерния</w:t>
      </w:r>
      <w:r>
        <w:rPr>
          <w:rFonts w:ascii="Times New Roman" w:eastAsia="Times New Roman" w:hAnsi="Times New Roman" w:cs="Times New Roman"/>
          <w:sz w:val="24"/>
          <w:szCs w:val="24"/>
        </w:rPr>
        <w:t xml:space="preserve"> бизнес (Фиг. 1).</w:t>
      </w:r>
    </w:p>
    <w:p w14:paraId="688CA0B2" w14:textId="77777777" w:rsidR="00852602" w:rsidRDefault="00852602">
      <w:pPr>
        <w:spacing w:after="0" w:line="360" w:lineRule="auto"/>
        <w:ind w:firstLine="708"/>
        <w:jc w:val="both"/>
        <w:rPr>
          <w:rFonts w:ascii="Times New Roman" w:eastAsia="Times New Roman" w:hAnsi="Times New Roman" w:cs="Times New Roman"/>
          <w:sz w:val="24"/>
          <w:szCs w:val="24"/>
        </w:rPr>
      </w:pPr>
    </w:p>
    <w:p w14:paraId="2BA56A28" w14:textId="35C02AD7" w:rsidR="005201BB" w:rsidRDefault="0035419B" w:rsidP="00CC427F">
      <w:pPr>
        <w:pStyle w:val="Style1"/>
      </w:pPr>
      <w:r>
        <w:rPr>
          <w:lang w:val="en-US"/>
        </w:rPr>
        <w:lastRenderedPageBreak/>
        <w:drawing>
          <wp:inline distT="0" distB="0" distL="0" distR="0" wp14:anchorId="17E4FF54" wp14:editId="243A383D">
            <wp:extent cx="5314950" cy="2358390"/>
            <wp:effectExtent l="38100" t="57150" r="3810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3E64924" w14:textId="77777777" w:rsidR="005201BB" w:rsidRDefault="00C834B5" w:rsidP="00627E48">
      <w:pPr>
        <w:pStyle w:val="Style1"/>
      </w:pPr>
      <w:r>
        <w:t>Фиг. 1. Устойчиво управление на човешките ресурси</w:t>
      </w:r>
    </w:p>
    <w:p w14:paraId="34909DEE" w14:textId="0171EF60" w:rsidR="005201BB" w:rsidRPr="00D87A20" w:rsidRDefault="00C834B5" w:rsidP="00627E48">
      <w:pPr>
        <w:pStyle w:val="Style1"/>
        <w:rPr>
          <w:lang w:val="en-US"/>
        </w:rPr>
      </w:pPr>
      <w:r>
        <w:t xml:space="preserve">Източник: </w:t>
      </w:r>
      <w:r w:rsidR="000C38F3">
        <w:t>Адаптирано</w:t>
      </w:r>
      <w:r w:rsidR="00852602">
        <w:t xml:space="preserve"> о</w:t>
      </w:r>
      <w:r w:rsidR="000C38F3">
        <w:t xml:space="preserve">т </w:t>
      </w:r>
      <w:r w:rsidR="00061E16">
        <w:t>(</w:t>
      </w:r>
      <w:r w:rsidR="00061E16">
        <w:rPr>
          <w:lang w:val="en-US"/>
        </w:rPr>
        <w:t>Antonova</w:t>
      </w:r>
      <w:r w:rsidR="00D87A20">
        <w:rPr>
          <w:lang w:val="en-US"/>
        </w:rPr>
        <w:t>, 2017</w:t>
      </w:r>
      <w:r w:rsidR="00061E16">
        <w:rPr>
          <w:lang w:val="en-US"/>
        </w:rPr>
        <w:t>)</w:t>
      </w:r>
    </w:p>
    <w:p w14:paraId="2B07819D" w14:textId="77777777" w:rsidR="005201BB" w:rsidRDefault="005201BB">
      <w:pPr>
        <w:spacing w:after="0" w:line="360" w:lineRule="auto"/>
        <w:ind w:firstLine="709"/>
        <w:jc w:val="both"/>
        <w:rPr>
          <w:rFonts w:ascii="Times New Roman" w:eastAsia="Times New Roman" w:hAnsi="Times New Roman" w:cs="Times New Roman"/>
          <w:sz w:val="24"/>
          <w:szCs w:val="24"/>
        </w:rPr>
      </w:pPr>
    </w:p>
    <w:p w14:paraId="5A0428D1" w14:textId="1A0C382E"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Подходящите стратегии и подходи за управление и по-добра</w:t>
      </w:r>
      <w:r w:rsidR="00CB7CF5">
        <w:rPr>
          <w:rFonts w:ascii="Times New Roman" w:eastAsia="Times New Roman" w:hAnsi="Times New Roman" w:cs="Times New Roman"/>
          <w:sz w:val="24"/>
          <w:szCs w:val="24"/>
        </w:rPr>
        <w:t>та</w:t>
      </w:r>
      <w:r>
        <w:rPr>
          <w:rFonts w:ascii="Times New Roman" w:eastAsia="Times New Roman" w:hAnsi="Times New Roman" w:cs="Times New Roman"/>
          <w:sz w:val="24"/>
          <w:szCs w:val="24"/>
        </w:rPr>
        <w:t xml:space="preserve"> квалификация на хората води до увеличаване на възможностите за адекватно реагиране на бързо променящата се пазарна среда, подобряване на качеството и производителността на труда, увеличаване на печалбата, подобряване социално-психологическия аспект и постигане на по-висока мотивация при служителите</w:t>
      </w:r>
      <w:r w:rsidR="00CB7CF5">
        <w:rPr>
          <w:rFonts w:ascii="Times New Roman" w:eastAsia="Times New Roman" w:hAnsi="Times New Roman" w:cs="Times New Roman"/>
          <w:sz w:val="24"/>
          <w:szCs w:val="24"/>
        </w:rPr>
        <w:t xml:space="preserve"> в софтуерния бизнес</w:t>
      </w:r>
      <w:r>
        <w:rPr>
          <w:rFonts w:ascii="Times New Roman" w:eastAsia="Times New Roman" w:hAnsi="Times New Roman" w:cs="Times New Roman"/>
          <w:sz w:val="24"/>
          <w:szCs w:val="24"/>
        </w:rPr>
        <w:t xml:space="preserve"> (</w:t>
      </w:r>
      <w:r w:rsidR="00061E16">
        <w:rPr>
          <w:rFonts w:ascii="Times New Roman" w:eastAsia="Times New Roman" w:hAnsi="Times New Roman" w:cs="Times New Roman"/>
          <w:sz w:val="24"/>
          <w:szCs w:val="24"/>
          <w:lang w:val="en-US"/>
        </w:rPr>
        <w:t>Antonova</w:t>
      </w:r>
      <w:r w:rsidR="00D87A20">
        <w:rPr>
          <w:rFonts w:ascii="Times New Roman" w:eastAsia="Times New Roman" w:hAnsi="Times New Roman" w:cs="Times New Roman"/>
          <w:sz w:val="24"/>
          <w:szCs w:val="24"/>
          <w:lang w:val="en-US"/>
        </w:rPr>
        <w:t>, 2017</w:t>
      </w:r>
      <w:r>
        <w:rPr>
          <w:rFonts w:ascii="Times New Roman" w:eastAsia="Times New Roman" w:hAnsi="Times New Roman" w:cs="Times New Roman"/>
          <w:sz w:val="24"/>
          <w:szCs w:val="24"/>
        </w:rPr>
        <w:t>).</w:t>
      </w:r>
    </w:p>
    <w:p w14:paraId="6C9ED063" w14:textId="77777777" w:rsidR="005201BB" w:rsidRDefault="005201BB">
      <w:pPr>
        <w:spacing w:after="0" w:line="360" w:lineRule="auto"/>
        <w:ind w:firstLine="709"/>
        <w:jc w:val="both"/>
        <w:rPr>
          <w:rFonts w:ascii="Times New Roman" w:eastAsia="Times New Roman" w:hAnsi="Times New Roman" w:cs="Times New Roman"/>
          <w:sz w:val="24"/>
          <w:szCs w:val="24"/>
        </w:rPr>
      </w:pPr>
    </w:p>
    <w:p w14:paraId="59A17ED5" w14:textId="52A40CA2" w:rsidR="00627E48" w:rsidRPr="00B072C8" w:rsidRDefault="00671813" w:rsidP="00061E16">
      <w:pPr>
        <w:pStyle w:val="Article-section-title"/>
        <w:numPr>
          <w:ilvl w:val="0"/>
          <w:numId w:val="5"/>
        </w:numPr>
        <w:ind w:left="0" w:firstLine="709"/>
        <w:rPr>
          <w:rFonts w:eastAsiaTheme="minorHAnsi"/>
        </w:rPr>
      </w:pPr>
      <w:r>
        <w:rPr>
          <w:rFonts w:eastAsiaTheme="minorHAnsi"/>
        </w:rPr>
        <w:t xml:space="preserve">Модели </w:t>
      </w:r>
      <w:r w:rsidR="00F47094">
        <w:rPr>
          <w:rFonts w:eastAsiaTheme="minorHAnsi"/>
        </w:rPr>
        <w:t>за оценка на</w:t>
      </w:r>
      <w:r>
        <w:rPr>
          <w:rFonts w:eastAsiaTheme="minorHAnsi"/>
        </w:rPr>
        <w:t xml:space="preserve"> зрялост при</w:t>
      </w:r>
      <w:r w:rsidR="00C834B5" w:rsidRPr="00B072C8">
        <w:rPr>
          <w:rFonts w:eastAsiaTheme="minorHAnsi"/>
        </w:rPr>
        <w:t xml:space="preserve"> разработ</w:t>
      </w:r>
      <w:r w:rsidR="00F47094">
        <w:rPr>
          <w:rFonts w:eastAsiaTheme="minorHAnsi"/>
        </w:rPr>
        <w:t>ване</w:t>
      </w:r>
      <w:r w:rsidR="00C834B5" w:rsidRPr="00B072C8">
        <w:rPr>
          <w:rFonts w:eastAsiaTheme="minorHAnsi"/>
        </w:rPr>
        <w:t xml:space="preserve"> на</w:t>
      </w:r>
      <w:r w:rsidR="00F47094">
        <w:rPr>
          <w:rFonts w:eastAsiaTheme="minorHAnsi"/>
        </w:rPr>
        <w:t xml:space="preserve"> ефективна</w:t>
      </w:r>
      <w:r w:rsidR="00C834B5" w:rsidRPr="00B072C8">
        <w:rPr>
          <w:rFonts w:eastAsiaTheme="minorHAnsi"/>
        </w:rPr>
        <w:t xml:space="preserve"> система за управление на човешките ресурси</w:t>
      </w:r>
    </w:p>
    <w:p w14:paraId="497567FF" w14:textId="55EADE83"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Управлението на човешки ресурси в организациите е сложен процес, който налага разработването на системи и политики за стратегическо управление, оценка на резултатите, система за управление и мотивация на персонала, система за контрол на резултатите и др</w:t>
      </w:r>
      <w:r w:rsidR="00561BE2">
        <w:rPr>
          <w:rFonts w:ascii="Times New Roman" w:eastAsia="Times New Roman" w:hAnsi="Times New Roman" w:cs="Times New Roman"/>
          <w:sz w:val="24"/>
          <w:szCs w:val="24"/>
        </w:rPr>
        <w:t>уги</w:t>
      </w:r>
      <w:r>
        <w:rPr>
          <w:rFonts w:ascii="Times New Roman" w:eastAsia="Times New Roman" w:hAnsi="Times New Roman" w:cs="Times New Roman"/>
          <w:sz w:val="24"/>
          <w:szCs w:val="24"/>
        </w:rPr>
        <w:t xml:space="preserve"> (</w:t>
      </w:r>
      <w:r w:rsidR="00112383">
        <w:rPr>
          <w:rFonts w:ascii="Times New Roman" w:eastAsia="Times New Roman" w:hAnsi="Times New Roman" w:cs="Times New Roman"/>
          <w:sz w:val="24"/>
          <w:szCs w:val="24"/>
          <w:lang w:val="en-US"/>
        </w:rPr>
        <w:t>Antonova</w:t>
      </w:r>
      <w:r w:rsidR="00D87A20">
        <w:rPr>
          <w:rFonts w:ascii="Times New Roman" w:eastAsia="Times New Roman" w:hAnsi="Times New Roman" w:cs="Times New Roman"/>
          <w:sz w:val="24"/>
          <w:szCs w:val="24"/>
          <w:lang w:val="en-US"/>
        </w:rPr>
        <w:t>, 2017</w:t>
      </w:r>
      <w:r>
        <w:rPr>
          <w:rFonts w:ascii="Times New Roman" w:eastAsia="Times New Roman" w:hAnsi="Times New Roman" w:cs="Times New Roman"/>
          <w:sz w:val="24"/>
          <w:szCs w:val="24"/>
        </w:rPr>
        <w:t>)</w:t>
      </w:r>
      <w:r w:rsidR="00561BE2">
        <w:rPr>
          <w:rFonts w:ascii="Times New Roman" w:eastAsia="Times New Roman" w:hAnsi="Times New Roman" w:cs="Times New Roman"/>
          <w:sz w:val="24"/>
          <w:szCs w:val="24"/>
        </w:rPr>
        <w:t>.</w:t>
      </w:r>
    </w:p>
    <w:p w14:paraId="5E857791" w14:textId="2D925916" w:rsidR="00F3708A" w:rsidRDefault="00C834B5" w:rsidP="00007E2F">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ерата на технологиите, за да се постигне целенасочено управление и да се изгради технологична инфраструктура </w:t>
      </w:r>
      <w:r w:rsidR="00561BE2">
        <w:rPr>
          <w:rFonts w:ascii="Times New Roman" w:eastAsia="Times New Roman" w:hAnsi="Times New Roman" w:cs="Times New Roman"/>
          <w:sz w:val="24"/>
          <w:szCs w:val="24"/>
        </w:rPr>
        <w:t>на процесите</w:t>
      </w:r>
      <w:r>
        <w:rPr>
          <w:rFonts w:ascii="Times New Roman" w:eastAsia="Times New Roman" w:hAnsi="Times New Roman" w:cs="Times New Roman"/>
          <w:sz w:val="24"/>
          <w:szCs w:val="24"/>
        </w:rPr>
        <w:t>, организациите се нуждаят от помощта на хардуерни и софтуерни услуги. За подпомагане на организациите при разработването на софтуерни стратегии се използват определени модели</w:t>
      </w:r>
      <w:r w:rsidR="00561B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D10D5" w:rsidRPr="00B072C8">
        <w:rPr>
          <w:rFonts w:ascii="Times New Roman" w:eastAsiaTheme="minorHAnsi" w:hAnsi="Times New Roman" w:cs="Times New Roman"/>
          <w:b/>
          <w:bCs/>
          <w:sz w:val="24"/>
          <w:szCs w:val="24"/>
        </w:rPr>
        <w:t>Capability Maturity Model</w:t>
      </w:r>
      <w:r w:rsidR="00796D93">
        <w:rPr>
          <w:rFonts w:ascii="Times New Roman" w:eastAsiaTheme="minorHAnsi" w:hAnsi="Times New Roman" w:cs="Times New Roman"/>
          <w:b/>
          <w:bCs/>
          <w:sz w:val="24"/>
          <w:szCs w:val="24"/>
        </w:rPr>
        <w:t xml:space="preserve"> (</w:t>
      </w:r>
      <w:r w:rsidR="00796D93">
        <w:rPr>
          <w:rFonts w:ascii="Times New Roman" w:eastAsiaTheme="minorHAnsi" w:hAnsi="Times New Roman" w:cs="Times New Roman"/>
          <w:b/>
          <w:bCs/>
          <w:sz w:val="24"/>
          <w:szCs w:val="24"/>
          <w:lang w:val="en-GB"/>
        </w:rPr>
        <w:t>CMM</w:t>
      </w:r>
      <w:r w:rsidR="00796D93">
        <w:rPr>
          <w:rFonts w:ascii="Times New Roman" w:eastAsiaTheme="minorHAnsi" w:hAnsi="Times New Roman" w:cs="Times New Roman"/>
          <w:b/>
          <w:bCs/>
          <w:sz w:val="24"/>
          <w:szCs w:val="24"/>
        </w:rPr>
        <w:t>)</w:t>
      </w:r>
      <w:r w:rsidR="00250795">
        <w:rPr>
          <w:rFonts w:ascii="Times New Roman" w:eastAsiaTheme="minorHAnsi" w:hAnsi="Times New Roman" w:cs="Times New Roman"/>
          <w:b/>
          <w:bCs/>
          <w:sz w:val="24"/>
          <w:szCs w:val="24"/>
        </w:rPr>
        <w:t xml:space="preserve"> </w:t>
      </w:r>
      <w:r>
        <w:rPr>
          <w:rFonts w:ascii="Times New Roman" w:eastAsia="Times New Roman" w:hAnsi="Times New Roman" w:cs="Times New Roman"/>
          <w:sz w:val="24"/>
          <w:szCs w:val="24"/>
        </w:rPr>
        <w:t xml:space="preserve">и </w:t>
      </w:r>
      <w:r w:rsidR="00CD10D5" w:rsidRPr="00B072C8">
        <w:rPr>
          <w:rFonts w:ascii="Times New Roman" w:eastAsiaTheme="minorHAnsi" w:hAnsi="Times New Roman" w:cs="Times New Roman"/>
          <w:b/>
          <w:bCs/>
          <w:sz w:val="24"/>
          <w:szCs w:val="24"/>
        </w:rPr>
        <w:t>Capability Maturity Model Integration</w:t>
      </w:r>
      <w:r w:rsidR="00796D93">
        <w:rPr>
          <w:rFonts w:ascii="Times New Roman" w:eastAsiaTheme="minorHAnsi" w:hAnsi="Times New Roman" w:cs="Times New Roman"/>
          <w:b/>
          <w:bCs/>
          <w:sz w:val="24"/>
          <w:szCs w:val="24"/>
          <w:lang w:val="en-GB"/>
        </w:rPr>
        <w:t xml:space="preserve"> (CMMI)</w:t>
      </w:r>
      <w:r>
        <w:rPr>
          <w:rFonts w:ascii="Times New Roman" w:eastAsia="Times New Roman" w:hAnsi="Times New Roman" w:cs="Times New Roman"/>
          <w:sz w:val="24"/>
          <w:szCs w:val="24"/>
        </w:rPr>
        <w:t xml:space="preserve"> са два от тези </w:t>
      </w:r>
      <w:r w:rsidR="00561BE2">
        <w:rPr>
          <w:rFonts w:ascii="Times New Roman" w:eastAsia="Times New Roman" w:hAnsi="Times New Roman" w:cs="Times New Roman"/>
          <w:sz w:val="24"/>
          <w:szCs w:val="24"/>
        </w:rPr>
        <w:t>модели</w:t>
      </w:r>
      <w:r>
        <w:rPr>
          <w:rFonts w:ascii="Times New Roman" w:eastAsia="Times New Roman" w:hAnsi="Times New Roman" w:cs="Times New Roman"/>
          <w:sz w:val="24"/>
          <w:szCs w:val="24"/>
        </w:rPr>
        <w:t xml:space="preserve">, прилагани за оценка на способността </w:t>
      </w:r>
      <w:r w:rsidR="00561BE2">
        <w:rPr>
          <w:rFonts w:ascii="Times New Roman" w:eastAsia="Times New Roman" w:hAnsi="Times New Roman" w:cs="Times New Roman"/>
          <w:sz w:val="24"/>
          <w:szCs w:val="24"/>
        </w:rPr>
        <w:t xml:space="preserve">за </w:t>
      </w:r>
      <w:r>
        <w:rPr>
          <w:rFonts w:ascii="Times New Roman" w:eastAsia="Times New Roman" w:hAnsi="Times New Roman" w:cs="Times New Roman"/>
          <w:sz w:val="24"/>
          <w:szCs w:val="24"/>
        </w:rPr>
        <w:t xml:space="preserve">успешно </w:t>
      </w:r>
      <w:r w:rsidR="00561BE2">
        <w:rPr>
          <w:rFonts w:ascii="Times New Roman" w:eastAsia="Times New Roman" w:hAnsi="Times New Roman" w:cs="Times New Roman"/>
          <w:sz w:val="24"/>
          <w:szCs w:val="24"/>
        </w:rPr>
        <w:t xml:space="preserve">изпълнение на </w:t>
      </w:r>
      <w:r>
        <w:rPr>
          <w:rFonts w:ascii="Times New Roman" w:eastAsia="Times New Roman" w:hAnsi="Times New Roman" w:cs="Times New Roman"/>
          <w:sz w:val="24"/>
          <w:szCs w:val="24"/>
        </w:rPr>
        <w:t>софтуер</w:t>
      </w:r>
      <w:r w:rsidR="00561BE2">
        <w:rPr>
          <w:rFonts w:ascii="Times New Roman" w:eastAsia="Times New Roman" w:hAnsi="Times New Roman" w:cs="Times New Roman"/>
          <w:sz w:val="24"/>
          <w:szCs w:val="24"/>
        </w:rPr>
        <w:t>ните</w:t>
      </w:r>
      <w:r>
        <w:rPr>
          <w:rFonts w:ascii="Times New Roman" w:eastAsia="Times New Roman" w:hAnsi="Times New Roman" w:cs="Times New Roman"/>
          <w:sz w:val="24"/>
          <w:szCs w:val="24"/>
        </w:rPr>
        <w:t xml:space="preserve"> процес</w:t>
      </w:r>
      <w:r w:rsidR="00561BE2">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Разработеният от института по софтуерно инженерство модел за оценка на зрялост – Capability Maturity Model, очертава характеристиките на завършен и качествен </w:t>
      </w:r>
      <w:r>
        <w:rPr>
          <w:rFonts w:ascii="Times New Roman" w:eastAsia="Times New Roman" w:hAnsi="Times New Roman" w:cs="Times New Roman"/>
          <w:sz w:val="24"/>
          <w:szCs w:val="24"/>
        </w:rPr>
        <w:lastRenderedPageBreak/>
        <w:t>процес по разработка на софтуер. Моделът описва ключовите елементи на изграждането на ефективен софтуерен процес</w:t>
      </w:r>
      <w:r w:rsidR="00796D93">
        <w:rPr>
          <w:rFonts w:ascii="Times New Roman" w:eastAsia="Times New Roman" w:hAnsi="Times New Roman" w:cs="Times New Roman"/>
          <w:sz w:val="24"/>
          <w:szCs w:val="24"/>
          <w:lang w:val="en-GB"/>
        </w:rPr>
        <w:t xml:space="preserve"> </w:t>
      </w:r>
      <w:r w:rsidR="00796D93">
        <w:rPr>
          <w:rFonts w:ascii="Times New Roman" w:eastAsia="Times New Roman" w:hAnsi="Times New Roman" w:cs="Times New Roman"/>
          <w:sz w:val="24"/>
          <w:szCs w:val="24"/>
        </w:rPr>
        <w:t>и обхваща</w:t>
      </w:r>
      <w:r>
        <w:rPr>
          <w:rFonts w:ascii="Times New Roman" w:eastAsia="Times New Roman" w:hAnsi="Times New Roman" w:cs="Times New Roman"/>
          <w:sz w:val="24"/>
          <w:szCs w:val="24"/>
        </w:rPr>
        <w:t xml:space="preserve"> практики за планиране, управление, разработка и поддръжка</w:t>
      </w:r>
      <w:r w:rsidR="00A30682">
        <w:rPr>
          <w:rFonts w:ascii="Times New Roman" w:eastAsia="Times New Roman" w:hAnsi="Times New Roman" w:cs="Times New Roman"/>
          <w:sz w:val="24"/>
          <w:szCs w:val="24"/>
          <w:lang w:val="en-US"/>
        </w:rPr>
        <w:t xml:space="preserve"> (</w:t>
      </w:r>
      <w:r w:rsidR="00A30682" w:rsidRPr="00A81860">
        <w:rPr>
          <w:rFonts w:ascii="Times New Roman" w:eastAsia="Times New Roman" w:hAnsi="Times New Roman" w:cs="Times New Roman"/>
          <w:color w:val="000000"/>
          <w:sz w:val="24"/>
          <w:szCs w:val="24"/>
        </w:rPr>
        <w:t>Curtis</w:t>
      </w:r>
      <w:r w:rsidR="00A30682">
        <w:rPr>
          <w:rFonts w:ascii="Times New Roman" w:eastAsia="Times New Roman" w:hAnsi="Times New Roman" w:cs="Times New Roman"/>
          <w:color w:val="000000"/>
          <w:sz w:val="24"/>
          <w:szCs w:val="24"/>
          <w:lang w:val="en-US"/>
        </w:rPr>
        <w:t xml:space="preserve"> et al., 2009</w:t>
      </w:r>
      <w:r w:rsidR="00A3068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w:t>
      </w:r>
    </w:p>
    <w:p w14:paraId="38238BE3" w14:textId="043D16BA"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CMM може да се използва за цели като: </w:t>
      </w:r>
    </w:p>
    <w:p w14:paraId="46BA4CAB" w14:textId="3DB60F5E" w:rsidR="005201BB" w:rsidRDefault="00007E2F" w:rsidP="00691343">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00C834B5">
        <w:rPr>
          <w:rFonts w:ascii="Times New Roman" w:eastAsia="Times New Roman" w:hAnsi="Times New Roman" w:cs="Times New Roman"/>
          <w:sz w:val="24"/>
          <w:szCs w:val="24"/>
        </w:rPr>
        <w:t>одобряване на софтуерния процес, при планиране, разработка и поддръжка</w:t>
      </w:r>
      <w:r>
        <w:rPr>
          <w:rFonts w:ascii="Times New Roman" w:eastAsia="Times New Roman" w:hAnsi="Times New Roman" w:cs="Times New Roman"/>
          <w:sz w:val="24"/>
          <w:szCs w:val="24"/>
        </w:rPr>
        <w:t>;</w:t>
      </w:r>
    </w:p>
    <w:p w14:paraId="741C27B7" w14:textId="722840B2" w:rsidR="005201BB" w:rsidRDefault="00007E2F" w:rsidP="00691343">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w:t>
      </w:r>
      <w:r w:rsidR="00C834B5">
        <w:rPr>
          <w:rFonts w:ascii="Times New Roman" w:eastAsia="Times New Roman" w:hAnsi="Times New Roman" w:cs="Times New Roman"/>
          <w:sz w:val="24"/>
          <w:szCs w:val="24"/>
        </w:rPr>
        <w:t>ценки на софтуерните процеси и определяне на задачите с висок приоритет</w:t>
      </w:r>
      <w:r>
        <w:rPr>
          <w:rFonts w:ascii="Times New Roman" w:eastAsia="Times New Roman" w:hAnsi="Times New Roman" w:cs="Times New Roman"/>
          <w:sz w:val="24"/>
          <w:szCs w:val="24"/>
        </w:rPr>
        <w:t>;</w:t>
      </w:r>
    </w:p>
    <w:p w14:paraId="772C9163" w14:textId="750831AC" w:rsidR="005201BB" w:rsidRDefault="00007E2F" w:rsidP="00691343">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00C834B5">
        <w:rPr>
          <w:rFonts w:ascii="Times New Roman" w:eastAsia="Times New Roman" w:hAnsi="Times New Roman" w:cs="Times New Roman"/>
          <w:sz w:val="24"/>
          <w:szCs w:val="24"/>
        </w:rPr>
        <w:t>ъставяне на обучен екип от софтуерни специалисти, квалифицирани да изпълняват поставените задачи.</w:t>
      </w:r>
    </w:p>
    <w:p w14:paraId="03D27130" w14:textId="6C3782DB"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CMM предоставя рамка, състояща се от пет нива на зрялост, които полагат последователни основи за подобряване на процесите</w:t>
      </w:r>
      <w:r w:rsidR="00A510B3">
        <w:rPr>
          <w:rFonts w:ascii="Times New Roman" w:eastAsia="Times New Roman" w:hAnsi="Times New Roman" w:cs="Times New Roman"/>
          <w:sz w:val="24"/>
          <w:szCs w:val="24"/>
        </w:rPr>
        <w:t xml:space="preserve"> (</w:t>
      </w:r>
      <w:r w:rsidR="00A510B3">
        <w:rPr>
          <w:rFonts w:ascii="Times New Roman" w:eastAsia="Times New Roman" w:hAnsi="Times New Roman" w:cs="Times New Roman"/>
          <w:sz w:val="24"/>
          <w:szCs w:val="24"/>
          <w:lang w:val="en-GB"/>
        </w:rPr>
        <w:t>Serrano, 2013</w:t>
      </w:r>
      <w:r w:rsidR="00A510B3">
        <w:rPr>
          <w:rFonts w:ascii="Times New Roman" w:eastAsia="Times New Roman" w:hAnsi="Times New Roman" w:cs="Times New Roman"/>
          <w:sz w:val="24"/>
          <w:szCs w:val="24"/>
        </w:rPr>
        <w:t>)</w:t>
      </w:r>
      <w:r>
        <w:rPr>
          <w:rFonts w:ascii="Times New Roman" w:eastAsia="Times New Roman" w:hAnsi="Times New Roman" w:cs="Times New Roman"/>
          <w:sz w:val="24"/>
          <w:szCs w:val="24"/>
        </w:rPr>
        <w:t>. Прилагането на модела CMM е от основно значение за всяка дългосрочна</w:t>
      </w:r>
      <w:r w:rsidR="00561BE2">
        <w:rPr>
          <w:rFonts w:ascii="Times New Roman" w:eastAsia="Times New Roman" w:hAnsi="Times New Roman" w:cs="Times New Roman"/>
          <w:sz w:val="24"/>
          <w:szCs w:val="24"/>
        </w:rPr>
        <w:t xml:space="preserve"> организационна</w:t>
      </w:r>
      <w:r>
        <w:rPr>
          <w:rFonts w:ascii="Times New Roman" w:eastAsia="Times New Roman" w:hAnsi="Times New Roman" w:cs="Times New Roman"/>
          <w:sz w:val="24"/>
          <w:szCs w:val="24"/>
        </w:rPr>
        <w:t xml:space="preserve"> стратегия. Тази методология е в основата на повечето системи за управление, които са предназначени да подобрят качеството на изработката и доставката на всички продукти и услуги. Актуалността на CMM се крие в това, че помага на софтуерните компании да постигнат последователност, предвидимост и надеждност. Петте нива на зрялост определят скала за измерване на зрелостта на софтуерния процес на организацията и за оценка н</w:t>
      </w:r>
      <w:r w:rsidR="00561BE2">
        <w:rPr>
          <w:rFonts w:ascii="Times New Roman" w:eastAsia="Times New Roman" w:hAnsi="Times New Roman" w:cs="Times New Roman"/>
          <w:sz w:val="24"/>
          <w:szCs w:val="24"/>
        </w:rPr>
        <w:t xml:space="preserve">а </w:t>
      </w:r>
      <w:r>
        <w:rPr>
          <w:rFonts w:ascii="Times New Roman" w:eastAsia="Times New Roman" w:hAnsi="Times New Roman" w:cs="Times New Roman"/>
          <w:sz w:val="24"/>
          <w:szCs w:val="24"/>
        </w:rPr>
        <w:t>процеси</w:t>
      </w:r>
      <w:r w:rsidR="00561BE2">
        <w:rPr>
          <w:rFonts w:ascii="Times New Roman" w:eastAsia="Times New Roman" w:hAnsi="Times New Roman" w:cs="Times New Roman"/>
          <w:sz w:val="24"/>
          <w:szCs w:val="24"/>
        </w:rPr>
        <w:t>те</w:t>
      </w:r>
      <w:r>
        <w:rPr>
          <w:rFonts w:ascii="Times New Roman" w:eastAsia="Times New Roman" w:hAnsi="Times New Roman" w:cs="Times New Roman"/>
          <w:sz w:val="24"/>
          <w:szCs w:val="24"/>
        </w:rPr>
        <w:t xml:space="preserve"> (Фиг. 2). </w:t>
      </w:r>
    </w:p>
    <w:p w14:paraId="0E21FCAA" w14:textId="77777777" w:rsidR="00627E48" w:rsidRDefault="00627E48">
      <w:pPr>
        <w:spacing w:after="0" w:line="360" w:lineRule="auto"/>
        <w:ind w:firstLine="709"/>
        <w:jc w:val="both"/>
        <w:rPr>
          <w:rFonts w:ascii="Times New Roman" w:eastAsia="Times New Roman" w:hAnsi="Times New Roman" w:cs="Times New Roman"/>
          <w:sz w:val="24"/>
          <w:szCs w:val="24"/>
        </w:rPr>
      </w:pPr>
    </w:p>
    <w:p w14:paraId="3B4CF968" w14:textId="35F6D446" w:rsidR="005201BB" w:rsidRDefault="00852602" w:rsidP="00627E48">
      <w:pPr>
        <w:pStyle w:val="Style1"/>
      </w:pPr>
      <w:r>
        <w:rPr>
          <w:lang w:val="en-US"/>
        </w:rPr>
        <w:drawing>
          <wp:inline distT="0" distB="0" distL="0" distR="0" wp14:anchorId="235DE250" wp14:editId="082AEBF2">
            <wp:extent cx="5509773" cy="2973721"/>
            <wp:effectExtent l="38100" t="0" r="5334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308E2C0" w14:textId="656CDB3F" w:rsidR="005201BB" w:rsidRDefault="00C834B5" w:rsidP="00627E48">
      <w:pPr>
        <w:pStyle w:val="Style1"/>
      </w:pPr>
      <w:r>
        <w:t xml:space="preserve">Фиг. 2. </w:t>
      </w:r>
      <w:r w:rsidR="00561BE2">
        <w:t xml:space="preserve">Нива на </w:t>
      </w:r>
      <w:r>
        <w:t>CMM</w:t>
      </w:r>
    </w:p>
    <w:p w14:paraId="56EF9CAA" w14:textId="7BD2CBF0" w:rsidR="005201BB" w:rsidRDefault="00C834B5" w:rsidP="00627E48">
      <w:pPr>
        <w:pStyle w:val="Style1"/>
      </w:pPr>
      <w:r>
        <w:t>Източник:</w:t>
      </w:r>
      <w:r w:rsidR="000C38F3">
        <w:t xml:space="preserve"> Разработка на автора</w:t>
      </w:r>
    </w:p>
    <w:p w14:paraId="60E6BA36" w14:textId="77777777" w:rsidR="000C38F3" w:rsidRDefault="000C38F3">
      <w:pPr>
        <w:spacing w:after="0" w:line="360" w:lineRule="auto"/>
        <w:jc w:val="center"/>
        <w:rPr>
          <w:rFonts w:ascii="Times New Roman" w:eastAsia="Times New Roman" w:hAnsi="Times New Roman" w:cs="Times New Roman"/>
          <w:sz w:val="24"/>
          <w:szCs w:val="24"/>
        </w:rPr>
      </w:pPr>
    </w:p>
    <w:p w14:paraId="3C313990" w14:textId="35943D3B" w:rsidR="00515A86"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Разделянето на нива дава възможност на организациите да приоритизират  усилията си за подобряване. Всяко ниво на зрялост включва набор от цели </w:t>
      </w:r>
      <w:r w:rsidR="00202324">
        <w:rPr>
          <w:rFonts w:ascii="Times New Roman" w:eastAsia="Times New Roman" w:hAnsi="Times New Roman" w:cs="Times New Roman"/>
          <w:sz w:val="24"/>
          <w:szCs w:val="24"/>
        </w:rPr>
        <w:t>за</w:t>
      </w:r>
      <w:r>
        <w:rPr>
          <w:rFonts w:ascii="Times New Roman" w:eastAsia="Times New Roman" w:hAnsi="Times New Roman" w:cs="Times New Roman"/>
          <w:sz w:val="24"/>
          <w:szCs w:val="24"/>
        </w:rPr>
        <w:t xml:space="preserve"> стабилизира</w:t>
      </w:r>
      <w:r w:rsidR="00202324">
        <w:rPr>
          <w:rFonts w:ascii="Times New Roman" w:eastAsia="Times New Roman" w:hAnsi="Times New Roman" w:cs="Times New Roman"/>
          <w:sz w:val="24"/>
          <w:szCs w:val="24"/>
        </w:rPr>
        <w:t xml:space="preserve">не на </w:t>
      </w:r>
      <w:r>
        <w:rPr>
          <w:rFonts w:ascii="Times New Roman" w:eastAsia="Times New Roman" w:hAnsi="Times New Roman" w:cs="Times New Roman"/>
          <w:sz w:val="24"/>
          <w:szCs w:val="24"/>
        </w:rPr>
        <w:t xml:space="preserve">компонент от процеса. Постигането на </w:t>
      </w:r>
      <w:r w:rsidR="00202324">
        <w:rPr>
          <w:rFonts w:ascii="Times New Roman" w:eastAsia="Times New Roman" w:hAnsi="Times New Roman" w:cs="Times New Roman"/>
          <w:sz w:val="24"/>
          <w:szCs w:val="24"/>
        </w:rPr>
        <w:t>по-високо</w:t>
      </w:r>
      <w:r>
        <w:rPr>
          <w:rFonts w:ascii="Times New Roman" w:eastAsia="Times New Roman" w:hAnsi="Times New Roman" w:cs="Times New Roman"/>
          <w:sz w:val="24"/>
          <w:szCs w:val="24"/>
        </w:rPr>
        <w:t xml:space="preserve"> ниво </w:t>
      </w:r>
      <w:r w:rsidR="00202324">
        <w:rPr>
          <w:rFonts w:ascii="Times New Roman" w:eastAsia="Times New Roman" w:hAnsi="Times New Roman" w:cs="Times New Roman"/>
          <w:sz w:val="24"/>
          <w:szCs w:val="24"/>
        </w:rPr>
        <w:t>от</w:t>
      </w:r>
      <w:r>
        <w:rPr>
          <w:rFonts w:ascii="Times New Roman" w:eastAsia="Times New Roman" w:hAnsi="Times New Roman" w:cs="Times New Roman"/>
          <w:sz w:val="24"/>
          <w:szCs w:val="24"/>
        </w:rPr>
        <w:t xml:space="preserve"> рамка</w:t>
      </w:r>
      <w:r w:rsidR="00202324">
        <w:rPr>
          <w:rFonts w:ascii="Times New Roman" w:eastAsia="Times New Roman" w:hAnsi="Times New Roman" w:cs="Times New Roman"/>
          <w:sz w:val="24"/>
          <w:szCs w:val="24"/>
        </w:rPr>
        <w:t>та</w:t>
      </w:r>
      <w:r>
        <w:rPr>
          <w:rFonts w:ascii="Times New Roman" w:eastAsia="Times New Roman" w:hAnsi="Times New Roman" w:cs="Times New Roman"/>
          <w:sz w:val="24"/>
          <w:szCs w:val="24"/>
        </w:rPr>
        <w:t xml:space="preserve"> за зрялост води до увеличаване на процесните възможности на организацията. Петте нива на зрялост на софтуерните възможности </w:t>
      </w:r>
      <w:r w:rsidR="00202324">
        <w:rPr>
          <w:rFonts w:ascii="Times New Roman" w:eastAsia="Times New Roman" w:hAnsi="Times New Roman" w:cs="Times New Roman"/>
          <w:sz w:val="24"/>
          <w:szCs w:val="24"/>
        </w:rPr>
        <w:t>са</w:t>
      </w:r>
      <w:r>
        <w:rPr>
          <w:rFonts w:ascii="Times New Roman" w:eastAsia="Times New Roman" w:hAnsi="Times New Roman" w:cs="Times New Roman"/>
          <w:sz w:val="24"/>
          <w:szCs w:val="24"/>
        </w:rPr>
        <w:t xml:space="preserve">: </w:t>
      </w:r>
    </w:p>
    <w:p w14:paraId="415A1973" w14:textId="3DDD4536" w:rsidR="005201BB" w:rsidRDefault="00C834B5" w:rsidP="002B1A86">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Ниво 1</w:t>
      </w:r>
      <w:r>
        <w:rPr>
          <w:rFonts w:ascii="Times New Roman" w:eastAsia="Times New Roman" w:hAnsi="Times New Roman" w:cs="Times New Roman"/>
          <w:sz w:val="24"/>
          <w:szCs w:val="24"/>
        </w:rPr>
        <w:t xml:space="preserve"> (Начално): Първото ниво както на CMM описва незряла организация без дефинирани процеси, изпълняван</w:t>
      </w:r>
      <w:r w:rsidR="00202324">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по </w:t>
      </w:r>
      <w:r w:rsidR="00202324">
        <w:rPr>
          <w:rFonts w:ascii="Times New Roman" w:eastAsia="Times New Roman" w:hAnsi="Times New Roman" w:cs="Times New Roman"/>
          <w:sz w:val="24"/>
          <w:szCs w:val="24"/>
        </w:rPr>
        <w:t>хаотичен</w:t>
      </w:r>
      <w:r>
        <w:rPr>
          <w:rFonts w:ascii="Times New Roman" w:eastAsia="Times New Roman" w:hAnsi="Times New Roman" w:cs="Times New Roman"/>
          <w:sz w:val="24"/>
          <w:szCs w:val="24"/>
        </w:rPr>
        <w:t xml:space="preserve"> начин. </w:t>
      </w:r>
    </w:p>
    <w:p w14:paraId="388F15A3" w14:textId="55B0C9A4" w:rsidR="005201BB" w:rsidRDefault="00C834B5" w:rsidP="002B1A86">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Ниво 2</w:t>
      </w:r>
      <w:r>
        <w:rPr>
          <w:rFonts w:ascii="Times New Roman" w:eastAsia="Times New Roman" w:hAnsi="Times New Roman" w:cs="Times New Roman"/>
          <w:sz w:val="24"/>
          <w:szCs w:val="24"/>
        </w:rPr>
        <w:t xml:space="preserve"> (Повтаряне): Организации, които повтарят някои процеси, достигат ниво 2</w:t>
      </w:r>
      <w:r w:rsidR="00202324">
        <w:rPr>
          <w:rFonts w:ascii="Times New Roman" w:eastAsia="Times New Roman" w:hAnsi="Times New Roman" w:cs="Times New Roman"/>
          <w:sz w:val="24"/>
          <w:szCs w:val="24"/>
        </w:rPr>
        <w:t xml:space="preserve"> на</w:t>
      </w:r>
      <w:r>
        <w:rPr>
          <w:rFonts w:ascii="Times New Roman" w:eastAsia="Times New Roman" w:hAnsi="Times New Roman" w:cs="Times New Roman"/>
          <w:sz w:val="24"/>
          <w:szCs w:val="24"/>
        </w:rPr>
        <w:t xml:space="preserve"> CMM.</w:t>
      </w:r>
      <w:r w:rsidR="00202324">
        <w:rPr>
          <w:rFonts w:ascii="Times New Roman" w:eastAsia="Times New Roman" w:hAnsi="Times New Roman" w:cs="Times New Roman"/>
          <w:sz w:val="24"/>
          <w:szCs w:val="24"/>
        </w:rPr>
        <w:t xml:space="preserve"> Това е необходимо</w:t>
      </w:r>
      <w:r>
        <w:rPr>
          <w:rFonts w:ascii="Times New Roman" w:eastAsia="Times New Roman" w:hAnsi="Times New Roman" w:cs="Times New Roman"/>
          <w:sz w:val="24"/>
          <w:szCs w:val="24"/>
        </w:rPr>
        <w:t>, за да се повторят предишни успехи на проекти с подобни приложения.</w:t>
      </w:r>
    </w:p>
    <w:p w14:paraId="643DE548" w14:textId="510028D0" w:rsidR="005201BB" w:rsidRDefault="00C834B5" w:rsidP="002B1A86">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Ниво 3</w:t>
      </w:r>
      <w:r>
        <w:rPr>
          <w:rFonts w:ascii="Times New Roman" w:eastAsia="Times New Roman" w:hAnsi="Times New Roman" w:cs="Times New Roman"/>
          <w:sz w:val="24"/>
          <w:szCs w:val="24"/>
        </w:rPr>
        <w:t xml:space="preserve"> (Дефиниране): CMM ниво 3 налага </w:t>
      </w:r>
      <w:r w:rsidR="00202324">
        <w:rPr>
          <w:rFonts w:ascii="Times New Roman" w:eastAsia="Times New Roman" w:hAnsi="Times New Roman" w:cs="Times New Roman"/>
          <w:sz w:val="24"/>
          <w:szCs w:val="24"/>
        </w:rPr>
        <w:t>документиране и</w:t>
      </w:r>
      <w:r>
        <w:rPr>
          <w:rFonts w:ascii="Times New Roman" w:eastAsia="Times New Roman" w:hAnsi="Times New Roman" w:cs="Times New Roman"/>
          <w:sz w:val="24"/>
          <w:szCs w:val="24"/>
        </w:rPr>
        <w:t xml:space="preserve"> стандарт</w:t>
      </w:r>
      <w:r w:rsidR="00202324">
        <w:rPr>
          <w:rFonts w:ascii="Times New Roman" w:eastAsia="Times New Roman" w:hAnsi="Times New Roman" w:cs="Times New Roman"/>
          <w:sz w:val="24"/>
          <w:szCs w:val="24"/>
        </w:rPr>
        <w:t xml:space="preserve">изиране на </w:t>
      </w:r>
      <w:r>
        <w:rPr>
          <w:rFonts w:ascii="Times New Roman" w:eastAsia="Times New Roman" w:hAnsi="Times New Roman" w:cs="Times New Roman"/>
          <w:sz w:val="24"/>
          <w:szCs w:val="24"/>
        </w:rPr>
        <w:t>процеси за установяване на последователност в цялата организация. Всички проекти използват одобрена версия на стандартния софтуерен процес на организацията за разработване и поддържане на софтуер.</w:t>
      </w:r>
    </w:p>
    <w:p w14:paraId="3591D78B" w14:textId="7F6D0EC8" w:rsidR="005201BB" w:rsidRDefault="00C834B5" w:rsidP="002B1A86">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Ниво 4</w:t>
      </w:r>
      <w:r>
        <w:rPr>
          <w:rFonts w:ascii="Times New Roman" w:eastAsia="Times New Roman" w:hAnsi="Times New Roman" w:cs="Times New Roman"/>
          <w:sz w:val="24"/>
          <w:szCs w:val="24"/>
        </w:rPr>
        <w:t xml:space="preserve"> (Управление): CMM Ниво 4 изисква организациите да постигнат контрол върху процесите чрез използване на количествени статистически техники</w:t>
      </w:r>
      <w:r w:rsidR="00457295">
        <w:rPr>
          <w:rFonts w:ascii="Times New Roman" w:eastAsia="Times New Roman" w:hAnsi="Times New Roman" w:cs="Times New Roman"/>
          <w:sz w:val="24"/>
          <w:szCs w:val="24"/>
          <w:lang w:val="en-US"/>
        </w:rPr>
        <w:t xml:space="preserve"> (</w:t>
      </w:r>
      <w:r w:rsidR="00457295" w:rsidRPr="00A81860">
        <w:rPr>
          <w:rFonts w:ascii="Times New Roman" w:eastAsia="Times New Roman" w:hAnsi="Times New Roman" w:cs="Times New Roman"/>
          <w:color w:val="000000"/>
          <w:sz w:val="24"/>
          <w:szCs w:val="24"/>
        </w:rPr>
        <w:t>Gupta</w:t>
      </w:r>
      <w:r w:rsidR="0045729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w:t>
      </w:r>
    </w:p>
    <w:p w14:paraId="3706C7EA" w14:textId="1EF252BD" w:rsidR="005201BB" w:rsidRDefault="00C834B5" w:rsidP="002B1A86">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Ниво 5</w:t>
      </w:r>
      <w:r>
        <w:rPr>
          <w:rFonts w:ascii="Times New Roman" w:eastAsia="Times New Roman" w:hAnsi="Times New Roman" w:cs="Times New Roman"/>
          <w:sz w:val="24"/>
          <w:szCs w:val="24"/>
        </w:rPr>
        <w:t xml:space="preserve"> (Оптимизиране): CMM Ниво 5 налага използването на количествени инструменти за управление на подобряването на процеса</w:t>
      </w:r>
      <w:r w:rsidR="00D26C45">
        <w:rPr>
          <w:rFonts w:ascii="Times New Roman" w:eastAsia="Times New Roman" w:hAnsi="Times New Roman" w:cs="Times New Roman"/>
          <w:sz w:val="24"/>
          <w:szCs w:val="24"/>
          <w:lang w:val="en-US"/>
        </w:rPr>
        <w:t xml:space="preserve"> (It</w:t>
      </w:r>
      <w:r w:rsidR="00D26C45" w:rsidRPr="00F073E0">
        <w:rPr>
          <w:rFonts w:ascii="Times New Roman" w:eastAsia="Times New Roman" w:hAnsi="Times New Roman" w:cs="Times New Roman"/>
          <w:sz w:val="24"/>
          <w:szCs w:val="24"/>
        </w:rPr>
        <w:t>governance</w:t>
      </w:r>
      <w:r w:rsidR="00DB08BB">
        <w:rPr>
          <w:rFonts w:ascii="Times New Roman" w:eastAsia="Times New Roman" w:hAnsi="Times New Roman" w:cs="Times New Roman"/>
          <w:sz w:val="24"/>
          <w:szCs w:val="24"/>
          <w:lang w:val="en-GB"/>
        </w:rPr>
        <w:t>, 2022</w:t>
      </w:r>
      <w:r w:rsidR="00D26C45">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 xml:space="preserve">. </w:t>
      </w:r>
    </w:p>
    <w:p w14:paraId="2ABE8017" w14:textId="08805AFA" w:rsidR="00EA05AE" w:rsidRDefault="00EA05AE" w:rsidP="00EA05AE">
      <w:pPr>
        <w:spacing w:after="0" w:line="360" w:lineRule="auto"/>
        <w:ind w:firstLine="709"/>
        <w:jc w:val="both"/>
        <w:rPr>
          <w:rFonts w:ascii="Times New Roman" w:eastAsia="Times New Roman" w:hAnsi="Times New Roman" w:cs="Times New Roman"/>
          <w:sz w:val="24"/>
          <w:szCs w:val="24"/>
        </w:rPr>
      </w:pPr>
      <w:r w:rsidRPr="00F3708A">
        <w:rPr>
          <w:rFonts w:ascii="Times New Roman" w:eastAsia="Times New Roman" w:hAnsi="Times New Roman" w:cs="Times New Roman"/>
          <w:sz w:val="24"/>
          <w:szCs w:val="24"/>
        </w:rPr>
        <w:t xml:space="preserve">Разработването на </w:t>
      </w:r>
      <w:r>
        <w:rPr>
          <w:rFonts w:ascii="Times New Roman" w:eastAsia="Times New Roman" w:hAnsi="Times New Roman" w:cs="Times New Roman"/>
          <w:sz w:val="24"/>
          <w:szCs w:val="24"/>
        </w:rPr>
        <w:t xml:space="preserve">качествен </w:t>
      </w:r>
      <w:r w:rsidRPr="00F3708A">
        <w:rPr>
          <w:rFonts w:ascii="Times New Roman" w:eastAsia="Times New Roman" w:hAnsi="Times New Roman" w:cs="Times New Roman"/>
          <w:sz w:val="24"/>
          <w:szCs w:val="24"/>
        </w:rPr>
        <w:t xml:space="preserve">софтуерен </w:t>
      </w:r>
      <w:r>
        <w:rPr>
          <w:rFonts w:ascii="Times New Roman" w:eastAsia="Times New Roman" w:hAnsi="Times New Roman" w:cs="Times New Roman"/>
          <w:sz w:val="24"/>
          <w:szCs w:val="24"/>
        </w:rPr>
        <w:t xml:space="preserve">продукт </w:t>
      </w:r>
      <w:r w:rsidRPr="00F3708A">
        <w:rPr>
          <w:rFonts w:ascii="Times New Roman" w:eastAsia="Times New Roman" w:hAnsi="Times New Roman" w:cs="Times New Roman"/>
          <w:sz w:val="24"/>
          <w:szCs w:val="24"/>
        </w:rPr>
        <w:t>в рамките на бюджета е</w:t>
      </w:r>
      <w:r>
        <w:rPr>
          <w:rFonts w:ascii="Times New Roman" w:eastAsia="Times New Roman" w:hAnsi="Times New Roman" w:cs="Times New Roman"/>
          <w:sz w:val="24"/>
          <w:szCs w:val="24"/>
        </w:rPr>
        <w:t xml:space="preserve"> </w:t>
      </w:r>
      <w:r w:rsidRPr="00F3708A">
        <w:rPr>
          <w:rFonts w:ascii="Times New Roman" w:eastAsia="Times New Roman" w:hAnsi="Times New Roman" w:cs="Times New Roman"/>
          <w:sz w:val="24"/>
          <w:szCs w:val="24"/>
        </w:rPr>
        <w:t>основната цел на всяка фирма за разработка на софтуер</w:t>
      </w:r>
      <w:r>
        <w:rPr>
          <w:rFonts w:ascii="Times New Roman" w:eastAsia="Times New Roman" w:hAnsi="Times New Roman" w:cs="Times New Roman"/>
          <w:sz w:val="24"/>
          <w:szCs w:val="24"/>
        </w:rPr>
        <w:t>, която се стреми да надмине своите</w:t>
      </w:r>
      <w:r w:rsidRPr="00F3708A">
        <w:rPr>
          <w:rFonts w:ascii="Times New Roman" w:eastAsia="Times New Roman" w:hAnsi="Times New Roman" w:cs="Times New Roman"/>
          <w:sz w:val="24"/>
          <w:szCs w:val="24"/>
        </w:rPr>
        <w:t xml:space="preserve"> конкуренти</w:t>
      </w:r>
      <w:r>
        <w:rPr>
          <w:rFonts w:ascii="Times New Roman" w:eastAsia="Times New Roman" w:hAnsi="Times New Roman" w:cs="Times New Roman"/>
          <w:sz w:val="24"/>
          <w:szCs w:val="24"/>
        </w:rPr>
        <w:t>. Необходимо е създаването на по-ефективни</w:t>
      </w:r>
      <w:r w:rsidRPr="00F3708A">
        <w:rPr>
          <w:rFonts w:ascii="Times New Roman" w:eastAsia="Times New Roman" w:hAnsi="Times New Roman" w:cs="Times New Roman"/>
          <w:sz w:val="24"/>
          <w:szCs w:val="24"/>
        </w:rPr>
        <w:t xml:space="preserve"> модел</w:t>
      </w:r>
      <w:r>
        <w:rPr>
          <w:rFonts w:ascii="Times New Roman" w:eastAsia="Times New Roman" w:hAnsi="Times New Roman" w:cs="Times New Roman"/>
          <w:sz w:val="24"/>
          <w:szCs w:val="24"/>
        </w:rPr>
        <w:t>и за оценка на зрелостта на софтуера (</w:t>
      </w:r>
      <w:r w:rsidRPr="004347AA">
        <w:rPr>
          <w:rFonts w:ascii="Times New Roman" w:eastAsia="Times New Roman" w:hAnsi="Times New Roman" w:cs="Times New Roman"/>
          <w:color w:val="000000"/>
          <w:sz w:val="24"/>
          <w:szCs w:val="24"/>
        </w:rPr>
        <w:t>Alyahya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et al., 2009</w:t>
      </w:r>
      <w:r>
        <w:rPr>
          <w:rFonts w:ascii="Times New Roman" w:eastAsia="Times New Roman" w:hAnsi="Times New Roman" w:cs="Times New Roman"/>
          <w:sz w:val="24"/>
          <w:szCs w:val="24"/>
        </w:rPr>
        <w:t>)</w:t>
      </w:r>
      <w:r w:rsidRPr="00F3708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Непрекъснатият стремеж към</w:t>
      </w:r>
      <w:r w:rsidR="00C834B5">
        <w:rPr>
          <w:rFonts w:ascii="Times New Roman" w:eastAsia="Times New Roman" w:hAnsi="Times New Roman" w:cs="Times New Roman"/>
          <w:sz w:val="24"/>
          <w:szCs w:val="24"/>
        </w:rPr>
        <w:t xml:space="preserve"> усъвършенстване на процесите води до появата на </w:t>
      </w:r>
      <w:r w:rsidRPr="00B072C8">
        <w:rPr>
          <w:rFonts w:ascii="Times New Roman" w:eastAsiaTheme="minorHAnsi" w:hAnsi="Times New Roman" w:cs="Times New Roman"/>
          <w:b/>
          <w:bCs/>
          <w:sz w:val="24"/>
          <w:szCs w:val="24"/>
        </w:rPr>
        <w:t>Capability Maturity Model Integration</w:t>
      </w:r>
      <w:r w:rsidR="00796D93">
        <w:rPr>
          <w:rFonts w:ascii="Times New Roman" w:eastAsiaTheme="minorHAnsi" w:hAnsi="Times New Roman" w:cs="Times New Roman"/>
          <w:b/>
          <w:bCs/>
          <w:sz w:val="24"/>
          <w:szCs w:val="24"/>
        </w:rPr>
        <w:t xml:space="preserve"> (</w:t>
      </w:r>
      <w:r w:rsidR="00796D93">
        <w:rPr>
          <w:rFonts w:ascii="Times New Roman" w:eastAsiaTheme="minorHAnsi" w:hAnsi="Times New Roman" w:cs="Times New Roman"/>
          <w:b/>
          <w:bCs/>
          <w:sz w:val="24"/>
          <w:szCs w:val="24"/>
          <w:lang w:val="en-GB"/>
        </w:rPr>
        <w:t>CMMI</w:t>
      </w:r>
      <w:r w:rsidR="00796D93">
        <w:rPr>
          <w:rFonts w:ascii="Times New Roman" w:eastAsiaTheme="minorHAnsi" w:hAnsi="Times New Roman" w:cs="Times New Roman"/>
          <w:b/>
          <w:bCs/>
          <w:sz w:val="24"/>
          <w:szCs w:val="24"/>
        </w:rPr>
        <w:t>).</w:t>
      </w:r>
      <w:r w:rsidR="00C834B5">
        <w:rPr>
          <w:rFonts w:ascii="Times New Roman" w:eastAsia="Times New Roman" w:hAnsi="Times New Roman" w:cs="Times New Roman"/>
          <w:sz w:val="24"/>
          <w:szCs w:val="24"/>
        </w:rPr>
        <w:t xml:space="preserve"> </w:t>
      </w:r>
    </w:p>
    <w:p w14:paraId="1A301C60" w14:textId="1602F119" w:rsidR="005201BB" w:rsidRDefault="00C834B5" w:rsidP="00EA05A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CMMI е наследник на CMM и комбинира редица модели на зрялост в един интегриран модел на зрялост на способностите. CMMI може да се използва за насочване на подобряването на процесите в проект, подразделение или цяла организация</w:t>
      </w:r>
      <w:r w:rsidR="00A30682">
        <w:rPr>
          <w:rFonts w:ascii="Times New Roman" w:eastAsia="Times New Roman" w:hAnsi="Times New Roman" w:cs="Times New Roman"/>
          <w:sz w:val="24"/>
          <w:szCs w:val="24"/>
          <w:lang w:val="en-US"/>
        </w:rPr>
        <w:t xml:space="preserve"> (</w:t>
      </w:r>
      <w:r w:rsidR="00A30682">
        <w:rPr>
          <w:rFonts w:ascii="Times New Roman" w:eastAsia="Times New Roman" w:hAnsi="Times New Roman" w:cs="Times New Roman"/>
          <w:color w:val="000000"/>
          <w:sz w:val="24"/>
          <w:szCs w:val="24"/>
          <w:lang w:val="en-US"/>
        </w:rPr>
        <w:t xml:space="preserve">Software Engineering Institute, </w:t>
      </w:r>
      <w:r w:rsidR="00A30682" w:rsidRPr="00A81860">
        <w:rPr>
          <w:rFonts w:ascii="Times New Roman" w:eastAsia="Times New Roman" w:hAnsi="Times New Roman" w:cs="Times New Roman"/>
          <w:color w:val="000000"/>
          <w:sz w:val="24"/>
          <w:szCs w:val="24"/>
        </w:rPr>
        <w:t>2006</w:t>
      </w:r>
      <w:r w:rsidR="00A30682">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w:t>
      </w:r>
    </w:p>
    <w:p w14:paraId="42BD437A" w14:textId="77777777"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CMMI се прилага при:</w:t>
      </w:r>
    </w:p>
    <w:p w14:paraId="71D2666D" w14:textId="0C697ADB" w:rsidR="005201BB" w:rsidRDefault="00EA05AE" w:rsidP="00A51A4E">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w:t>
      </w:r>
      <w:r w:rsidR="00C834B5">
        <w:rPr>
          <w:rFonts w:ascii="Times New Roman" w:eastAsia="Times New Roman" w:hAnsi="Times New Roman" w:cs="Times New Roman"/>
          <w:sz w:val="24"/>
          <w:szCs w:val="24"/>
        </w:rPr>
        <w:t>азработване на продукти и услуги — CMMI за развитие (CMMI-DEV)</w:t>
      </w:r>
      <w:r>
        <w:rPr>
          <w:rFonts w:ascii="Times New Roman" w:eastAsia="Times New Roman" w:hAnsi="Times New Roman" w:cs="Times New Roman"/>
          <w:sz w:val="24"/>
          <w:szCs w:val="24"/>
        </w:rPr>
        <w:t>;</w:t>
      </w:r>
    </w:p>
    <w:p w14:paraId="2FB04BE6" w14:textId="722CF052" w:rsidR="005201BB" w:rsidRDefault="00EA05AE" w:rsidP="00A51A4E">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00C834B5">
        <w:rPr>
          <w:rFonts w:ascii="Times New Roman" w:eastAsia="Times New Roman" w:hAnsi="Times New Roman" w:cs="Times New Roman"/>
          <w:sz w:val="24"/>
          <w:szCs w:val="24"/>
        </w:rPr>
        <w:t>ъздаване, управление и доставка на услуги — CMMI за услуги (CMMI-SVC)</w:t>
      </w:r>
      <w:r>
        <w:rPr>
          <w:rFonts w:ascii="Times New Roman" w:eastAsia="Times New Roman" w:hAnsi="Times New Roman" w:cs="Times New Roman"/>
          <w:sz w:val="24"/>
          <w:szCs w:val="24"/>
        </w:rPr>
        <w:t>;</w:t>
      </w:r>
    </w:p>
    <w:p w14:paraId="195C8A67" w14:textId="171292A0" w:rsidR="005201BB" w:rsidRDefault="00EA05AE" w:rsidP="00A51A4E">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00C834B5">
        <w:rPr>
          <w:rFonts w:ascii="Times New Roman" w:eastAsia="Times New Roman" w:hAnsi="Times New Roman" w:cs="Times New Roman"/>
          <w:sz w:val="24"/>
          <w:szCs w:val="24"/>
        </w:rPr>
        <w:t>ридобиване на продукти и услуги — CMMI за придобиване (CMMI-ACQ).</w:t>
      </w:r>
    </w:p>
    <w:p w14:paraId="449129A6" w14:textId="2D7D1E59" w:rsidR="000C38F3" w:rsidRDefault="00C834B5" w:rsidP="00EA05A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Структурата на CMMI и структурата на софтуера CMM са сходни по отношение на нивата на зрялост, но разликата между тях се състои в това, че CMMI предлага две </w:t>
      </w:r>
      <w:r>
        <w:rPr>
          <w:rFonts w:ascii="Times New Roman" w:eastAsia="Times New Roman" w:hAnsi="Times New Roman" w:cs="Times New Roman"/>
          <w:sz w:val="24"/>
          <w:szCs w:val="24"/>
        </w:rPr>
        <w:lastRenderedPageBreak/>
        <w:t>представи за зрелостта на процесите: поетапно представяне с пет нива на зрялост, точно като софтуерния CMM и непрекъснат модел, при който всяка област на процеса има свое собствено ниво на зрялост.</w:t>
      </w:r>
      <w:r w:rsidR="00EA05A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Основната разлика между CMM и CMMI е, че първият се фокусира върху оценката дали дадена организация изпълнява конкретни задачи, свързани с процеса, или не, докато вторият се фокусира върху изграждането на архитектура за целия процес на разработка (</w:t>
      </w:r>
      <w:r w:rsidR="000A55C3">
        <w:rPr>
          <w:rFonts w:ascii="Times New Roman" w:eastAsia="Times New Roman" w:hAnsi="Times New Roman" w:cs="Times New Roman"/>
          <w:sz w:val="24"/>
          <w:szCs w:val="24"/>
        </w:rPr>
        <w:t>Таблица 1</w:t>
      </w:r>
      <w:r>
        <w:rPr>
          <w:rFonts w:ascii="Times New Roman" w:eastAsia="Times New Roman" w:hAnsi="Times New Roman" w:cs="Times New Roman"/>
          <w:sz w:val="24"/>
          <w:szCs w:val="24"/>
        </w:rPr>
        <w:t>).</w:t>
      </w:r>
    </w:p>
    <w:p w14:paraId="10CC2624" w14:textId="50F5D046" w:rsidR="00DE077B" w:rsidRPr="00EA05AE" w:rsidRDefault="00DE077B" w:rsidP="00EA05AE">
      <w:pPr>
        <w:pStyle w:val="Article-table-No"/>
        <w:rPr>
          <w:rFonts w:eastAsiaTheme="minorHAnsi"/>
        </w:rPr>
      </w:pPr>
      <w:r w:rsidRPr="00EA05AE">
        <w:rPr>
          <w:rFonts w:eastAsiaTheme="minorHAnsi"/>
        </w:rPr>
        <w:t>Таблица 1</w:t>
      </w:r>
      <w:r w:rsidR="00A51A4E">
        <w:rPr>
          <w:rFonts w:eastAsiaTheme="minorHAnsi"/>
        </w:rPr>
        <w:t>.</w:t>
      </w:r>
    </w:p>
    <w:p w14:paraId="232316EB" w14:textId="3CAF7BCA" w:rsidR="005201BB" w:rsidRPr="00EA05AE" w:rsidRDefault="009A2A04" w:rsidP="00EA05AE">
      <w:pPr>
        <w:pStyle w:val="Article-table-title"/>
        <w:rPr>
          <w:rFonts w:eastAsiaTheme="minorHAnsi"/>
        </w:rPr>
      </w:pPr>
      <w:r w:rsidRPr="00EA05AE">
        <w:rPr>
          <w:rFonts w:eastAsiaTheme="minorHAnsi"/>
        </w:rPr>
        <w:t>Сравнение на</w:t>
      </w:r>
      <w:r w:rsidR="00DE077B" w:rsidRPr="00EA05AE">
        <w:rPr>
          <w:rFonts w:eastAsiaTheme="minorHAnsi"/>
        </w:rPr>
        <w:t xml:space="preserve"> CMM и CMMI</w:t>
      </w:r>
    </w:p>
    <w:tbl>
      <w:tblPr>
        <w:tblStyle w:val="2"/>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75"/>
        <w:gridCol w:w="3820"/>
        <w:gridCol w:w="4609"/>
      </w:tblGrid>
      <w:tr w:rsidR="00DE077B" w14:paraId="36081B25" w14:textId="77777777" w:rsidTr="00A51A4E">
        <w:trPr>
          <w:trHeight w:val="238"/>
        </w:trPr>
        <w:tc>
          <w:tcPr>
            <w:tcW w:w="0" w:type="auto"/>
          </w:tcPr>
          <w:p w14:paraId="1A627984" w14:textId="25D0024C" w:rsidR="00DE077B" w:rsidRPr="00FD2F30" w:rsidRDefault="00DE077B" w:rsidP="00FD2F30">
            <w:pPr>
              <w:spacing w:after="0" w:line="240" w:lineRule="auto"/>
              <w:jc w:val="center"/>
              <w:rPr>
                <w:rFonts w:ascii="Times New Roman" w:eastAsiaTheme="minorHAnsi" w:hAnsi="Times New Roman" w:cs="Times New Roman"/>
                <w:b/>
                <w:bCs/>
                <w:sz w:val="24"/>
                <w:szCs w:val="24"/>
              </w:rPr>
            </w:pPr>
            <w:r w:rsidRPr="00FD2F30">
              <w:rPr>
                <w:rFonts w:ascii="Times New Roman" w:eastAsiaTheme="minorHAnsi" w:hAnsi="Times New Roman" w:cs="Times New Roman"/>
                <w:b/>
                <w:bCs/>
                <w:sz w:val="24"/>
                <w:szCs w:val="24"/>
              </w:rPr>
              <w:t>Ниво</w:t>
            </w:r>
          </w:p>
        </w:tc>
        <w:tc>
          <w:tcPr>
            <w:tcW w:w="0" w:type="auto"/>
            <w:shd w:val="clear" w:color="auto" w:fill="auto"/>
            <w:tcMar>
              <w:top w:w="100" w:type="dxa"/>
              <w:left w:w="100" w:type="dxa"/>
              <w:bottom w:w="100" w:type="dxa"/>
              <w:right w:w="100" w:type="dxa"/>
            </w:tcMar>
          </w:tcPr>
          <w:p w14:paraId="14330506" w14:textId="15A94901" w:rsidR="00DE077B" w:rsidRPr="00FD2F30" w:rsidRDefault="00DE077B" w:rsidP="00FD2F30">
            <w:pPr>
              <w:spacing w:after="0" w:line="240" w:lineRule="auto"/>
              <w:jc w:val="center"/>
              <w:rPr>
                <w:rFonts w:ascii="Times New Roman" w:eastAsiaTheme="minorHAnsi" w:hAnsi="Times New Roman" w:cs="Times New Roman"/>
                <w:b/>
                <w:bCs/>
                <w:sz w:val="24"/>
                <w:szCs w:val="24"/>
              </w:rPr>
            </w:pPr>
            <w:r w:rsidRPr="00FD2F30">
              <w:rPr>
                <w:rFonts w:ascii="Times New Roman" w:eastAsiaTheme="minorHAnsi" w:hAnsi="Times New Roman" w:cs="Times New Roman"/>
                <w:b/>
                <w:bCs/>
                <w:sz w:val="24"/>
                <w:szCs w:val="24"/>
              </w:rPr>
              <w:t>CMM</w:t>
            </w:r>
          </w:p>
        </w:tc>
        <w:tc>
          <w:tcPr>
            <w:tcW w:w="4609" w:type="dxa"/>
            <w:shd w:val="clear" w:color="auto" w:fill="auto"/>
            <w:tcMar>
              <w:top w:w="100" w:type="dxa"/>
              <w:left w:w="100" w:type="dxa"/>
              <w:bottom w:w="100" w:type="dxa"/>
              <w:right w:w="100" w:type="dxa"/>
            </w:tcMar>
          </w:tcPr>
          <w:p w14:paraId="04546DE2" w14:textId="17E8BAFD" w:rsidR="00DE077B" w:rsidRPr="00FD2F30" w:rsidRDefault="00DE077B" w:rsidP="00FD2F30">
            <w:pPr>
              <w:spacing w:after="0" w:line="240" w:lineRule="auto"/>
              <w:jc w:val="center"/>
              <w:rPr>
                <w:rFonts w:ascii="Times New Roman" w:eastAsiaTheme="minorHAnsi" w:hAnsi="Times New Roman" w:cs="Times New Roman"/>
                <w:b/>
                <w:bCs/>
                <w:sz w:val="24"/>
                <w:szCs w:val="24"/>
              </w:rPr>
            </w:pPr>
            <w:r w:rsidRPr="00FD2F30">
              <w:rPr>
                <w:rFonts w:ascii="Times New Roman" w:eastAsiaTheme="minorHAnsi" w:hAnsi="Times New Roman" w:cs="Times New Roman"/>
                <w:b/>
                <w:bCs/>
                <w:sz w:val="24"/>
                <w:szCs w:val="24"/>
              </w:rPr>
              <w:t>CMMI</w:t>
            </w:r>
          </w:p>
        </w:tc>
      </w:tr>
      <w:tr w:rsidR="00515A86" w14:paraId="262D26CC" w14:textId="77777777" w:rsidTr="002B1A86">
        <w:trPr>
          <w:trHeight w:val="467"/>
        </w:trPr>
        <w:tc>
          <w:tcPr>
            <w:tcW w:w="0" w:type="auto"/>
          </w:tcPr>
          <w:p w14:paraId="7C69FFC1" w14:textId="15384C97" w:rsidR="00515A86" w:rsidRPr="00FD2F30" w:rsidRDefault="00515A86"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1</w:t>
            </w:r>
          </w:p>
        </w:tc>
        <w:tc>
          <w:tcPr>
            <w:tcW w:w="8429" w:type="dxa"/>
            <w:gridSpan w:val="2"/>
            <w:shd w:val="clear" w:color="auto" w:fill="auto"/>
            <w:tcMar>
              <w:top w:w="100" w:type="dxa"/>
              <w:left w:w="100" w:type="dxa"/>
              <w:bottom w:w="100" w:type="dxa"/>
              <w:right w:w="100" w:type="dxa"/>
            </w:tcMar>
          </w:tcPr>
          <w:p w14:paraId="3570099A" w14:textId="79373583" w:rsidR="00515A86" w:rsidRPr="00FD2F30" w:rsidRDefault="00515A86" w:rsidP="002B1A86">
            <w:pPr>
              <w:pStyle w:val="Style1"/>
              <w:spacing w:line="240" w:lineRule="auto"/>
              <w:rPr>
                <w:rFonts w:eastAsiaTheme="minorHAnsi"/>
                <w:noProof w:val="0"/>
              </w:rPr>
            </w:pPr>
            <w:r w:rsidRPr="00FD2F30">
              <w:rPr>
                <w:rFonts w:eastAsiaTheme="minorHAnsi"/>
                <w:noProof w:val="0"/>
              </w:rPr>
              <w:t xml:space="preserve">Както при CMM, така и при CMMI описва незряла организация без дефинирани процеси, изпълнявани по хаотичен начин. </w:t>
            </w:r>
          </w:p>
        </w:tc>
      </w:tr>
      <w:tr w:rsidR="00DE077B" w14:paraId="7B5C43BC" w14:textId="77777777" w:rsidTr="00A51A4E">
        <w:trPr>
          <w:trHeight w:val="256"/>
        </w:trPr>
        <w:tc>
          <w:tcPr>
            <w:tcW w:w="0" w:type="auto"/>
          </w:tcPr>
          <w:p w14:paraId="64D7BC96" w14:textId="2BDF0756" w:rsidR="00DE077B" w:rsidRPr="00FD2F30" w:rsidRDefault="00DE077B"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2</w:t>
            </w:r>
          </w:p>
        </w:tc>
        <w:tc>
          <w:tcPr>
            <w:tcW w:w="0" w:type="auto"/>
            <w:shd w:val="clear" w:color="auto" w:fill="auto"/>
            <w:tcMar>
              <w:top w:w="100" w:type="dxa"/>
              <w:left w:w="100" w:type="dxa"/>
              <w:bottom w:w="100" w:type="dxa"/>
              <w:right w:w="100" w:type="dxa"/>
            </w:tcMar>
          </w:tcPr>
          <w:p w14:paraId="3880000D" w14:textId="1CD9D60A" w:rsidR="00DE077B" w:rsidRPr="00FD2F30" w:rsidRDefault="00515A86"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Повт</w:t>
            </w:r>
            <w:r w:rsidR="00FD2F30">
              <w:rPr>
                <w:rFonts w:ascii="Times New Roman" w:eastAsiaTheme="minorHAnsi" w:hAnsi="Times New Roman" w:cs="Times New Roman"/>
                <w:sz w:val="24"/>
                <w:szCs w:val="24"/>
              </w:rPr>
              <w:t>о</w:t>
            </w:r>
            <w:r w:rsidRPr="00FD2F30">
              <w:rPr>
                <w:rFonts w:ascii="Times New Roman" w:eastAsiaTheme="minorHAnsi" w:hAnsi="Times New Roman" w:cs="Times New Roman"/>
                <w:sz w:val="24"/>
                <w:szCs w:val="24"/>
              </w:rPr>
              <w:t>ряемост на процеси, за постигане на предишни успехи.</w:t>
            </w:r>
          </w:p>
        </w:tc>
        <w:tc>
          <w:tcPr>
            <w:tcW w:w="4609" w:type="dxa"/>
            <w:shd w:val="clear" w:color="auto" w:fill="auto"/>
            <w:tcMar>
              <w:top w:w="100" w:type="dxa"/>
              <w:left w:w="100" w:type="dxa"/>
              <w:bottom w:w="100" w:type="dxa"/>
              <w:right w:w="100" w:type="dxa"/>
            </w:tcMar>
          </w:tcPr>
          <w:p w14:paraId="218EB902" w14:textId="319A9E08" w:rsidR="00DE077B" w:rsidRPr="00FD2F30" w:rsidRDefault="00515A86"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У</w:t>
            </w:r>
            <w:r w:rsidR="000A55C3" w:rsidRPr="00FD2F30">
              <w:rPr>
                <w:rFonts w:ascii="Times New Roman" w:eastAsiaTheme="minorHAnsi" w:hAnsi="Times New Roman" w:cs="Times New Roman"/>
                <w:sz w:val="24"/>
                <w:szCs w:val="24"/>
              </w:rPr>
              <w:t>правление на организационните изисквания чрез планирани</w:t>
            </w:r>
            <w:r w:rsidRPr="00FD2F30">
              <w:rPr>
                <w:rFonts w:ascii="Times New Roman" w:eastAsiaTheme="minorHAnsi" w:hAnsi="Times New Roman" w:cs="Times New Roman"/>
                <w:sz w:val="24"/>
                <w:szCs w:val="24"/>
              </w:rPr>
              <w:t xml:space="preserve"> </w:t>
            </w:r>
            <w:r w:rsidR="000A55C3" w:rsidRPr="00FD2F30">
              <w:rPr>
                <w:rFonts w:ascii="Times New Roman" w:eastAsiaTheme="minorHAnsi" w:hAnsi="Times New Roman" w:cs="Times New Roman"/>
                <w:sz w:val="24"/>
                <w:szCs w:val="24"/>
              </w:rPr>
              <w:t>и контролирани процеси</w:t>
            </w:r>
            <w:r w:rsidRPr="00FD2F30">
              <w:rPr>
                <w:rFonts w:ascii="Times New Roman" w:eastAsiaTheme="minorHAnsi" w:hAnsi="Times New Roman" w:cs="Times New Roman"/>
                <w:sz w:val="24"/>
                <w:szCs w:val="24"/>
              </w:rPr>
              <w:t>.</w:t>
            </w:r>
          </w:p>
        </w:tc>
      </w:tr>
      <w:tr w:rsidR="00DE077B" w14:paraId="03A21A00" w14:textId="77777777" w:rsidTr="00A51A4E">
        <w:trPr>
          <w:trHeight w:val="256"/>
        </w:trPr>
        <w:tc>
          <w:tcPr>
            <w:tcW w:w="0" w:type="auto"/>
          </w:tcPr>
          <w:p w14:paraId="6F0B323A" w14:textId="262936D9" w:rsidR="00DE077B" w:rsidRPr="00FD2F30" w:rsidRDefault="00DE077B"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3</w:t>
            </w:r>
          </w:p>
        </w:tc>
        <w:tc>
          <w:tcPr>
            <w:tcW w:w="0" w:type="auto"/>
            <w:shd w:val="clear" w:color="auto" w:fill="auto"/>
            <w:tcMar>
              <w:top w:w="100" w:type="dxa"/>
              <w:left w:w="100" w:type="dxa"/>
              <w:bottom w:w="100" w:type="dxa"/>
              <w:right w:w="100" w:type="dxa"/>
            </w:tcMar>
          </w:tcPr>
          <w:p w14:paraId="123BACF5" w14:textId="2A1FA232" w:rsidR="00DE077B" w:rsidRPr="00FD2F30" w:rsidRDefault="00E6106D"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Д</w:t>
            </w:r>
            <w:r w:rsidR="00515A86" w:rsidRPr="00FD2F30">
              <w:rPr>
                <w:rFonts w:ascii="Times New Roman" w:eastAsiaTheme="minorHAnsi" w:hAnsi="Times New Roman" w:cs="Times New Roman"/>
                <w:sz w:val="24"/>
                <w:szCs w:val="24"/>
              </w:rPr>
              <w:t>окументиран</w:t>
            </w:r>
            <w:r w:rsidRPr="00FD2F30">
              <w:rPr>
                <w:rFonts w:ascii="Times New Roman" w:eastAsiaTheme="minorHAnsi" w:hAnsi="Times New Roman" w:cs="Times New Roman"/>
                <w:sz w:val="24"/>
                <w:szCs w:val="24"/>
              </w:rPr>
              <w:t xml:space="preserve">е и стандартизиране на </w:t>
            </w:r>
            <w:r w:rsidR="00515A86" w:rsidRPr="00FD2F30">
              <w:rPr>
                <w:rFonts w:ascii="Times New Roman" w:eastAsiaTheme="minorHAnsi" w:hAnsi="Times New Roman" w:cs="Times New Roman"/>
                <w:sz w:val="24"/>
                <w:szCs w:val="24"/>
              </w:rPr>
              <w:t>процеси за установяване на последователност</w:t>
            </w:r>
            <w:r w:rsidR="007A08F6" w:rsidRPr="00FD2F30">
              <w:rPr>
                <w:rFonts w:ascii="Times New Roman" w:eastAsiaTheme="minorHAnsi" w:hAnsi="Times New Roman" w:cs="Times New Roman"/>
                <w:sz w:val="24"/>
                <w:szCs w:val="24"/>
              </w:rPr>
              <w:t xml:space="preserve"> в организацията.</w:t>
            </w:r>
          </w:p>
        </w:tc>
        <w:tc>
          <w:tcPr>
            <w:tcW w:w="4609" w:type="dxa"/>
            <w:shd w:val="clear" w:color="auto" w:fill="auto"/>
            <w:tcMar>
              <w:top w:w="100" w:type="dxa"/>
              <w:left w:w="100" w:type="dxa"/>
              <w:bottom w:w="100" w:type="dxa"/>
              <w:right w:w="100" w:type="dxa"/>
            </w:tcMar>
          </w:tcPr>
          <w:p w14:paraId="1666DFBD" w14:textId="4271E2BC" w:rsidR="00DE077B" w:rsidRPr="00FD2F30" w:rsidRDefault="007A08F6"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 xml:space="preserve">Надгражда </w:t>
            </w:r>
            <w:r w:rsidR="000A55C3" w:rsidRPr="00FD2F30">
              <w:rPr>
                <w:rFonts w:ascii="Times New Roman" w:eastAsiaTheme="minorHAnsi" w:hAnsi="Times New Roman" w:cs="Times New Roman"/>
                <w:sz w:val="24"/>
                <w:szCs w:val="24"/>
              </w:rPr>
              <w:t xml:space="preserve">CMMI </w:t>
            </w:r>
            <w:r w:rsidRPr="00FD2F30">
              <w:rPr>
                <w:rFonts w:ascii="Times New Roman" w:eastAsiaTheme="minorHAnsi" w:hAnsi="Times New Roman" w:cs="Times New Roman"/>
                <w:sz w:val="24"/>
                <w:szCs w:val="24"/>
              </w:rPr>
              <w:t xml:space="preserve">ниво </w:t>
            </w:r>
            <w:r w:rsidR="000A55C3" w:rsidRPr="00FD2F30">
              <w:rPr>
                <w:rFonts w:ascii="Times New Roman" w:eastAsiaTheme="minorHAnsi" w:hAnsi="Times New Roman" w:cs="Times New Roman"/>
                <w:sz w:val="24"/>
                <w:szCs w:val="24"/>
              </w:rPr>
              <w:t>2 и описва организационните процеси в стандарти, процедури, инструменти и методи</w:t>
            </w:r>
            <w:r w:rsidRPr="00FD2F30">
              <w:rPr>
                <w:rFonts w:ascii="Times New Roman" w:eastAsiaTheme="minorHAnsi" w:hAnsi="Times New Roman" w:cs="Times New Roman"/>
                <w:sz w:val="24"/>
                <w:szCs w:val="24"/>
              </w:rPr>
              <w:t>.</w:t>
            </w:r>
          </w:p>
        </w:tc>
      </w:tr>
      <w:tr w:rsidR="00DE077B" w14:paraId="504BC023" w14:textId="77777777" w:rsidTr="00A51A4E">
        <w:trPr>
          <w:trHeight w:val="256"/>
        </w:trPr>
        <w:tc>
          <w:tcPr>
            <w:tcW w:w="0" w:type="auto"/>
          </w:tcPr>
          <w:p w14:paraId="68DC61AA" w14:textId="1629FD0C" w:rsidR="00DE077B" w:rsidRPr="00FD2F30" w:rsidRDefault="00DE077B"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4</w:t>
            </w:r>
          </w:p>
        </w:tc>
        <w:tc>
          <w:tcPr>
            <w:tcW w:w="0" w:type="auto"/>
            <w:shd w:val="clear" w:color="auto" w:fill="auto"/>
            <w:tcMar>
              <w:top w:w="100" w:type="dxa"/>
              <w:left w:w="100" w:type="dxa"/>
              <w:bottom w:w="100" w:type="dxa"/>
              <w:right w:w="100" w:type="dxa"/>
            </w:tcMar>
          </w:tcPr>
          <w:p w14:paraId="11663F0F" w14:textId="628DB00E" w:rsidR="00DE077B" w:rsidRPr="00FD2F30" w:rsidRDefault="007A08F6"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Контрол</w:t>
            </w:r>
            <w:r w:rsidR="00515A86" w:rsidRPr="00FD2F30">
              <w:rPr>
                <w:rFonts w:ascii="Times New Roman" w:eastAsiaTheme="minorHAnsi" w:hAnsi="Times New Roman" w:cs="Times New Roman"/>
                <w:sz w:val="24"/>
                <w:szCs w:val="24"/>
              </w:rPr>
              <w:t xml:space="preserve"> върху процесите чрез използване на количествени статистически техники</w:t>
            </w:r>
            <w:r w:rsidRPr="00FD2F30">
              <w:rPr>
                <w:rFonts w:ascii="Times New Roman" w:eastAsiaTheme="minorHAnsi" w:hAnsi="Times New Roman" w:cs="Times New Roman"/>
                <w:sz w:val="24"/>
                <w:szCs w:val="24"/>
              </w:rPr>
              <w:t>.</w:t>
            </w:r>
          </w:p>
        </w:tc>
        <w:tc>
          <w:tcPr>
            <w:tcW w:w="4609" w:type="dxa"/>
            <w:shd w:val="clear" w:color="auto" w:fill="auto"/>
            <w:tcMar>
              <w:top w:w="100" w:type="dxa"/>
              <w:left w:w="100" w:type="dxa"/>
              <w:bottom w:w="100" w:type="dxa"/>
              <w:right w:w="100" w:type="dxa"/>
            </w:tcMar>
          </w:tcPr>
          <w:p w14:paraId="1A8DE30A" w14:textId="7816C2B4" w:rsidR="00DE077B" w:rsidRPr="00FD2F30" w:rsidRDefault="007A08F6" w:rsidP="00FD2F30">
            <w:pPr>
              <w:spacing w:after="0" w:line="240" w:lineRule="auto"/>
              <w:jc w:val="center"/>
              <w:rPr>
                <w:rFonts w:ascii="Times New Roman" w:eastAsiaTheme="minorHAnsi" w:hAnsi="Times New Roman" w:cs="Times New Roman"/>
                <w:sz w:val="24"/>
                <w:szCs w:val="24"/>
              </w:rPr>
            </w:pPr>
            <w:r w:rsidRPr="00FD2F30">
              <w:rPr>
                <w:rFonts w:ascii="Times New Roman" w:eastAsiaTheme="minorHAnsi" w:hAnsi="Times New Roman" w:cs="Times New Roman"/>
                <w:sz w:val="24"/>
                <w:szCs w:val="24"/>
              </w:rPr>
              <w:t>Също като при CMM</w:t>
            </w:r>
            <w:r w:rsidR="000A55C3" w:rsidRPr="00FD2F30">
              <w:rPr>
                <w:rFonts w:ascii="Times New Roman" w:eastAsiaTheme="minorHAnsi" w:hAnsi="Times New Roman" w:cs="Times New Roman"/>
                <w:sz w:val="24"/>
                <w:szCs w:val="24"/>
              </w:rPr>
              <w:t>, но също така идентифицира подпроцеси, които значително допринасят за цялостната ефективност на процеса</w:t>
            </w:r>
            <w:r w:rsidRPr="00FD2F30">
              <w:rPr>
                <w:rFonts w:ascii="Times New Roman" w:eastAsiaTheme="minorHAnsi" w:hAnsi="Times New Roman" w:cs="Times New Roman"/>
                <w:sz w:val="24"/>
                <w:szCs w:val="24"/>
              </w:rPr>
              <w:t>.</w:t>
            </w:r>
          </w:p>
        </w:tc>
      </w:tr>
      <w:tr w:rsidR="00DE077B" w14:paraId="24CDD76C" w14:textId="77777777" w:rsidTr="00A51A4E">
        <w:trPr>
          <w:trHeight w:val="256"/>
        </w:trPr>
        <w:tc>
          <w:tcPr>
            <w:tcW w:w="0" w:type="auto"/>
          </w:tcPr>
          <w:p w14:paraId="13120C36" w14:textId="63DD8382" w:rsidR="00DE077B" w:rsidRDefault="00DE077B" w:rsidP="00053B62">
            <w:pPr>
              <w:pStyle w:val="Style1"/>
              <w:spacing w:line="240" w:lineRule="auto"/>
            </w:pPr>
            <w:r>
              <w:t>5</w:t>
            </w:r>
          </w:p>
        </w:tc>
        <w:tc>
          <w:tcPr>
            <w:tcW w:w="0" w:type="auto"/>
            <w:shd w:val="clear" w:color="auto" w:fill="auto"/>
            <w:tcMar>
              <w:top w:w="100" w:type="dxa"/>
              <w:left w:w="100" w:type="dxa"/>
              <w:bottom w:w="100" w:type="dxa"/>
              <w:right w:w="100" w:type="dxa"/>
            </w:tcMar>
          </w:tcPr>
          <w:p w14:paraId="534589C2" w14:textId="133079A5" w:rsidR="00DE077B" w:rsidRDefault="007A08F6" w:rsidP="00053B62">
            <w:pPr>
              <w:pStyle w:val="Style1"/>
              <w:spacing w:line="240" w:lineRule="auto"/>
            </w:pPr>
            <w:r>
              <w:t>Налага</w:t>
            </w:r>
            <w:r w:rsidR="00515A86">
              <w:t xml:space="preserve"> използване на количествени инструменти за управление на подобряването на процеса</w:t>
            </w:r>
            <w:r>
              <w:t>.</w:t>
            </w:r>
          </w:p>
        </w:tc>
        <w:tc>
          <w:tcPr>
            <w:tcW w:w="4609" w:type="dxa"/>
            <w:shd w:val="clear" w:color="auto" w:fill="auto"/>
            <w:tcMar>
              <w:top w:w="100" w:type="dxa"/>
              <w:left w:w="100" w:type="dxa"/>
              <w:bottom w:w="100" w:type="dxa"/>
              <w:right w:w="100" w:type="dxa"/>
            </w:tcMar>
          </w:tcPr>
          <w:p w14:paraId="2DC2CA0B" w14:textId="29E3FFF4" w:rsidR="00DE077B" w:rsidRDefault="007A08F6" w:rsidP="00053B62">
            <w:pPr>
              <w:pStyle w:val="Style1"/>
              <w:spacing w:line="240" w:lineRule="auto"/>
            </w:pPr>
            <w:r>
              <w:t>Фокусира се</w:t>
            </w:r>
            <w:r w:rsidR="00515A86">
              <w:t xml:space="preserve"> върху непрекъснатото подобряване на производителността на процеса чрез постепенни и иновативни технологични подобрения</w:t>
            </w:r>
            <w:r>
              <w:t>.</w:t>
            </w:r>
          </w:p>
        </w:tc>
      </w:tr>
    </w:tbl>
    <w:p w14:paraId="6BC308C1" w14:textId="365F190B" w:rsidR="005201BB" w:rsidRPr="00A82C96" w:rsidRDefault="00250795" w:rsidP="00B87166">
      <w:pPr>
        <w:spacing w:after="0" w:line="360" w:lineRule="auto"/>
        <w:jc w:val="center"/>
        <w:rPr>
          <w:rFonts w:ascii="Times New Roman" w:eastAsia="Times New Roman" w:hAnsi="Times New Roman" w:cs="Times New Roman"/>
          <w:sz w:val="24"/>
          <w:szCs w:val="24"/>
        </w:rPr>
      </w:pPr>
      <w:bookmarkStart w:id="3" w:name="_Hlk109245658"/>
      <w:r w:rsidRPr="00B87166">
        <w:rPr>
          <w:rFonts w:ascii="Times New Roman" w:eastAsia="Times New Roman" w:hAnsi="Times New Roman" w:cs="Times New Roman"/>
          <w:sz w:val="24"/>
          <w:szCs w:val="24"/>
        </w:rPr>
        <w:t>Източник</w:t>
      </w:r>
      <w:r>
        <w:rPr>
          <w:rFonts w:ascii="Times New Roman" w:eastAsia="Times New Roman" w:hAnsi="Times New Roman" w:cs="Times New Roman"/>
          <w:sz w:val="24"/>
          <w:szCs w:val="24"/>
        </w:rPr>
        <w:t>:</w:t>
      </w:r>
      <w:r w:rsidR="00B87166">
        <w:rPr>
          <w:rFonts w:ascii="Times New Roman" w:eastAsia="Times New Roman" w:hAnsi="Times New Roman" w:cs="Times New Roman"/>
          <w:sz w:val="24"/>
          <w:szCs w:val="24"/>
        </w:rPr>
        <w:t xml:space="preserve"> </w:t>
      </w:r>
      <w:bookmarkEnd w:id="3"/>
      <w:r w:rsidR="00A82C96">
        <w:rPr>
          <w:rFonts w:ascii="Times New Roman" w:eastAsia="Times New Roman" w:hAnsi="Times New Roman" w:cs="Times New Roman"/>
          <w:sz w:val="24"/>
          <w:szCs w:val="24"/>
        </w:rPr>
        <w:t xml:space="preserve">Адаптирано от </w:t>
      </w:r>
      <w:r w:rsidR="00A82C96" w:rsidRPr="00A82C96">
        <w:rPr>
          <w:rFonts w:ascii="Times New Roman" w:eastAsia="Times New Roman" w:hAnsi="Times New Roman" w:cs="Times New Roman"/>
          <w:sz w:val="24"/>
          <w:szCs w:val="24"/>
        </w:rPr>
        <w:t>Bhandari, S.</w:t>
      </w:r>
      <w:r w:rsidR="00A82C96">
        <w:rPr>
          <w:rFonts w:ascii="Times New Roman" w:eastAsia="Times New Roman" w:hAnsi="Times New Roman" w:cs="Times New Roman"/>
          <w:sz w:val="24"/>
          <w:szCs w:val="24"/>
        </w:rPr>
        <w:t>,</w:t>
      </w:r>
      <w:r w:rsidR="00A82C96" w:rsidRPr="00A82C96">
        <w:rPr>
          <w:rFonts w:ascii="Times New Roman" w:eastAsia="Times New Roman" w:hAnsi="Times New Roman" w:cs="Times New Roman"/>
          <w:sz w:val="24"/>
          <w:szCs w:val="24"/>
        </w:rPr>
        <w:t xml:space="preserve"> 2022</w:t>
      </w:r>
    </w:p>
    <w:p w14:paraId="2BC70FCF" w14:textId="77777777" w:rsidR="00B87166" w:rsidRDefault="00B87166" w:rsidP="00DE077B">
      <w:pPr>
        <w:spacing w:after="0" w:line="360" w:lineRule="auto"/>
        <w:jc w:val="both"/>
        <w:rPr>
          <w:rFonts w:ascii="Times New Roman" w:eastAsia="Times New Roman" w:hAnsi="Times New Roman" w:cs="Times New Roman"/>
          <w:sz w:val="24"/>
          <w:szCs w:val="24"/>
        </w:rPr>
      </w:pPr>
    </w:p>
    <w:p w14:paraId="3433C40F" w14:textId="4055085B"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CMMI документира най-добрите практики в индустрията, категоризирани в отделни области на интереси.</w:t>
      </w:r>
      <w:r w:rsidR="00FB6B01" w:rsidRPr="00FB6B01">
        <w:rPr>
          <w:rFonts w:ascii="Times New Roman" w:eastAsia="Times New Roman" w:hAnsi="Times New Roman" w:cs="Times New Roman"/>
          <w:sz w:val="24"/>
          <w:szCs w:val="24"/>
        </w:rPr>
        <w:t xml:space="preserve"> </w:t>
      </w:r>
      <w:r w:rsidR="00FB6B01">
        <w:rPr>
          <w:rFonts w:ascii="Times New Roman" w:eastAsia="Times New Roman" w:hAnsi="Times New Roman" w:cs="Times New Roman"/>
          <w:sz w:val="24"/>
          <w:szCs w:val="24"/>
        </w:rPr>
        <w:t>Използва ориентиран към резултатите подход, като дефинира и измерва ключови области на ефективност</w:t>
      </w:r>
      <w:r w:rsidR="00230EA7">
        <w:rPr>
          <w:rFonts w:ascii="Times New Roman" w:eastAsia="Times New Roman" w:hAnsi="Times New Roman" w:cs="Times New Roman"/>
          <w:sz w:val="24"/>
          <w:szCs w:val="24"/>
          <w:lang w:val="en-US"/>
        </w:rPr>
        <w:t xml:space="preserve"> (</w:t>
      </w:r>
      <w:r w:rsidR="00230EA7" w:rsidRPr="00A81860">
        <w:rPr>
          <w:rFonts w:ascii="Times New Roman" w:eastAsia="Times New Roman" w:hAnsi="Times New Roman" w:cs="Times New Roman"/>
          <w:color w:val="000000"/>
          <w:sz w:val="24"/>
          <w:szCs w:val="24"/>
        </w:rPr>
        <w:t>Kulpa</w:t>
      </w:r>
      <w:r w:rsidR="00230EA7">
        <w:rPr>
          <w:rFonts w:ascii="Times New Roman" w:eastAsia="Times New Roman" w:hAnsi="Times New Roman" w:cs="Times New Roman"/>
          <w:color w:val="000000"/>
          <w:sz w:val="24"/>
          <w:szCs w:val="24"/>
          <w:lang w:val="en-US"/>
        </w:rPr>
        <w:t>, 2003</w:t>
      </w:r>
      <w:r w:rsidR="00230EA7">
        <w:rPr>
          <w:rFonts w:ascii="Times New Roman" w:eastAsia="Times New Roman" w:hAnsi="Times New Roman" w:cs="Times New Roman"/>
          <w:sz w:val="24"/>
          <w:szCs w:val="24"/>
          <w:lang w:val="en-US"/>
        </w:rPr>
        <w:t>)</w:t>
      </w:r>
      <w:r w:rsidR="00FB6B01">
        <w:rPr>
          <w:rFonts w:ascii="Times New Roman" w:eastAsia="Times New Roman" w:hAnsi="Times New Roman" w:cs="Times New Roman"/>
          <w:sz w:val="24"/>
          <w:szCs w:val="24"/>
        </w:rPr>
        <w:t>.</w:t>
      </w:r>
    </w:p>
    <w:p w14:paraId="77AF3873" w14:textId="7FFF08C3" w:rsidR="005201BB" w:rsidRDefault="00C834B5" w:rsidP="00D876B9">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Според CMMI Institute, </w:t>
      </w:r>
      <w:r w:rsidR="00FB6B01">
        <w:rPr>
          <w:rFonts w:ascii="Times New Roman" w:eastAsia="Times New Roman" w:hAnsi="Times New Roman" w:cs="Times New Roman"/>
          <w:sz w:val="24"/>
          <w:szCs w:val="24"/>
        </w:rPr>
        <w:t>най-новата версия е CMMI V2.0 и</w:t>
      </w:r>
      <w:r>
        <w:rPr>
          <w:rFonts w:ascii="Times New Roman" w:eastAsia="Times New Roman" w:hAnsi="Times New Roman" w:cs="Times New Roman"/>
          <w:sz w:val="24"/>
          <w:szCs w:val="24"/>
        </w:rPr>
        <w:t xml:space="preserve"> е създадена за</w:t>
      </w:r>
      <w:r w:rsidR="00AE4538">
        <w:rPr>
          <w:rFonts w:ascii="Times New Roman" w:eastAsia="Times New Roman" w:hAnsi="Times New Roman" w:cs="Times New Roman"/>
          <w:sz w:val="24"/>
          <w:szCs w:val="24"/>
        </w:rPr>
        <w:t xml:space="preserve"> п</w:t>
      </w:r>
      <w:r>
        <w:rPr>
          <w:rFonts w:ascii="Times New Roman" w:eastAsia="Times New Roman" w:hAnsi="Times New Roman" w:cs="Times New Roman"/>
          <w:sz w:val="24"/>
          <w:szCs w:val="24"/>
        </w:rPr>
        <w:t>одобряване на бизнес представянето</w:t>
      </w:r>
      <w:r w:rsidR="00AE4538">
        <w:rPr>
          <w:rFonts w:ascii="Times New Roman" w:eastAsia="Times New Roman" w:hAnsi="Times New Roman" w:cs="Times New Roman"/>
          <w:sz w:val="24"/>
          <w:szCs w:val="24"/>
        </w:rPr>
        <w:t>, п</w:t>
      </w:r>
      <w:r>
        <w:rPr>
          <w:rFonts w:ascii="Times New Roman" w:eastAsia="Times New Roman" w:hAnsi="Times New Roman" w:cs="Times New Roman"/>
          <w:sz w:val="24"/>
          <w:szCs w:val="24"/>
        </w:rPr>
        <w:t>о-добро използване на настоящите практики</w:t>
      </w:r>
      <w:r w:rsidR="00AE4538">
        <w:rPr>
          <w:rFonts w:ascii="Times New Roman" w:eastAsia="Times New Roman" w:hAnsi="Times New Roman" w:cs="Times New Roman"/>
          <w:sz w:val="24"/>
          <w:szCs w:val="24"/>
        </w:rPr>
        <w:t>, и</w:t>
      </w:r>
      <w:r>
        <w:rPr>
          <w:rFonts w:ascii="Times New Roman" w:eastAsia="Times New Roman" w:hAnsi="Times New Roman" w:cs="Times New Roman"/>
          <w:sz w:val="24"/>
          <w:szCs w:val="24"/>
        </w:rPr>
        <w:t>зграждане на гъвкава устойчивост</w:t>
      </w:r>
      <w:r w:rsidR="00AE4538">
        <w:rPr>
          <w:rFonts w:ascii="Times New Roman" w:eastAsia="Times New Roman" w:hAnsi="Times New Roman" w:cs="Times New Roman"/>
          <w:sz w:val="24"/>
          <w:szCs w:val="24"/>
        </w:rPr>
        <w:t>, у</w:t>
      </w:r>
      <w:r>
        <w:rPr>
          <w:rFonts w:ascii="Times New Roman" w:eastAsia="Times New Roman" w:hAnsi="Times New Roman" w:cs="Times New Roman"/>
          <w:sz w:val="24"/>
          <w:szCs w:val="24"/>
        </w:rPr>
        <w:t>лесняване на възприемането на модела.</w:t>
      </w:r>
      <w:r w:rsidR="00D876B9">
        <w:rPr>
          <w:rFonts w:ascii="Times New Roman" w:eastAsia="Times New Roman" w:hAnsi="Times New Roman" w:cs="Times New Roman"/>
          <w:sz w:val="24"/>
          <w:szCs w:val="24"/>
        </w:rPr>
        <w:t xml:space="preserve"> </w:t>
      </w:r>
      <w:r w:rsidR="001750D0">
        <w:rPr>
          <w:rFonts w:ascii="Times New Roman" w:eastAsia="Times New Roman" w:hAnsi="Times New Roman" w:cs="Times New Roman"/>
          <w:sz w:val="24"/>
          <w:szCs w:val="24"/>
        </w:rPr>
        <w:t>С</w:t>
      </w:r>
      <w:r w:rsidR="00B50D0E">
        <w:rPr>
          <w:rFonts w:ascii="Times New Roman" w:eastAsia="Times New Roman" w:hAnsi="Times New Roman" w:cs="Times New Roman"/>
          <w:sz w:val="24"/>
          <w:szCs w:val="24"/>
        </w:rPr>
        <w:t xml:space="preserve">поред </w:t>
      </w:r>
      <w:r>
        <w:rPr>
          <w:rFonts w:ascii="Times New Roman" w:eastAsia="Times New Roman" w:hAnsi="Times New Roman" w:cs="Times New Roman"/>
          <w:sz w:val="24"/>
          <w:szCs w:val="24"/>
        </w:rPr>
        <w:t>институт</w:t>
      </w:r>
      <w:r w:rsidR="00B50D0E">
        <w:rPr>
          <w:rFonts w:ascii="Times New Roman" w:eastAsia="Times New Roman" w:hAnsi="Times New Roman" w:cs="Times New Roman"/>
          <w:sz w:val="24"/>
          <w:szCs w:val="24"/>
        </w:rPr>
        <w:t>а</w:t>
      </w:r>
      <w:r>
        <w:rPr>
          <w:rFonts w:ascii="Times New Roman" w:eastAsia="Times New Roman" w:hAnsi="Times New Roman" w:cs="Times New Roman"/>
          <w:sz w:val="24"/>
          <w:szCs w:val="24"/>
        </w:rPr>
        <w:t xml:space="preserve"> CMMI</w:t>
      </w:r>
      <w:r w:rsidR="00B50D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версия 2.0 ще подобри удовлетвореността на клиентите, ще доведе до увеличено привличане и задържане на клиенти, както и до повишена производителност и ефективност и ще намали рисковете, свързани с</w:t>
      </w:r>
      <w:r w:rsidR="007367B0">
        <w:rPr>
          <w:rFonts w:ascii="Times New Roman" w:eastAsia="Times New Roman" w:hAnsi="Times New Roman" w:cs="Times New Roman"/>
          <w:sz w:val="24"/>
          <w:szCs w:val="24"/>
        </w:rPr>
        <w:t>ъс</w:t>
      </w:r>
      <w:r>
        <w:rPr>
          <w:rFonts w:ascii="Times New Roman" w:eastAsia="Times New Roman" w:hAnsi="Times New Roman" w:cs="Times New Roman"/>
          <w:sz w:val="24"/>
          <w:szCs w:val="24"/>
        </w:rPr>
        <w:t xml:space="preserve"> CMMI.</w:t>
      </w:r>
    </w:p>
    <w:p w14:paraId="1815830C" w14:textId="525557FC"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CMMI V2.0 </w:t>
      </w:r>
      <w:r w:rsidR="00AE4538">
        <w:rPr>
          <w:rFonts w:ascii="Times New Roman" w:eastAsia="Times New Roman" w:hAnsi="Times New Roman" w:cs="Times New Roman"/>
          <w:sz w:val="24"/>
          <w:szCs w:val="24"/>
        </w:rPr>
        <w:t>съдържа няколко</w:t>
      </w:r>
      <w:r>
        <w:rPr>
          <w:rFonts w:ascii="Times New Roman" w:eastAsia="Times New Roman" w:hAnsi="Times New Roman" w:cs="Times New Roman"/>
          <w:sz w:val="24"/>
          <w:szCs w:val="24"/>
        </w:rPr>
        <w:t xml:space="preserve"> компонента, предназначени да работят заедно, за да осигурят на бизнеса ясен път за постигане на целите си:</w:t>
      </w:r>
    </w:p>
    <w:p w14:paraId="0C513329" w14:textId="524A8935" w:rsidR="005201BB" w:rsidRDefault="001750D0" w:rsidP="00A51A4E">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w:t>
      </w:r>
      <w:r w:rsidR="00C834B5">
        <w:rPr>
          <w:rFonts w:ascii="Times New Roman" w:eastAsia="Times New Roman" w:hAnsi="Times New Roman" w:cs="Times New Roman"/>
          <w:sz w:val="24"/>
          <w:szCs w:val="24"/>
        </w:rPr>
        <w:t>бучение и сертифициране</w:t>
      </w:r>
      <w:r>
        <w:rPr>
          <w:rFonts w:ascii="Times New Roman" w:eastAsia="Times New Roman" w:hAnsi="Times New Roman" w:cs="Times New Roman"/>
          <w:sz w:val="24"/>
          <w:szCs w:val="24"/>
        </w:rPr>
        <w:t>;</w:t>
      </w:r>
    </w:p>
    <w:p w14:paraId="22247088" w14:textId="21667A4A" w:rsidR="005201BB" w:rsidRDefault="001750D0" w:rsidP="00A51A4E">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w:t>
      </w:r>
      <w:r w:rsidR="00C834B5">
        <w:rPr>
          <w:rFonts w:ascii="Times New Roman" w:eastAsia="Times New Roman" w:hAnsi="Times New Roman" w:cs="Times New Roman"/>
          <w:sz w:val="24"/>
          <w:szCs w:val="24"/>
        </w:rPr>
        <w:t>ценка</w:t>
      </w:r>
      <w:r>
        <w:rPr>
          <w:rFonts w:ascii="Times New Roman" w:eastAsia="Times New Roman" w:hAnsi="Times New Roman" w:cs="Times New Roman"/>
          <w:sz w:val="24"/>
          <w:szCs w:val="24"/>
        </w:rPr>
        <w:t>;</w:t>
      </w:r>
    </w:p>
    <w:p w14:paraId="6AFDD391" w14:textId="0D103632" w:rsidR="005201BB" w:rsidRDefault="001750D0" w:rsidP="00A51A4E">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w:t>
      </w:r>
      <w:r w:rsidR="00C834B5">
        <w:rPr>
          <w:rFonts w:ascii="Times New Roman" w:eastAsia="Times New Roman" w:hAnsi="Times New Roman" w:cs="Times New Roman"/>
          <w:sz w:val="24"/>
          <w:szCs w:val="24"/>
        </w:rPr>
        <w:t>простен модел за подобряване на производителността</w:t>
      </w:r>
      <w:r>
        <w:rPr>
          <w:rFonts w:ascii="Times New Roman" w:eastAsia="Times New Roman" w:hAnsi="Times New Roman" w:cs="Times New Roman"/>
          <w:sz w:val="24"/>
          <w:szCs w:val="24"/>
        </w:rPr>
        <w:t>;</w:t>
      </w:r>
    </w:p>
    <w:p w14:paraId="6DF60F09" w14:textId="0E0D19D6" w:rsidR="005201BB" w:rsidRDefault="001750D0" w:rsidP="00A51A4E">
      <w:pPr>
        <w:numPr>
          <w:ilvl w:val="0"/>
          <w:numId w:val="2"/>
        </w:numPr>
        <w:tabs>
          <w:tab w:val="left" w:pos="993"/>
        </w:tabs>
        <w:spacing w:after="0" w:line="360" w:lineRule="auto"/>
        <w:ind w:hanging="1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00C834B5">
        <w:rPr>
          <w:rFonts w:ascii="Times New Roman" w:eastAsia="Times New Roman" w:hAnsi="Times New Roman" w:cs="Times New Roman"/>
          <w:sz w:val="24"/>
          <w:szCs w:val="24"/>
        </w:rPr>
        <w:t>реработени системи за онлайн ресурси и инструменти</w:t>
      </w:r>
      <w:r>
        <w:rPr>
          <w:rFonts w:ascii="Times New Roman" w:eastAsia="Times New Roman" w:hAnsi="Times New Roman" w:cs="Times New Roman"/>
          <w:sz w:val="24"/>
          <w:szCs w:val="24"/>
        </w:rPr>
        <w:t>.</w:t>
      </w:r>
    </w:p>
    <w:p w14:paraId="13ABCB80" w14:textId="77777777"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Този модел има за цел да улесни фирмите, за да подобрят цялостната си производителност.</w:t>
      </w:r>
    </w:p>
    <w:p w14:paraId="7D0E67A1" w14:textId="41F6CA6D" w:rsidR="00475309" w:rsidRDefault="00475309" w:rsidP="0060643E">
      <w:pPr>
        <w:spacing w:after="0" w:line="360" w:lineRule="auto"/>
        <w:ind w:firstLine="709"/>
        <w:jc w:val="both"/>
        <w:rPr>
          <w:rFonts w:ascii="Times New Roman" w:eastAsia="Times New Roman" w:hAnsi="Times New Roman" w:cs="Times New Roman"/>
          <w:sz w:val="24"/>
          <w:szCs w:val="24"/>
        </w:rPr>
      </w:pPr>
      <w:r w:rsidRPr="00B075A2">
        <w:rPr>
          <w:rFonts w:ascii="Times New Roman" w:eastAsia="Times New Roman" w:hAnsi="Times New Roman" w:cs="Times New Roman"/>
          <w:sz w:val="24"/>
          <w:szCs w:val="24"/>
        </w:rPr>
        <w:t>Модел, който описва процесите на непрекъснато усъвършенстване и подобряване на управлението и развитието на човешки ресурси, част от семейството на CMM моделит</w:t>
      </w:r>
      <w:r w:rsidRPr="00B075A2">
        <w:rPr>
          <w:rFonts w:ascii="Times New Roman" w:eastAsia="Times New Roman" w:hAnsi="Times New Roman" w:cs="Times New Roman"/>
          <w:sz w:val="24"/>
          <w:szCs w:val="24"/>
          <w:lang w:val="en-US"/>
        </w:rPr>
        <w:t>e</w:t>
      </w:r>
      <w:r w:rsidRPr="00B075A2">
        <w:rPr>
          <w:rFonts w:ascii="Times New Roman" w:eastAsia="Times New Roman" w:hAnsi="Times New Roman" w:cs="Times New Roman"/>
          <w:sz w:val="24"/>
          <w:szCs w:val="24"/>
        </w:rPr>
        <w:t xml:space="preserve"> на зрялост на процесите, е P</w:t>
      </w:r>
      <w:proofErr w:type="spellStart"/>
      <w:r w:rsidRPr="00B075A2">
        <w:rPr>
          <w:rFonts w:ascii="Times New Roman" w:eastAsia="Times New Roman" w:hAnsi="Times New Roman" w:cs="Times New Roman"/>
          <w:sz w:val="24"/>
          <w:szCs w:val="24"/>
          <w:lang w:val="en-US"/>
        </w:rPr>
        <w:t>eople</w:t>
      </w:r>
      <w:proofErr w:type="spellEnd"/>
      <w:r w:rsidRPr="00B075A2">
        <w:rPr>
          <w:rFonts w:ascii="Times New Roman" w:eastAsia="Times New Roman" w:hAnsi="Times New Roman" w:cs="Times New Roman"/>
          <w:sz w:val="24"/>
          <w:szCs w:val="24"/>
          <w:lang w:val="en-US"/>
        </w:rPr>
        <w:t xml:space="preserve"> </w:t>
      </w:r>
      <w:r w:rsidRPr="00B075A2">
        <w:rPr>
          <w:rFonts w:ascii="Times New Roman" w:eastAsia="Times New Roman" w:hAnsi="Times New Roman" w:cs="Times New Roman"/>
          <w:sz w:val="24"/>
          <w:szCs w:val="24"/>
        </w:rPr>
        <w:t>CMM</w:t>
      </w:r>
      <w:r w:rsidR="00B075A2" w:rsidRPr="00B075A2">
        <w:rPr>
          <w:rFonts w:ascii="Times New Roman" w:eastAsia="Times New Roman" w:hAnsi="Times New Roman" w:cs="Times New Roman"/>
          <w:sz w:val="24"/>
          <w:szCs w:val="24"/>
          <w:lang w:val="en-GB"/>
        </w:rPr>
        <w:t xml:space="preserve"> (P-CMM)</w:t>
      </w:r>
      <w:r w:rsidRPr="00B075A2">
        <w:rPr>
          <w:rFonts w:ascii="Times New Roman" w:eastAsia="Times New Roman" w:hAnsi="Times New Roman" w:cs="Times New Roman"/>
          <w:sz w:val="24"/>
          <w:szCs w:val="24"/>
        </w:rPr>
        <w:t>.</w:t>
      </w:r>
    </w:p>
    <w:p w14:paraId="55AE831C" w14:textId="636C4BBE" w:rsidR="005201BB" w:rsidRDefault="00C834B5" w:rsidP="0060643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Рамката на P-CMM позволява на организациите да се фокусират върху ключови области на процеса и да положат основи за подобряване на практиките</w:t>
      </w:r>
      <w:r w:rsidR="002442B7">
        <w:rPr>
          <w:rFonts w:ascii="Times New Roman" w:eastAsia="Times New Roman" w:hAnsi="Times New Roman" w:cs="Times New Roman"/>
          <w:sz w:val="24"/>
          <w:szCs w:val="24"/>
        </w:rPr>
        <w:t xml:space="preserve"> при изграждането на цялостна система за управление на </w:t>
      </w:r>
      <w:r w:rsidR="00B075A2">
        <w:rPr>
          <w:rFonts w:ascii="Times New Roman" w:eastAsia="Times New Roman" w:hAnsi="Times New Roman" w:cs="Times New Roman"/>
          <w:sz w:val="24"/>
          <w:szCs w:val="24"/>
        </w:rPr>
        <w:t xml:space="preserve">човешки ресурси. </w:t>
      </w:r>
      <w:r>
        <w:rPr>
          <w:rFonts w:ascii="Times New Roman" w:eastAsia="Times New Roman" w:hAnsi="Times New Roman" w:cs="Times New Roman"/>
          <w:sz w:val="24"/>
          <w:szCs w:val="24"/>
        </w:rPr>
        <w:t xml:space="preserve">P-CMM </w:t>
      </w:r>
      <w:r w:rsidR="0060643E">
        <w:rPr>
          <w:rFonts w:ascii="Times New Roman" w:eastAsia="Times New Roman" w:hAnsi="Times New Roman" w:cs="Times New Roman"/>
          <w:sz w:val="24"/>
          <w:szCs w:val="24"/>
        </w:rPr>
        <w:t>изисква всички</w:t>
      </w:r>
      <w:r>
        <w:rPr>
          <w:rFonts w:ascii="Times New Roman" w:eastAsia="Times New Roman" w:hAnsi="Times New Roman" w:cs="Times New Roman"/>
          <w:sz w:val="24"/>
          <w:szCs w:val="24"/>
        </w:rPr>
        <w:t xml:space="preserve"> подобрения, интервенции, политики и процедури да </w:t>
      </w:r>
      <w:r w:rsidR="002442B7">
        <w:rPr>
          <w:rFonts w:ascii="Times New Roman" w:eastAsia="Times New Roman" w:hAnsi="Times New Roman" w:cs="Times New Roman"/>
          <w:sz w:val="24"/>
          <w:szCs w:val="24"/>
        </w:rPr>
        <w:t>се прилагат в</w:t>
      </w:r>
      <w:r>
        <w:rPr>
          <w:rFonts w:ascii="Times New Roman" w:eastAsia="Times New Roman" w:hAnsi="Times New Roman" w:cs="Times New Roman"/>
          <w:sz w:val="24"/>
          <w:szCs w:val="24"/>
        </w:rPr>
        <w:t xml:space="preserve"> цялата организаци</w:t>
      </w:r>
      <w:r w:rsidR="002442B7">
        <w:rPr>
          <w:rFonts w:ascii="Times New Roman" w:eastAsia="Times New Roman" w:hAnsi="Times New Roman" w:cs="Times New Roman"/>
          <w:sz w:val="24"/>
          <w:szCs w:val="24"/>
        </w:rPr>
        <w:t>я</w:t>
      </w:r>
      <w:r>
        <w:rPr>
          <w:rFonts w:ascii="Times New Roman" w:eastAsia="Times New Roman" w:hAnsi="Times New Roman" w:cs="Times New Roman"/>
          <w:sz w:val="24"/>
          <w:szCs w:val="24"/>
        </w:rPr>
        <w:t>, за да осигур</w:t>
      </w:r>
      <w:r w:rsidR="0060643E">
        <w:rPr>
          <w:rFonts w:ascii="Times New Roman" w:eastAsia="Times New Roman" w:hAnsi="Times New Roman" w:cs="Times New Roman"/>
          <w:sz w:val="24"/>
          <w:szCs w:val="24"/>
        </w:rPr>
        <w:t>и</w:t>
      </w:r>
      <w:r>
        <w:rPr>
          <w:rFonts w:ascii="Times New Roman" w:eastAsia="Times New Roman" w:hAnsi="Times New Roman" w:cs="Times New Roman"/>
          <w:sz w:val="24"/>
          <w:szCs w:val="24"/>
        </w:rPr>
        <w:t xml:space="preserve"> последователност на фок</w:t>
      </w:r>
      <w:r w:rsidR="0060643E">
        <w:rPr>
          <w:rFonts w:ascii="Times New Roman" w:eastAsia="Times New Roman" w:hAnsi="Times New Roman" w:cs="Times New Roman"/>
          <w:sz w:val="24"/>
          <w:szCs w:val="24"/>
        </w:rPr>
        <w:t>усиране</w:t>
      </w:r>
      <w:r>
        <w:rPr>
          <w:rFonts w:ascii="Times New Roman" w:eastAsia="Times New Roman" w:hAnsi="Times New Roman" w:cs="Times New Roman"/>
          <w:sz w:val="24"/>
          <w:szCs w:val="24"/>
        </w:rPr>
        <w:t xml:space="preserve"> върху </w:t>
      </w:r>
      <w:r w:rsidR="002442B7">
        <w:rPr>
          <w:rFonts w:ascii="Times New Roman" w:eastAsia="Times New Roman" w:hAnsi="Times New Roman" w:cs="Times New Roman"/>
          <w:sz w:val="24"/>
          <w:szCs w:val="24"/>
        </w:rPr>
        <w:t>увеличаване на положителните ефекти</w:t>
      </w:r>
      <w:r>
        <w:rPr>
          <w:rFonts w:ascii="Times New Roman" w:eastAsia="Times New Roman" w:hAnsi="Times New Roman" w:cs="Times New Roman"/>
          <w:sz w:val="24"/>
          <w:szCs w:val="24"/>
        </w:rPr>
        <w:t xml:space="preserve"> и насърчаване на индивидуалните иновации и творчество.</w:t>
      </w:r>
    </w:p>
    <w:p w14:paraId="50E245D9" w14:textId="0C5E90A8" w:rsidR="005201BB" w:rsidRDefault="00C834B5" w:rsidP="0060643E">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Традиционно моделите за зрялост на процесите като ISO/IEC 15504 или CMMI се фокусират върху организационното подобрение по отношение на оперативните процеси на разработка. За разлика от тях P</w:t>
      </w:r>
      <w:r w:rsidR="006064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CMM се фокусира върху </w:t>
      </w:r>
      <w:r w:rsidR="0060643E">
        <w:rPr>
          <w:rFonts w:ascii="Times New Roman" w:eastAsia="Times New Roman" w:hAnsi="Times New Roman" w:cs="Times New Roman"/>
          <w:sz w:val="24"/>
          <w:szCs w:val="24"/>
        </w:rPr>
        <w:t xml:space="preserve">хора, процеси, продукти и технологии </w:t>
      </w:r>
      <w:r>
        <w:rPr>
          <w:rFonts w:ascii="Times New Roman" w:eastAsia="Times New Roman" w:hAnsi="Times New Roman" w:cs="Times New Roman"/>
          <w:sz w:val="24"/>
          <w:szCs w:val="24"/>
        </w:rPr>
        <w:t>за</w:t>
      </w:r>
      <w:r w:rsidR="0060643E">
        <w:rPr>
          <w:rFonts w:ascii="Times New Roman" w:eastAsia="Times New Roman" w:hAnsi="Times New Roman" w:cs="Times New Roman"/>
          <w:sz w:val="24"/>
          <w:szCs w:val="24"/>
        </w:rPr>
        <w:t xml:space="preserve"> успешно</w:t>
      </w:r>
      <w:r>
        <w:rPr>
          <w:rFonts w:ascii="Times New Roman" w:eastAsia="Times New Roman" w:hAnsi="Times New Roman" w:cs="Times New Roman"/>
          <w:sz w:val="24"/>
          <w:szCs w:val="24"/>
        </w:rPr>
        <w:t xml:space="preserve"> предоставяне на продукти и услуги</w:t>
      </w:r>
      <w:r w:rsidR="006064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Рамката на P-CMM позволява на организациите постепенно да се фокусират върху ключови области на процеса и да положат основи за подобряване на практиките на работната сила</w:t>
      </w:r>
      <w:r w:rsidR="00651E7B">
        <w:rPr>
          <w:rFonts w:ascii="Times New Roman" w:eastAsia="Times New Roman" w:hAnsi="Times New Roman" w:cs="Times New Roman"/>
          <w:sz w:val="24"/>
          <w:szCs w:val="24"/>
          <w:lang w:val="en-US"/>
        </w:rPr>
        <w:t xml:space="preserve"> (</w:t>
      </w:r>
      <w:r w:rsidR="00651E7B" w:rsidRPr="00A81860">
        <w:rPr>
          <w:rFonts w:ascii="Times New Roman" w:eastAsia="Times New Roman" w:hAnsi="Times New Roman" w:cs="Times New Roman"/>
          <w:color w:val="000000"/>
          <w:sz w:val="24"/>
          <w:szCs w:val="24"/>
        </w:rPr>
        <w:t>Turetken</w:t>
      </w:r>
      <w:r w:rsidR="00651E7B">
        <w:rPr>
          <w:rFonts w:ascii="Times New Roman" w:eastAsia="Times New Roman" w:hAnsi="Times New Roman" w:cs="Times New Roman"/>
          <w:color w:val="000000"/>
          <w:sz w:val="24"/>
          <w:szCs w:val="24"/>
          <w:lang w:val="en-US"/>
        </w:rPr>
        <w:t>, 2004</w:t>
      </w:r>
      <w:r w:rsidR="00651E7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w:t>
      </w:r>
    </w:p>
    <w:p w14:paraId="424B52D8" w14:textId="6AA98660" w:rsidR="005201BB" w:rsidRDefault="00C834B5">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Подобно на останалите модели на зрялост, разработени в Института за софтуерно инженерство (SEI) към университета Карнеги-Мелон, P-CMM се състои от нива на зрялост, които установяват последователни основи за непрекъснато подобряване на компетенциите на </w:t>
      </w:r>
      <w:r w:rsidR="00B075A2">
        <w:rPr>
          <w:rFonts w:ascii="Times New Roman" w:eastAsia="Times New Roman" w:hAnsi="Times New Roman" w:cs="Times New Roman"/>
          <w:sz w:val="24"/>
          <w:szCs w:val="24"/>
        </w:rPr>
        <w:t>човешките ресурси</w:t>
      </w:r>
      <w:r>
        <w:rPr>
          <w:rFonts w:ascii="Times New Roman" w:eastAsia="Times New Roman" w:hAnsi="Times New Roman" w:cs="Times New Roman"/>
          <w:sz w:val="24"/>
          <w:szCs w:val="24"/>
        </w:rPr>
        <w:t xml:space="preserve">. </w:t>
      </w:r>
      <w:r w:rsidR="00350D21" w:rsidRPr="00350D21">
        <w:rPr>
          <w:rFonts w:ascii="Times New Roman" w:eastAsia="Times New Roman" w:hAnsi="Times New Roman" w:cs="Times New Roman"/>
          <w:sz w:val="24"/>
          <w:szCs w:val="24"/>
        </w:rPr>
        <w:t>Те започват от Н</w:t>
      </w:r>
      <w:r w:rsidRPr="00350D21">
        <w:rPr>
          <w:rFonts w:ascii="Times New Roman" w:eastAsia="Times New Roman" w:hAnsi="Times New Roman" w:cs="Times New Roman"/>
          <w:sz w:val="24"/>
          <w:szCs w:val="24"/>
        </w:rPr>
        <w:t>иво 1, където практиките се</w:t>
      </w:r>
      <w:r>
        <w:rPr>
          <w:rFonts w:ascii="Times New Roman" w:eastAsia="Times New Roman" w:hAnsi="Times New Roman" w:cs="Times New Roman"/>
          <w:sz w:val="24"/>
          <w:szCs w:val="24"/>
        </w:rPr>
        <w:t xml:space="preserve"> изпълняват хаотично и често не успяват да </w:t>
      </w:r>
      <w:r w:rsidR="00350D21">
        <w:rPr>
          <w:rFonts w:ascii="Times New Roman" w:eastAsia="Times New Roman" w:hAnsi="Times New Roman" w:cs="Times New Roman"/>
          <w:sz w:val="24"/>
          <w:szCs w:val="24"/>
        </w:rPr>
        <w:t xml:space="preserve">се </w:t>
      </w:r>
      <w:r>
        <w:rPr>
          <w:rFonts w:ascii="Times New Roman" w:eastAsia="Times New Roman" w:hAnsi="Times New Roman" w:cs="Times New Roman"/>
          <w:sz w:val="24"/>
          <w:szCs w:val="24"/>
        </w:rPr>
        <w:t xml:space="preserve">постигнат </w:t>
      </w:r>
      <w:r w:rsidR="00350D21">
        <w:rPr>
          <w:rFonts w:ascii="Times New Roman" w:eastAsia="Times New Roman" w:hAnsi="Times New Roman" w:cs="Times New Roman"/>
          <w:sz w:val="24"/>
          <w:szCs w:val="24"/>
        </w:rPr>
        <w:t>поставените цели</w:t>
      </w:r>
      <w:r>
        <w:rPr>
          <w:rFonts w:ascii="Times New Roman" w:eastAsia="Times New Roman" w:hAnsi="Times New Roman" w:cs="Times New Roman"/>
          <w:sz w:val="24"/>
          <w:szCs w:val="24"/>
        </w:rPr>
        <w:t>, до оптимизираното ниво (Ниво 5), където всеки в организацията е фокусиран върху непрекъснатото подобряване на своите способности</w:t>
      </w:r>
      <w:r w:rsidR="0060643E">
        <w:rPr>
          <w:rFonts w:ascii="Times New Roman" w:eastAsia="Times New Roman" w:hAnsi="Times New Roman" w:cs="Times New Roman"/>
          <w:sz w:val="24"/>
          <w:szCs w:val="24"/>
        </w:rPr>
        <w:t xml:space="preserve"> (Таблица 2)</w:t>
      </w:r>
      <w:r>
        <w:rPr>
          <w:rFonts w:ascii="Times New Roman" w:eastAsia="Times New Roman" w:hAnsi="Times New Roman" w:cs="Times New Roman"/>
          <w:sz w:val="24"/>
          <w:szCs w:val="24"/>
        </w:rPr>
        <w:t>.</w:t>
      </w:r>
    </w:p>
    <w:p w14:paraId="42F074EC" w14:textId="77777777" w:rsidR="005201BB" w:rsidRDefault="005201BB">
      <w:pPr>
        <w:spacing w:after="0" w:line="360" w:lineRule="auto"/>
        <w:ind w:firstLine="709"/>
        <w:jc w:val="both"/>
        <w:rPr>
          <w:rFonts w:ascii="Times New Roman" w:eastAsia="Times New Roman" w:hAnsi="Times New Roman" w:cs="Times New Roman"/>
          <w:sz w:val="24"/>
          <w:szCs w:val="24"/>
        </w:rPr>
      </w:pPr>
    </w:p>
    <w:p w14:paraId="1DC25954" w14:textId="371341AF" w:rsidR="005201BB" w:rsidRPr="008E5539" w:rsidRDefault="00C834B5" w:rsidP="008E5539">
      <w:pPr>
        <w:pStyle w:val="Article-table-No"/>
        <w:keepNext/>
        <w:rPr>
          <w:rFonts w:eastAsiaTheme="minorHAnsi"/>
          <w:lang w:val="en-US"/>
        </w:rPr>
      </w:pPr>
      <w:r w:rsidRPr="00B50D0E">
        <w:rPr>
          <w:rFonts w:eastAsiaTheme="minorHAnsi"/>
        </w:rPr>
        <w:lastRenderedPageBreak/>
        <w:t xml:space="preserve">Таблица </w:t>
      </w:r>
      <w:r w:rsidR="006D46F2" w:rsidRPr="00B50D0E">
        <w:rPr>
          <w:rFonts w:eastAsiaTheme="minorHAnsi"/>
        </w:rPr>
        <w:t>2</w:t>
      </w:r>
      <w:r w:rsidR="008E5539">
        <w:rPr>
          <w:rFonts w:eastAsiaTheme="minorHAnsi"/>
          <w:lang w:val="en-US"/>
        </w:rPr>
        <w:t>.</w:t>
      </w:r>
    </w:p>
    <w:p w14:paraId="43E9ABF4" w14:textId="77777777" w:rsidR="005201BB" w:rsidRDefault="00C834B5" w:rsidP="008E5539">
      <w:pPr>
        <w:pStyle w:val="Article-table-title"/>
        <w:keepNext/>
        <w:rPr>
          <w:rFonts w:eastAsia="Times New Roman"/>
          <w:color w:val="000000"/>
        </w:rPr>
      </w:pPr>
      <w:r>
        <w:rPr>
          <w:rFonts w:eastAsia="Times New Roman"/>
        </w:rPr>
        <w:t>Процесни нишки в People CMM</w:t>
      </w:r>
    </w:p>
    <w:tbl>
      <w:tblPr>
        <w:tblStyle w:val="1"/>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00" w:firstRow="0" w:lastRow="0" w:firstColumn="0" w:lastColumn="0" w:noHBand="0" w:noVBand="1"/>
      </w:tblPr>
      <w:tblGrid>
        <w:gridCol w:w="1838"/>
        <w:gridCol w:w="1843"/>
        <w:gridCol w:w="1701"/>
        <w:gridCol w:w="1984"/>
        <w:gridCol w:w="1701"/>
      </w:tblGrid>
      <w:tr w:rsidR="00C9177F" w14:paraId="19B04FC5" w14:textId="77777777" w:rsidTr="008C61EA">
        <w:trPr>
          <w:trHeight w:val="280"/>
        </w:trPr>
        <w:tc>
          <w:tcPr>
            <w:tcW w:w="1838" w:type="dxa"/>
            <w:vMerge w:val="restart"/>
            <w:vAlign w:val="center"/>
          </w:tcPr>
          <w:p w14:paraId="5A053AAF" w14:textId="77777777" w:rsidR="00C9177F" w:rsidRPr="00B50D0E" w:rsidRDefault="00C9177F" w:rsidP="008C61EA">
            <w:pPr>
              <w:jc w:val="center"/>
              <w:rPr>
                <w:rFonts w:ascii="Times New Roman" w:eastAsiaTheme="minorHAnsi" w:hAnsi="Times New Roman" w:cs="Times New Roman"/>
                <w:sz w:val="24"/>
                <w:szCs w:val="24"/>
              </w:rPr>
            </w:pPr>
            <w:r w:rsidRPr="00B50D0E">
              <w:rPr>
                <w:rFonts w:ascii="Times New Roman" w:eastAsiaTheme="minorHAnsi" w:hAnsi="Times New Roman" w:cs="Times New Roman"/>
                <w:b/>
                <w:bCs/>
                <w:sz w:val="24"/>
                <w:szCs w:val="24"/>
              </w:rPr>
              <w:t>Нива на зрялост</w:t>
            </w:r>
          </w:p>
        </w:tc>
        <w:tc>
          <w:tcPr>
            <w:tcW w:w="7229" w:type="dxa"/>
            <w:gridSpan w:val="4"/>
          </w:tcPr>
          <w:p w14:paraId="15A9445D" w14:textId="77777777" w:rsidR="00C9177F" w:rsidRPr="00B50D0E" w:rsidRDefault="00C9177F" w:rsidP="008C61EA">
            <w:pPr>
              <w:jc w:val="center"/>
              <w:rPr>
                <w:rFonts w:ascii="Times New Roman" w:eastAsiaTheme="minorHAnsi" w:hAnsi="Times New Roman" w:cs="Times New Roman"/>
                <w:sz w:val="24"/>
                <w:szCs w:val="24"/>
              </w:rPr>
            </w:pPr>
            <w:r w:rsidRPr="00B50D0E">
              <w:rPr>
                <w:rFonts w:ascii="Times New Roman" w:eastAsiaTheme="minorHAnsi" w:hAnsi="Times New Roman" w:cs="Times New Roman"/>
                <w:b/>
                <w:bCs/>
                <w:sz w:val="24"/>
                <w:szCs w:val="24"/>
              </w:rPr>
              <w:t>Нишки на процесната област</w:t>
            </w:r>
          </w:p>
        </w:tc>
      </w:tr>
      <w:tr w:rsidR="00C9177F" w14:paraId="1AA5EE58" w14:textId="77777777" w:rsidTr="008C61EA">
        <w:trPr>
          <w:trHeight w:val="900"/>
        </w:trPr>
        <w:tc>
          <w:tcPr>
            <w:tcW w:w="1838" w:type="dxa"/>
            <w:vMerge/>
          </w:tcPr>
          <w:p w14:paraId="1BF103F2" w14:textId="77777777" w:rsidR="00C9177F" w:rsidRPr="00B50D0E" w:rsidRDefault="00C9177F" w:rsidP="008C61EA">
            <w:pPr>
              <w:jc w:val="center"/>
              <w:rPr>
                <w:rFonts w:ascii="Times New Roman" w:eastAsiaTheme="minorHAnsi" w:hAnsi="Times New Roman" w:cs="Times New Roman"/>
                <w:sz w:val="24"/>
                <w:szCs w:val="24"/>
              </w:rPr>
            </w:pPr>
          </w:p>
        </w:tc>
        <w:tc>
          <w:tcPr>
            <w:tcW w:w="1843" w:type="dxa"/>
          </w:tcPr>
          <w:p w14:paraId="08312A6B" w14:textId="77777777" w:rsidR="00C9177F" w:rsidRPr="00B50D0E" w:rsidRDefault="00C9177F" w:rsidP="008C61EA">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Развитие на индивидуални способности</w:t>
            </w:r>
          </w:p>
        </w:tc>
        <w:tc>
          <w:tcPr>
            <w:tcW w:w="1701" w:type="dxa"/>
          </w:tcPr>
          <w:p w14:paraId="6134F3A1" w14:textId="77777777" w:rsidR="00C9177F" w:rsidRPr="00B50D0E" w:rsidRDefault="00C9177F" w:rsidP="008C61EA">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Сформиране на екипи и култура</w:t>
            </w:r>
          </w:p>
        </w:tc>
        <w:tc>
          <w:tcPr>
            <w:tcW w:w="1984" w:type="dxa"/>
          </w:tcPr>
          <w:p w14:paraId="4773607F" w14:textId="77777777" w:rsidR="00C9177F" w:rsidRPr="00B50D0E" w:rsidRDefault="00C9177F" w:rsidP="008C61EA">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Мотивация и управление на представянето</w:t>
            </w:r>
          </w:p>
        </w:tc>
        <w:tc>
          <w:tcPr>
            <w:tcW w:w="1701" w:type="dxa"/>
          </w:tcPr>
          <w:p w14:paraId="3049CF64" w14:textId="77777777" w:rsidR="00C9177F" w:rsidRPr="00B50D0E" w:rsidRDefault="00C9177F" w:rsidP="008C61EA">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Формиране на работната сила</w:t>
            </w:r>
          </w:p>
        </w:tc>
      </w:tr>
      <w:tr w:rsidR="00C9177F" w14:paraId="2742A000" w14:textId="77777777" w:rsidTr="00A727D3">
        <w:trPr>
          <w:trHeight w:val="900"/>
        </w:trPr>
        <w:tc>
          <w:tcPr>
            <w:tcW w:w="1838" w:type="dxa"/>
          </w:tcPr>
          <w:p w14:paraId="0A741855" w14:textId="77777777" w:rsidR="00C9177F" w:rsidRDefault="00C9177F" w:rsidP="00C9177F">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1</w:t>
            </w:r>
          </w:p>
          <w:p w14:paraId="3AE82656" w14:textId="22D62FC6" w:rsidR="00C9177F" w:rsidRPr="00B50D0E" w:rsidRDefault="00C9177F" w:rsidP="00C9177F">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Начало</w:t>
            </w:r>
          </w:p>
        </w:tc>
        <w:tc>
          <w:tcPr>
            <w:tcW w:w="7229" w:type="dxa"/>
            <w:gridSpan w:val="4"/>
          </w:tcPr>
          <w:p w14:paraId="7798DC1F" w14:textId="77777777" w:rsidR="00C9177F" w:rsidRDefault="00C9177F" w:rsidP="008C61EA">
            <w:pPr>
              <w:jc w:val="center"/>
              <w:rPr>
                <w:rFonts w:ascii="Times New Roman" w:eastAsiaTheme="minorHAnsi" w:hAnsi="Times New Roman" w:cs="Times New Roman"/>
                <w:sz w:val="24"/>
                <w:szCs w:val="24"/>
              </w:rPr>
            </w:pPr>
          </w:p>
          <w:p w14:paraId="638CAFD6" w14:textId="011AAE2E" w:rsidR="00C9177F" w:rsidRPr="00B50D0E" w:rsidRDefault="00C9177F" w:rsidP="008C61EA">
            <w:pPr>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Липсват дефинирани практики</w:t>
            </w:r>
          </w:p>
        </w:tc>
      </w:tr>
      <w:tr w:rsidR="00C9177F" w14:paraId="25C8A9CC" w14:textId="77777777" w:rsidTr="008C61EA">
        <w:trPr>
          <w:trHeight w:val="900"/>
        </w:trPr>
        <w:tc>
          <w:tcPr>
            <w:tcW w:w="1838" w:type="dxa"/>
          </w:tcPr>
          <w:p w14:paraId="3900740A" w14:textId="77777777"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2</w:t>
            </w:r>
          </w:p>
          <w:p w14:paraId="75BA39AE" w14:textId="61706BC9"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Повторяемост</w:t>
            </w:r>
          </w:p>
        </w:tc>
        <w:tc>
          <w:tcPr>
            <w:tcW w:w="1843" w:type="dxa"/>
          </w:tcPr>
          <w:p w14:paraId="0443CE56" w14:textId="30E3FB27"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Обучение и развитие</w:t>
            </w:r>
          </w:p>
        </w:tc>
        <w:tc>
          <w:tcPr>
            <w:tcW w:w="1701" w:type="dxa"/>
          </w:tcPr>
          <w:p w14:paraId="384F721D" w14:textId="3526C7AF"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Комуникация и координация</w:t>
            </w:r>
          </w:p>
        </w:tc>
        <w:tc>
          <w:tcPr>
            <w:tcW w:w="1984" w:type="dxa"/>
          </w:tcPr>
          <w:p w14:paraId="2BC7471D" w14:textId="77777777"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Компенсации</w:t>
            </w:r>
          </w:p>
          <w:p w14:paraId="16FFE267" w14:textId="77777777"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Изпълнителен мениджмънт</w:t>
            </w:r>
          </w:p>
          <w:p w14:paraId="5AD99734" w14:textId="719D4C1A"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Работна среда</w:t>
            </w:r>
          </w:p>
        </w:tc>
        <w:tc>
          <w:tcPr>
            <w:tcW w:w="1701" w:type="dxa"/>
          </w:tcPr>
          <w:p w14:paraId="688A8978" w14:textId="3A7D749C"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Наемане на служители</w:t>
            </w:r>
          </w:p>
        </w:tc>
      </w:tr>
      <w:tr w:rsidR="00C9177F" w14:paraId="7E907D3A" w14:textId="77777777" w:rsidTr="008C61EA">
        <w:trPr>
          <w:trHeight w:val="900"/>
        </w:trPr>
        <w:tc>
          <w:tcPr>
            <w:tcW w:w="1838" w:type="dxa"/>
          </w:tcPr>
          <w:p w14:paraId="38B9CE2E" w14:textId="77777777"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3</w:t>
            </w:r>
          </w:p>
          <w:p w14:paraId="192D2CD4" w14:textId="4B278065"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Дефиниране</w:t>
            </w:r>
          </w:p>
        </w:tc>
        <w:tc>
          <w:tcPr>
            <w:tcW w:w="1843" w:type="dxa"/>
          </w:tcPr>
          <w:p w14:paraId="751D729E" w14:textId="457579AF"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Анализ и развитие на компетентностите</w:t>
            </w:r>
          </w:p>
        </w:tc>
        <w:tc>
          <w:tcPr>
            <w:tcW w:w="1701" w:type="dxa"/>
          </w:tcPr>
          <w:p w14:paraId="05C2FAAF" w14:textId="46CA03FE"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Култура на участие</w:t>
            </w:r>
          </w:p>
        </w:tc>
        <w:tc>
          <w:tcPr>
            <w:tcW w:w="1984" w:type="dxa"/>
          </w:tcPr>
          <w:p w14:paraId="4F0803CF" w14:textId="77777777"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Практики базирани на компетенции</w:t>
            </w:r>
          </w:p>
          <w:p w14:paraId="2417B29D" w14:textId="0187028E"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Кариерно развитие</w:t>
            </w:r>
          </w:p>
        </w:tc>
        <w:tc>
          <w:tcPr>
            <w:tcW w:w="1701" w:type="dxa"/>
          </w:tcPr>
          <w:p w14:paraId="3C2BFCDD" w14:textId="3379B9B5"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Планиране на работна сила</w:t>
            </w:r>
          </w:p>
        </w:tc>
      </w:tr>
      <w:tr w:rsidR="00C9177F" w14:paraId="1375C5E4" w14:textId="77777777" w:rsidTr="008C61EA">
        <w:trPr>
          <w:trHeight w:val="900"/>
        </w:trPr>
        <w:tc>
          <w:tcPr>
            <w:tcW w:w="1838" w:type="dxa"/>
          </w:tcPr>
          <w:p w14:paraId="1E07F053" w14:textId="77777777"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4</w:t>
            </w:r>
          </w:p>
          <w:p w14:paraId="4646438D" w14:textId="319B5A13"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Предвиждане</w:t>
            </w:r>
          </w:p>
        </w:tc>
        <w:tc>
          <w:tcPr>
            <w:tcW w:w="1843" w:type="dxa"/>
          </w:tcPr>
          <w:p w14:paraId="2FDB4E0A" w14:textId="77777777"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Активи базирани на компетентности</w:t>
            </w:r>
          </w:p>
          <w:p w14:paraId="109A4F38" w14:textId="0B4DA5E2"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Менторство</w:t>
            </w:r>
          </w:p>
        </w:tc>
        <w:tc>
          <w:tcPr>
            <w:tcW w:w="1701" w:type="dxa"/>
          </w:tcPr>
          <w:p w14:paraId="0ADDC667" w14:textId="3CE1972F"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Развитие на работата в екипи</w:t>
            </w:r>
          </w:p>
        </w:tc>
        <w:tc>
          <w:tcPr>
            <w:tcW w:w="1984" w:type="dxa"/>
          </w:tcPr>
          <w:p w14:paraId="79111397" w14:textId="3571B5E0"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Количествено управление на изпълнението</w:t>
            </w:r>
          </w:p>
        </w:tc>
        <w:tc>
          <w:tcPr>
            <w:tcW w:w="1701" w:type="dxa"/>
          </w:tcPr>
          <w:p w14:paraId="1F296E36" w14:textId="665B1702"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Управление на организационните възможности</w:t>
            </w:r>
          </w:p>
        </w:tc>
      </w:tr>
      <w:tr w:rsidR="00C9177F" w14:paraId="4082FF3A" w14:textId="77777777" w:rsidTr="00696A57">
        <w:trPr>
          <w:trHeight w:val="900"/>
        </w:trPr>
        <w:tc>
          <w:tcPr>
            <w:tcW w:w="1838" w:type="dxa"/>
          </w:tcPr>
          <w:p w14:paraId="27B139BC" w14:textId="77777777"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5</w:t>
            </w:r>
          </w:p>
          <w:p w14:paraId="75DE6D9F" w14:textId="5500A39C"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Оптимизиране</w:t>
            </w:r>
          </w:p>
        </w:tc>
        <w:tc>
          <w:tcPr>
            <w:tcW w:w="3544" w:type="dxa"/>
            <w:gridSpan w:val="2"/>
          </w:tcPr>
          <w:p w14:paraId="0323BB84" w14:textId="60155053"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Непрекъснато подобряване на способностите</w:t>
            </w:r>
          </w:p>
        </w:tc>
        <w:tc>
          <w:tcPr>
            <w:tcW w:w="1984" w:type="dxa"/>
          </w:tcPr>
          <w:p w14:paraId="0CDD5C0C" w14:textId="39FFAD24"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Групиране на организационното представяне</w:t>
            </w:r>
          </w:p>
        </w:tc>
        <w:tc>
          <w:tcPr>
            <w:tcW w:w="1701" w:type="dxa"/>
          </w:tcPr>
          <w:p w14:paraId="2320E878" w14:textId="6B9F20EA" w:rsidR="00C9177F" w:rsidRPr="00B50D0E" w:rsidRDefault="00C9177F" w:rsidP="00C9177F">
            <w:pPr>
              <w:jc w:val="center"/>
              <w:rPr>
                <w:rFonts w:ascii="Times New Roman" w:eastAsiaTheme="minorHAnsi" w:hAnsi="Times New Roman" w:cs="Times New Roman"/>
                <w:sz w:val="24"/>
                <w:szCs w:val="24"/>
              </w:rPr>
            </w:pPr>
            <w:r w:rsidRPr="00B50D0E">
              <w:rPr>
                <w:rFonts w:ascii="Times New Roman" w:eastAsiaTheme="minorHAnsi" w:hAnsi="Times New Roman" w:cs="Times New Roman"/>
                <w:sz w:val="24"/>
                <w:szCs w:val="24"/>
              </w:rPr>
              <w:t>Иновации при работната сила</w:t>
            </w:r>
          </w:p>
        </w:tc>
      </w:tr>
    </w:tbl>
    <w:p w14:paraId="266A9491" w14:textId="55342399" w:rsidR="00B87166" w:rsidRPr="008E5539" w:rsidRDefault="00B87166" w:rsidP="00C9177F">
      <w:pPr>
        <w:pStyle w:val="Style1"/>
        <w:rPr>
          <w:lang w:val="en-US"/>
        </w:rPr>
      </w:pPr>
      <w:r w:rsidRPr="00B87166">
        <w:t>Източник: Адаптирано от Curtis,</w:t>
      </w:r>
      <w:r w:rsidRPr="00B87166">
        <w:rPr>
          <w:lang w:val="en-US"/>
        </w:rPr>
        <w:t xml:space="preserve"> </w:t>
      </w:r>
      <w:r w:rsidRPr="00B87166">
        <w:t>Hefley, Miller</w:t>
      </w:r>
      <w:r w:rsidR="008E5539">
        <w:rPr>
          <w:lang w:val="en-US"/>
        </w:rPr>
        <w:t xml:space="preserve"> (</w:t>
      </w:r>
      <w:r w:rsidRPr="00B87166">
        <w:t>2009</w:t>
      </w:r>
      <w:r w:rsidR="008E5539">
        <w:rPr>
          <w:lang w:val="en-US"/>
        </w:rPr>
        <w:t>)</w:t>
      </w:r>
    </w:p>
    <w:p w14:paraId="4B009242" w14:textId="77777777" w:rsidR="00B87166" w:rsidRPr="00B87166" w:rsidRDefault="00B87166" w:rsidP="00B87166">
      <w:pPr>
        <w:pStyle w:val="Style1"/>
      </w:pPr>
    </w:p>
    <w:p w14:paraId="124AA0CA" w14:textId="4FF5DEA1" w:rsidR="00F262F6" w:rsidRPr="004A779E" w:rsidRDefault="00F262F6" w:rsidP="00A51A4E">
      <w:pPr>
        <w:ind w:firstLine="709"/>
        <w:rPr>
          <w:rFonts w:ascii="Times New Roman" w:eastAsia="Times New Roman" w:hAnsi="Times New Roman" w:cs="Times New Roman"/>
          <w:sz w:val="24"/>
          <w:szCs w:val="24"/>
        </w:rPr>
      </w:pPr>
      <w:r w:rsidRPr="004A779E">
        <w:rPr>
          <w:rFonts w:ascii="Times New Roman" w:eastAsia="Times New Roman" w:hAnsi="Times New Roman" w:cs="Times New Roman"/>
          <w:sz w:val="24"/>
          <w:szCs w:val="24"/>
        </w:rPr>
        <w:t>Петте нива на зрялост на People CMM са:</w:t>
      </w:r>
    </w:p>
    <w:p w14:paraId="540713B0" w14:textId="23B1AA34" w:rsidR="00F262F6" w:rsidRPr="004A779E" w:rsidRDefault="00C034D8" w:rsidP="00B77D22">
      <w:pPr>
        <w:ind w:firstLine="709"/>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Начално</w:t>
      </w:r>
      <w:r w:rsidR="00F262F6" w:rsidRPr="004A779E">
        <w:rPr>
          <w:rFonts w:ascii="Times New Roman" w:eastAsia="Times New Roman" w:hAnsi="Times New Roman" w:cs="Times New Roman"/>
          <w:sz w:val="24"/>
          <w:szCs w:val="24"/>
        </w:rPr>
        <w:t xml:space="preserve"> – </w:t>
      </w:r>
      <w:r w:rsidR="00905DE2">
        <w:rPr>
          <w:rFonts w:ascii="Times New Roman" w:eastAsia="Times New Roman" w:hAnsi="Times New Roman" w:cs="Times New Roman"/>
          <w:sz w:val="24"/>
          <w:szCs w:val="24"/>
        </w:rPr>
        <w:t xml:space="preserve">ниво, при което </w:t>
      </w:r>
      <w:r w:rsidR="00F262F6" w:rsidRPr="004A779E">
        <w:rPr>
          <w:rFonts w:ascii="Times New Roman" w:eastAsia="Times New Roman" w:hAnsi="Times New Roman" w:cs="Times New Roman"/>
          <w:sz w:val="24"/>
          <w:szCs w:val="24"/>
        </w:rPr>
        <w:t>липсват дефинирани практики.</w:t>
      </w:r>
    </w:p>
    <w:p w14:paraId="2E8B2A85" w14:textId="0C94405A" w:rsidR="00F262F6" w:rsidRPr="004A779E" w:rsidRDefault="003F6917" w:rsidP="004A779E">
      <w:pPr>
        <w:spacing w:after="0" w:line="360" w:lineRule="auto"/>
        <w:ind w:firstLine="709"/>
        <w:jc w:val="both"/>
        <w:rPr>
          <w:rFonts w:ascii="Times New Roman" w:eastAsia="Times New Roman" w:hAnsi="Times New Roman" w:cs="Times New Roman"/>
          <w:sz w:val="24"/>
          <w:szCs w:val="24"/>
        </w:rPr>
      </w:pPr>
      <w:r w:rsidRPr="004A779E">
        <w:rPr>
          <w:rFonts w:ascii="Times New Roman" w:eastAsia="Times New Roman" w:hAnsi="Times New Roman" w:cs="Times New Roman"/>
          <w:b/>
          <w:bCs/>
          <w:sz w:val="24"/>
          <w:szCs w:val="24"/>
        </w:rPr>
        <w:t>Повт</w:t>
      </w:r>
      <w:r w:rsidR="00FB5345" w:rsidRPr="004A779E">
        <w:rPr>
          <w:rFonts w:ascii="Times New Roman" w:eastAsia="Times New Roman" w:hAnsi="Times New Roman" w:cs="Times New Roman"/>
          <w:b/>
          <w:bCs/>
          <w:sz w:val="24"/>
          <w:szCs w:val="24"/>
        </w:rPr>
        <w:t>о</w:t>
      </w:r>
      <w:r w:rsidRPr="004A779E">
        <w:rPr>
          <w:rFonts w:ascii="Times New Roman" w:eastAsia="Times New Roman" w:hAnsi="Times New Roman" w:cs="Times New Roman"/>
          <w:b/>
          <w:bCs/>
          <w:sz w:val="24"/>
          <w:szCs w:val="24"/>
        </w:rPr>
        <w:t>ряемост</w:t>
      </w:r>
      <w:r w:rsidR="00F262F6" w:rsidRPr="004A779E">
        <w:rPr>
          <w:rFonts w:ascii="Times New Roman" w:eastAsia="Times New Roman" w:hAnsi="Times New Roman" w:cs="Times New Roman"/>
          <w:sz w:val="24"/>
          <w:szCs w:val="24"/>
        </w:rPr>
        <w:t xml:space="preserve"> – ключовите области на процеса на Ниво 2 се фокусират върху въвеждането на дисциплина в дейностите на работната сила. Те включват</w:t>
      </w:r>
      <w:r w:rsidRPr="004A779E">
        <w:rPr>
          <w:rFonts w:ascii="Times New Roman" w:eastAsia="Times New Roman" w:hAnsi="Times New Roman" w:cs="Times New Roman"/>
          <w:sz w:val="24"/>
          <w:szCs w:val="24"/>
        </w:rPr>
        <w:t xml:space="preserve"> работна среда, комуникации, персонал, управление на производителността, обучение и компетенции.</w:t>
      </w:r>
    </w:p>
    <w:p w14:paraId="6FCC2107" w14:textId="3C0357F5" w:rsidR="00F262F6" w:rsidRPr="004A779E" w:rsidRDefault="00F262F6" w:rsidP="004A779E">
      <w:pPr>
        <w:spacing w:after="0" w:line="360" w:lineRule="auto"/>
        <w:ind w:firstLine="709"/>
        <w:jc w:val="both"/>
        <w:rPr>
          <w:rFonts w:ascii="Times New Roman" w:eastAsia="Times New Roman" w:hAnsi="Times New Roman" w:cs="Times New Roman"/>
          <w:sz w:val="24"/>
          <w:szCs w:val="24"/>
        </w:rPr>
      </w:pPr>
      <w:r w:rsidRPr="004A779E">
        <w:rPr>
          <w:rFonts w:ascii="Times New Roman" w:eastAsia="Times New Roman" w:hAnsi="Times New Roman" w:cs="Times New Roman"/>
          <w:b/>
          <w:bCs/>
          <w:sz w:val="24"/>
          <w:szCs w:val="24"/>
        </w:rPr>
        <w:t>Дефиниране</w:t>
      </w:r>
      <w:r w:rsidR="003F6917" w:rsidRPr="004A779E">
        <w:rPr>
          <w:rFonts w:ascii="Times New Roman" w:eastAsia="Times New Roman" w:hAnsi="Times New Roman" w:cs="Times New Roman"/>
          <w:sz w:val="24"/>
          <w:szCs w:val="24"/>
        </w:rPr>
        <w:t xml:space="preserve"> – кл</w:t>
      </w:r>
      <w:r w:rsidRPr="004A779E">
        <w:rPr>
          <w:rFonts w:ascii="Times New Roman" w:eastAsia="Times New Roman" w:hAnsi="Times New Roman" w:cs="Times New Roman"/>
          <w:sz w:val="24"/>
          <w:szCs w:val="24"/>
        </w:rPr>
        <w:t xml:space="preserve">ючовите области на процеса на ниво 3 са насочени към въпроси, свързани с идентифицирането на основните компетенции на организацията и привеждането в съответствие с нейните дейности по управление на хората. Те </w:t>
      </w:r>
      <w:r w:rsidR="003F6917" w:rsidRPr="004A779E">
        <w:rPr>
          <w:rFonts w:ascii="Times New Roman" w:eastAsia="Times New Roman" w:hAnsi="Times New Roman" w:cs="Times New Roman"/>
          <w:sz w:val="24"/>
          <w:szCs w:val="24"/>
        </w:rPr>
        <w:t>включват анализ на знания и умения, планиране на работната сила, развитие на компетенциите, кариерно развитие, култура на участието.</w:t>
      </w:r>
    </w:p>
    <w:p w14:paraId="31EECBED" w14:textId="21A8D368" w:rsidR="00F262F6" w:rsidRPr="004A779E" w:rsidRDefault="00F262F6" w:rsidP="004A779E">
      <w:pPr>
        <w:spacing w:after="0" w:line="360" w:lineRule="auto"/>
        <w:ind w:firstLine="709"/>
        <w:jc w:val="both"/>
        <w:rPr>
          <w:rFonts w:ascii="Times New Roman" w:eastAsia="Times New Roman" w:hAnsi="Times New Roman" w:cs="Times New Roman"/>
          <w:sz w:val="24"/>
          <w:szCs w:val="24"/>
        </w:rPr>
      </w:pPr>
      <w:r w:rsidRPr="004A779E">
        <w:rPr>
          <w:rFonts w:ascii="Times New Roman" w:eastAsia="Times New Roman" w:hAnsi="Times New Roman" w:cs="Times New Roman"/>
          <w:b/>
          <w:bCs/>
          <w:sz w:val="24"/>
          <w:szCs w:val="24"/>
        </w:rPr>
        <w:t>Управление</w:t>
      </w:r>
      <w:r w:rsidR="003F6917" w:rsidRPr="004A779E">
        <w:rPr>
          <w:rFonts w:ascii="Times New Roman" w:eastAsia="Times New Roman" w:hAnsi="Times New Roman" w:cs="Times New Roman"/>
          <w:sz w:val="24"/>
          <w:szCs w:val="24"/>
        </w:rPr>
        <w:t xml:space="preserve"> – кл</w:t>
      </w:r>
      <w:r w:rsidRPr="004A779E">
        <w:rPr>
          <w:rFonts w:ascii="Times New Roman" w:eastAsia="Times New Roman" w:hAnsi="Times New Roman" w:cs="Times New Roman"/>
          <w:sz w:val="24"/>
          <w:szCs w:val="24"/>
        </w:rPr>
        <w:t>ючовите области на процеса на ниво 4 се фокусират върху качественото управление на организационния растеж</w:t>
      </w:r>
      <w:r w:rsidR="003F6917" w:rsidRPr="004A779E">
        <w:rPr>
          <w:rFonts w:ascii="Times New Roman" w:eastAsia="Times New Roman" w:hAnsi="Times New Roman" w:cs="Times New Roman"/>
          <w:sz w:val="24"/>
          <w:szCs w:val="24"/>
        </w:rPr>
        <w:t>,</w:t>
      </w:r>
      <w:r w:rsidRPr="004A779E">
        <w:rPr>
          <w:rFonts w:ascii="Times New Roman" w:eastAsia="Times New Roman" w:hAnsi="Times New Roman" w:cs="Times New Roman"/>
          <w:sz w:val="24"/>
          <w:szCs w:val="24"/>
        </w:rPr>
        <w:t xml:space="preserve"> в способностите за управление на хората и в създаването на екипи, базирани на компетенции. Те </w:t>
      </w:r>
      <w:r w:rsidR="003F6917" w:rsidRPr="004A779E">
        <w:rPr>
          <w:rFonts w:ascii="Times New Roman" w:eastAsia="Times New Roman" w:hAnsi="Times New Roman" w:cs="Times New Roman"/>
          <w:sz w:val="24"/>
          <w:szCs w:val="24"/>
        </w:rPr>
        <w:t xml:space="preserve">включват наставничество, </w:t>
      </w:r>
      <w:r w:rsidR="003F6917" w:rsidRPr="004A779E">
        <w:rPr>
          <w:rFonts w:ascii="Times New Roman" w:eastAsia="Times New Roman" w:hAnsi="Times New Roman" w:cs="Times New Roman"/>
          <w:sz w:val="24"/>
          <w:szCs w:val="24"/>
        </w:rPr>
        <w:lastRenderedPageBreak/>
        <w:t>тийм-билдинг, екипно базирани практики, управление на организационните компетенции, подобряване на производителността.</w:t>
      </w:r>
    </w:p>
    <w:p w14:paraId="3B71517D" w14:textId="6936BBEF" w:rsidR="00F262F6" w:rsidRPr="004A779E" w:rsidRDefault="00F262F6" w:rsidP="004A779E">
      <w:pPr>
        <w:spacing w:after="0" w:line="360" w:lineRule="auto"/>
        <w:ind w:firstLine="709"/>
        <w:jc w:val="both"/>
        <w:rPr>
          <w:rFonts w:ascii="Times New Roman" w:eastAsia="Times New Roman" w:hAnsi="Times New Roman" w:cs="Times New Roman"/>
          <w:sz w:val="24"/>
          <w:szCs w:val="24"/>
        </w:rPr>
      </w:pPr>
      <w:r w:rsidRPr="004A779E">
        <w:rPr>
          <w:rFonts w:ascii="Times New Roman" w:eastAsia="Times New Roman" w:hAnsi="Times New Roman" w:cs="Times New Roman"/>
          <w:b/>
          <w:bCs/>
          <w:sz w:val="24"/>
          <w:szCs w:val="24"/>
        </w:rPr>
        <w:t>Оптимизиране</w:t>
      </w:r>
      <w:r w:rsidR="003F6917" w:rsidRPr="004A779E">
        <w:rPr>
          <w:rFonts w:ascii="Times New Roman" w:eastAsia="Times New Roman" w:hAnsi="Times New Roman" w:cs="Times New Roman"/>
          <w:sz w:val="24"/>
          <w:szCs w:val="24"/>
        </w:rPr>
        <w:t xml:space="preserve"> – к</w:t>
      </w:r>
      <w:r w:rsidRPr="004A779E">
        <w:rPr>
          <w:rFonts w:ascii="Times New Roman" w:eastAsia="Times New Roman" w:hAnsi="Times New Roman" w:cs="Times New Roman"/>
          <w:sz w:val="24"/>
          <w:szCs w:val="24"/>
        </w:rPr>
        <w:t xml:space="preserve">лючовите области на процеса на ниво 5 обхващат въпросите, които се отнасят до непрекъснатото подобряване на методите за развитие на компетентност, както на организационно, така и на индивидуално ниво. Те </w:t>
      </w:r>
      <w:r w:rsidR="00437A46" w:rsidRPr="004A779E">
        <w:rPr>
          <w:rFonts w:ascii="Times New Roman" w:eastAsia="Times New Roman" w:hAnsi="Times New Roman" w:cs="Times New Roman"/>
          <w:sz w:val="24"/>
          <w:szCs w:val="24"/>
        </w:rPr>
        <w:t>включват развитие на лични компетентности, иновации на работната сила и менторство</w:t>
      </w:r>
      <w:r w:rsidR="006A29AB">
        <w:rPr>
          <w:rFonts w:ascii="Times New Roman" w:eastAsia="Times New Roman" w:hAnsi="Times New Roman" w:cs="Times New Roman"/>
          <w:sz w:val="24"/>
          <w:szCs w:val="24"/>
          <w:lang w:val="en-US"/>
        </w:rPr>
        <w:t xml:space="preserve"> (</w:t>
      </w:r>
      <w:r w:rsidR="006A29AB" w:rsidRPr="006A29AB">
        <w:rPr>
          <w:rFonts w:ascii="Times New Roman" w:eastAsia="Times New Roman" w:hAnsi="Times New Roman" w:cs="Times New Roman"/>
          <w:color w:val="000000"/>
          <w:sz w:val="24"/>
          <w:szCs w:val="24"/>
        </w:rPr>
        <w:t>Tarnowski</w:t>
      </w:r>
      <w:r w:rsidR="006A29AB">
        <w:rPr>
          <w:rFonts w:ascii="Times New Roman" w:eastAsia="Times New Roman" w:hAnsi="Times New Roman" w:cs="Times New Roman"/>
          <w:color w:val="000000"/>
          <w:sz w:val="24"/>
          <w:szCs w:val="24"/>
          <w:lang w:val="en-US"/>
        </w:rPr>
        <w:t>, 2014</w:t>
      </w:r>
      <w:r w:rsidR="006A29AB">
        <w:rPr>
          <w:rFonts w:ascii="Times New Roman" w:eastAsia="Times New Roman" w:hAnsi="Times New Roman" w:cs="Times New Roman"/>
          <w:sz w:val="24"/>
          <w:szCs w:val="24"/>
          <w:lang w:val="en-US"/>
        </w:rPr>
        <w:t>)</w:t>
      </w:r>
      <w:r w:rsidR="00437A46" w:rsidRPr="004A779E">
        <w:rPr>
          <w:rFonts w:ascii="Times New Roman" w:eastAsia="Times New Roman" w:hAnsi="Times New Roman" w:cs="Times New Roman"/>
          <w:sz w:val="24"/>
          <w:szCs w:val="24"/>
        </w:rPr>
        <w:t>.</w:t>
      </w:r>
    </w:p>
    <w:p w14:paraId="127FAD28" w14:textId="77777777" w:rsidR="00B90433" w:rsidRDefault="008F7BCB" w:rsidP="00B90433">
      <w:pPr>
        <w:spacing w:after="0" w:line="360" w:lineRule="auto"/>
        <w:ind w:firstLine="709"/>
        <w:jc w:val="both"/>
        <w:rPr>
          <w:rFonts w:ascii="Times New Roman" w:eastAsia="Times New Roman" w:hAnsi="Times New Roman" w:cs="Times New Roman"/>
          <w:sz w:val="24"/>
          <w:szCs w:val="24"/>
        </w:rPr>
      </w:pPr>
      <w:r w:rsidRPr="008F7BCB">
        <w:rPr>
          <w:rFonts w:ascii="Times New Roman" w:eastAsia="Times New Roman" w:hAnsi="Times New Roman" w:cs="Times New Roman"/>
          <w:sz w:val="24"/>
          <w:szCs w:val="24"/>
        </w:rPr>
        <w:t>Интегрирането на модел</w:t>
      </w:r>
      <w:r w:rsidR="005F1407">
        <w:rPr>
          <w:rFonts w:ascii="Times New Roman" w:eastAsia="Times New Roman" w:hAnsi="Times New Roman" w:cs="Times New Roman"/>
          <w:sz w:val="24"/>
          <w:szCs w:val="24"/>
        </w:rPr>
        <w:t>ите</w:t>
      </w:r>
      <w:r w:rsidRPr="008F7BCB">
        <w:rPr>
          <w:rFonts w:ascii="Times New Roman" w:eastAsia="Times New Roman" w:hAnsi="Times New Roman" w:cs="Times New Roman"/>
          <w:sz w:val="24"/>
          <w:szCs w:val="24"/>
        </w:rPr>
        <w:t xml:space="preserve"> за зрялост на способностите е набор от практики, които се прилагат в компаниите с цел подобряване на процесите</w:t>
      </w:r>
      <w:r w:rsidR="005F1407">
        <w:rPr>
          <w:rFonts w:ascii="Times New Roman" w:eastAsia="Times New Roman" w:hAnsi="Times New Roman" w:cs="Times New Roman"/>
          <w:sz w:val="24"/>
          <w:szCs w:val="24"/>
        </w:rPr>
        <w:t xml:space="preserve"> и повишаване на тяхната ефективност</w:t>
      </w:r>
      <w:r w:rsidR="00781665">
        <w:rPr>
          <w:rFonts w:ascii="Times New Roman" w:eastAsia="Times New Roman" w:hAnsi="Times New Roman" w:cs="Times New Roman"/>
          <w:sz w:val="24"/>
          <w:szCs w:val="24"/>
        </w:rPr>
        <w:t xml:space="preserve"> </w:t>
      </w:r>
      <w:r w:rsidR="00403310">
        <w:rPr>
          <w:rFonts w:ascii="Times New Roman" w:eastAsia="Times New Roman" w:hAnsi="Times New Roman" w:cs="Times New Roman"/>
          <w:sz w:val="24"/>
          <w:szCs w:val="24"/>
          <w:lang w:val="en-US"/>
        </w:rPr>
        <w:t>(Dos Santos</w:t>
      </w:r>
      <w:r w:rsidR="002D0D9C">
        <w:rPr>
          <w:rFonts w:ascii="Times New Roman" w:eastAsia="Times New Roman" w:hAnsi="Times New Roman" w:cs="Times New Roman"/>
          <w:sz w:val="24"/>
          <w:szCs w:val="24"/>
          <w:lang w:val="en-US"/>
        </w:rPr>
        <w:t>, 2009</w:t>
      </w:r>
      <w:r w:rsidR="00403310">
        <w:rPr>
          <w:rFonts w:ascii="Times New Roman" w:eastAsia="Times New Roman" w:hAnsi="Times New Roman" w:cs="Times New Roman"/>
          <w:sz w:val="24"/>
          <w:szCs w:val="24"/>
          <w:lang w:val="en-US"/>
        </w:rPr>
        <w:t>)</w:t>
      </w:r>
      <w:r w:rsidR="00781665">
        <w:rPr>
          <w:rFonts w:ascii="Times New Roman" w:eastAsia="Times New Roman" w:hAnsi="Times New Roman" w:cs="Times New Roman"/>
          <w:sz w:val="24"/>
          <w:szCs w:val="24"/>
        </w:rPr>
        <w:t>.</w:t>
      </w:r>
      <w:r w:rsidR="005F1407" w:rsidRPr="005F1407">
        <w:rPr>
          <w:rFonts w:ascii="Times New Roman" w:eastAsia="Times New Roman" w:hAnsi="Times New Roman" w:cs="Times New Roman"/>
          <w:sz w:val="24"/>
          <w:szCs w:val="24"/>
        </w:rPr>
        <w:t xml:space="preserve"> </w:t>
      </w:r>
      <w:r w:rsidR="005F1407" w:rsidRPr="004A779E">
        <w:rPr>
          <w:rFonts w:ascii="Times New Roman" w:eastAsia="Times New Roman" w:hAnsi="Times New Roman" w:cs="Times New Roman"/>
          <w:sz w:val="24"/>
          <w:szCs w:val="24"/>
        </w:rPr>
        <w:t xml:space="preserve">Разгледаните </w:t>
      </w:r>
      <w:r w:rsidR="005F1407">
        <w:rPr>
          <w:rFonts w:ascii="Times New Roman" w:eastAsia="Times New Roman" w:hAnsi="Times New Roman" w:cs="Times New Roman"/>
          <w:sz w:val="24"/>
          <w:szCs w:val="24"/>
        </w:rPr>
        <w:t>подходи</w:t>
      </w:r>
      <w:r w:rsidR="005F1407" w:rsidRPr="004A779E">
        <w:rPr>
          <w:rFonts w:ascii="Times New Roman" w:eastAsia="Times New Roman" w:hAnsi="Times New Roman" w:cs="Times New Roman"/>
          <w:sz w:val="24"/>
          <w:szCs w:val="24"/>
        </w:rPr>
        <w:t xml:space="preserve"> за управление на човешките ресурси показват първостепенната значимост на човешкия фактор в </w:t>
      </w:r>
      <w:r w:rsidR="005F1407">
        <w:rPr>
          <w:rFonts w:ascii="Times New Roman" w:eastAsia="Times New Roman" w:hAnsi="Times New Roman" w:cs="Times New Roman"/>
          <w:sz w:val="24"/>
          <w:szCs w:val="24"/>
        </w:rPr>
        <w:t>софтуерните фирми</w:t>
      </w:r>
      <w:r w:rsidR="005F1407" w:rsidRPr="004A779E">
        <w:rPr>
          <w:rFonts w:ascii="Times New Roman" w:eastAsia="Times New Roman" w:hAnsi="Times New Roman" w:cs="Times New Roman"/>
          <w:sz w:val="24"/>
          <w:szCs w:val="24"/>
        </w:rPr>
        <w:t xml:space="preserve"> и необходимостта от неговото постоянно развитие и усъвършенстване. Ползите от прилагането на подходящи </w:t>
      </w:r>
      <w:r w:rsidR="005F1407">
        <w:rPr>
          <w:rFonts w:ascii="Times New Roman" w:eastAsia="Times New Roman" w:hAnsi="Times New Roman" w:cs="Times New Roman"/>
          <w:sz w:val="24"/>
          <w:szCs w:val="24"/>
        </w:rPr>
        <w:t>системи</w:t>
      </w:r>
      <w:r w:rsidR="005F1407">
        <w:rPr>
          <w:rFonts w:ascii="Times New Roman" w:eastAsia="Times New Roman" w:hAnsi="Times New Roman" w:cs="Times New Roman"/>
          <w:sz w:val="24"/>
          <w:szCs w:val="24"/>
          <w:lang w:val="en-US"/>
        </w:rPr>
        <w:t xml:space="preserve"> </w:t>
      </w:r>
      <w:r w:rsidR="005F1407">
        <w:rPr>
          <w:rFonts w:ascii="Times New Roman" w:eastAsia="Times New Roman" w:hAnsi="Times New Roman" w:cs="Times New Roman"/>
          <w:sz w:val="24"/>
          <w:szCs w:val="24"/>
        </w:rPr>
        <w:t xml:space="preserve">за управление на персонала, изградени на основата на </w:t>
      </w:r>
      <w:r w:rsidR="005F1407">
        <w:rPr>
          <w:rFonts w:ascii="Times New Roman" w:eastAsia="Times New Roman" w:hAnsi="Times New Roman" w:cs="Times New Roman"/>
          <w:sz w:val="24"/>
          <w:szCs w:val="24"/>
          <w:lang w:val="en-US"/>
        </w:rPr>
        <w:t>CMM</w:t>
      </w:r>
      <w:r w:rsidR="005F1407" w:rsidRPr="004A779E">
        <w:rPr>
          <w:rFonts w:ascii="Times New Roman" w:eastAsia="Times New Roman" w:hAnsi="Times New Roman" w:cs="Times New Roman"/>
          <w:sz w:val="24"/>
          <w:szCs w:val="24"/>
        </w:rPr>
        <w:t xml:space="preserve"> </w:t>
      </w:r>
      <w:r w:rsidR="005F1407">
        <w:rPr>
          <w:rFonts w:ascii="Times New Roman" w:eastAsia="Times New Roman" w:hAnsi="Times New Roman" w:cs="Times New Roman"/>
          <w:sz w:val="24"/>
          <w:szCs w:val="24"/>
        </w:rPr>
        <w:t xml:space="preserve">моделите </w:t>
      </w:r>
      <w:r w:rsidR="005F1407" w:rsidRPr="004A779E">
        <w:rPr>
          <w:rFonts w:ascii="Times New Roman" w:eastAsia="Times New Roman" w:hAnsi="Times New Roman" w:cs="Times New Roman"/>
          <w:sz w:val="24"/>
          <w:szCs w:val="24"/>
        </w:rPr>
        <w:t>са много, но сред тях се откроява</w:t>
      </w:r>
      <w:r w:rsidR="00B90433">
        <w:rPr>
          <w:rFonts w:ascii="Times New Roman" w:eastAsia="Times New Roman" w:hAnsi="Times New Roman" w:cs="Times New Roman"/>
          <w:sz w:val="24"/>
          <w:szCs w:val="24"/>
        </w:rPr>
        <w:t>т:</w:t>
      </w:r>
    </w:p>
    <w:p w14:paraId="1F26CE5F" w14:textId="7029B092" w:rsidR="00B90433" w:rsidRPr="00B90433" w:rsidRDefault="00B90433" w:rsidP="008E5539">
      <w:pPr>
        <w:pStyle w:val="ListParagraph"/>
        <w:numPr>
          <w:ilvl w:val="0"/>
          <w:numId w:val="9"/>
        </w:numPr>
        <w:spacing w:line="360" w:lineRule="auto"/>
        <w:ind w:left="714"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и</w:t>
      </w:r>
      <w:r w:rsidR="00111BE5" w:rsidRPr="00B90433">
        <w:rPr>
          <w:rFonts w:ascii="Times New Roman" w:eastAsia="Times New Roman" w:hAnsi="Times New Roman" w:cs="Times New Roman"/>
          <w:sz w:val="24"/>
          <w:szCs w:val="24"/>
        </w:rPr>
        <w:t>зграждане на практики за подобряване на процесите на подбор на персонал</w:t>
      </w:r>
      <w:r w:rsidR="004477E7">
        <w:rPr>
          <w:rFonts w:ascii="Times New Roman" w:eastAsia="Times New Roman" w:hAnsi="Times New Roman" w:cs="Times New Roman"/>
          <w:sz w:val="24"/>
          <w:szCs w:val="24"/>
        </w:rPr>
        <w:t xml:space="preserve"> в софтуерните компании</w:t>
      </w:r>
      <w:r w:rsidR="00111BE5" w:rsidRPr="00B90433">
        <w:rPr>
          <w:rFonts w:ascii="Times New Roman" w:eastAsia="Times New Roman" w:hAnsi="Times New Roman" w:cs="Times New Roman"/>
          <w:sz w:val="24"/>
          <w:szCs w:val="24"/>
        </w:rPr>
        <w:t xml:space="preserve"> и неговото професио</w:t>
      </w:r>
      <w:r w:rsidR="00A82841">
        <w:rPr>
          <w:rFonts w:ascii="Times New Roman" w:eastAsia="Times New Roman" w:hAnsi="Times New Roman" w:cs="Times New Roman"/>
          <w:sz w:val="24"/>
          <w:szCs w:val="24"/>
        </w:rPr>
        <w:t>н</w:t>
      </w:r>
      <w:r w:rsidR="00111BE5" w:rsidRPr="00B90433">
        <w:rPr>
          <w:rFonts w:ascii="Times New Roman" w:eastAsia="Times New Roman" w:hAnsi="Times New Roman" w:cs="Times New Roman"/>
          <w:sz w:val="24"/>
          <w:szCs w:val="24"/>
        </w:rPr>
        <w:t>ално развитие</w:t>
      </w:r>
      <w:r>
        <w:rPr>
          <w:rFonts w:ascii="Times New Roman" w:eastAsia="Times New Roman" w:hAnsi="Times New Roman" w:cs="Times New Roman"/>
          <w:sz w:val="24"/>
          <w:szCs w:val="24"/>
        </w:rPr>
        <w:t>;</w:t>
      </w:r>
    </w:p>
    <w:p w14:paraId="079E30E1" w14:textId="0A67B72C" w:rsidR="00F71C3E" w:rsidRDefault="00B90433" w:rsidP="00B90433">
      <w:pPr>
        <w:pStyle w:val="ListParagraph"/>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w:t>
      </w:r>
      <w:r w:rsidRPr="00B90433">
        <w:rPr>
          <w:rFonts w:ascii="Times New Roman" w:eastAsia="Times New Roman" w:hAnsi="Times New Roman" w:cs="Times New Roman"/>
          <w:sz w:val="24"/>
          <w:szCs w:val="24"/>
        </w:rPr>
        <w:t xml:space="preserve">ридобиване на високо конкурентно предимство, чрез повишаване </w:t>
      </w:r>
      <w:r w:rsidR="004477E7">
        <w:rPr>
          <w:rFonts w:ascii="Times New Roman" w:eastAsia="Times New Roman" w:hAnsi="Times New Roman" w:cs="Times New Roman"/>
          <w:sz w:val="24"/>
          <w:szCs w:val="24"/>
        </w:rPr>
        <w:t>на квалификацията</w:t>
      </w:r>
      <w:r w:rsidRPr="00B90433">
        <w:rPr>
          <w:rFonts w:ascii="Times New Roman" w:eastAsia="Times New Roman" w:hAnsi="Times New Roman" w:cs="Times New Roman"/>
          <w:sz w:val="24"/>
          <w:szCs w:val="24"/>
        </w:rPr>
        <w:t xml:space="preserve"> на заетите в организацията лица</w:t>
      </w:r>
      <w:r w:rsidR="00F71C3E">
        <w:rPr>
          <w:rFonts w:ascii="Times New Roman" w:eastAsia="Times New Roman" w:hAnsi="Times New Roman" w:cs="Times New Roman"/>
          <w:sz w:val="24"/>
          <w:szCs w:val="24"/>
        </w:rPr>
        <w:t>;</w:t>
      </w:r>
    </w:p>
    <w:p w14:paraId="4531EE57" w14:textId="4F2B34E8" w:rsidR="00B90433" w:rsidRDefault="00F71C3E" w:rsidP="00B90433">
      <w:pPr>
        <w:pStyle w:val="ListParagraph"/>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повишаване</w:t>
      </w:r>
      <w:r w:rsidR="00B90433" w:rsidRPr="00B90433">
        <w:rPr>
          <w:rFonts w:ascii="Times New Roman" w:eastAsia="Times New Roman" w:hAnsi="Times New Roman" w:cs="Times New Roman"/>
          <w:sz w:val="24"/>
          <w:szCs w:val="24"/>
        </w:rPr>
        <w:t xml:space="preserve"> качеството на предлаганите </w:t>
      </w:r>
      <w:r w:rsidR="004477E7">
        <w:rPr>
          <w:rFonts w:ascii="Times New Roman" w:eastAsia="Times New Roman" w:hAnsi="Times New Roman" w:cs="Times New Roman"/>
          <w:sz w:val="24"/>
          <w:szCs w:val="24"/>
        </w:rPr>
        <w:t xml:space="preserve">софтуерни </w:t>
      </w:r>
      <w:r w:rsidR="00B90433" w:rsidRPr="00B90433">
        <w:rPr>
          <w:rFonts w:ascii="Times New Roman" w:eastAsia="Times New Roman" w:hAnsi="Times New Roman" w:cs="Times New Roman"/>
          <w:sz w:val="24"/>
          <w:szCs w:val="24"/>
        </w:rPr>
        <w:t>услуги.</w:t>
      </w:r>
    </w:p>
    <w:p w14:paraId="0C976DCF" w14:textId="77777777" w:rsidR="00B90433" w:rsidRPr="00B90433" w:rsidRDefault="00B90433" w:rsidP="00B90433">
      <w:pPr>
        <w:pStyle w:val="ListParagraph"/>
        <w:spacing w:after="0" w:line="360" w:lineRule="auto"/>
        <w:jc w:val="both"/>
        <w:rPr>
          <w:rFonts w:ascii="Times New Roman" w:eastAsia="Times New Roman" w:hAnsi="Times New Roman" w:cs="Times New Roman"/>
          <w:sz w:val="24"/>
          <w:szCs w:val="24"/>
        </w:rPr>
      </w:pPr>
    </w:p>
    <w:p w14:paraId="6BF29888" w14:textId="77777777" w:rsidR="005201BB" w:rsidRPr="003F6917" w:rsidRDefault="00C834B5" w:rsidP="008A5239">
      <w:pPr>
        <w:pStyle w:val="Article-section-title-withoutNo"/>
        <w:rPr>
          <w:rFonts w:eastAsia="Times New Roman"/>
          <w:b w:val="0"/>
          <w:bCs w:val="0"/>
          <w:color w:val="000000"/>
        </w:rPr>
      </w:pPr>
      <w:r w:rsidRPr="008A5239">
        <w:rPr>
          <w:rFonts w:eastAsiaTheme="minorHAnsi"/>
        </w:rPr>
        <w:t>Заключение</w:t>
      </w:r>
      <w:r w:rsidRPr="003F6917">
        <w:rPr>
          <w:rFonts w:eastAsia="Times New Roman"/>
          <w:color w:val="000000"/>
        </w:rPr>
        <w:t xml:space="preserve"> </w:t>
      </w:r>
    </w:p>
    <w:p w14:paraId="54D27771" w14:textId="02BE9F29" w:rsidR="005201BB" w:rsidRDefault="00C834B5">
      <w:pPr>
        <w:spacing w:after="0" w:line="360" w:lineRule="auto"/>
        <w:ind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Отделът по управление на човешки ресурси е важна организационна единица</w:t>
      </w:r>
      <w:r w:rsidR="005F1407">
        <w:rPr>
          <w:rFonts w:ascii="Times New Roman" w:eastAsia="Times New Roman" w:hAnsi="Times New Roman" w:cs="Times New Roman"/>
          <w:sz w:val="24"/>
          <w:szCs w:val="24"/>
        </w:rPr>
        <w:t xml:space="preserve"> в софтуерния бизнес</w:t>
      </w:r>
      <w:r>
        <w:rPr>
          <w:rFonts w:ascii="Times New Roman" w:eastAsia="Times New Roman" w:hAnsi="Times New Roman" w:cs="Times New Roman"/>
          <w:sz w:val="24"/>
          <w:szCs w:val="24"/>
        </w:rPr>
        <w:t xml:space="preserve"> и неговият успех или провал засяга цялата организация, което прави инвестициите в човешки капитал и политиките за управление на труд основен фирмен приоритет. В непрестанно променящата се бизнес среда е необходимо добро управление, анализ на тенденциите и осигуряване на устойчиво развитие на човешкия капитал. Поради взаимната обвързаност на отделните функции за управление </w:t>
      </w:r>
      <w:r w:rsidR="005F1407">
        <w:rPr>
          <w:rFonts w:ascii="Times New Roman" w:eastAsia="Times New Roman" w:hAnsi="Times New Roman" w:cs="Times New Roman"/>
          <w:sz w:val="24"/>
          <w:szCs w:val="24"/>
        </w:rPr>
        <w:t>п</w:t>
      </w:r>
      <w:r>
        <w:rPr>
          <w:rFonts w:ascii="Times New Roman" w:eastAsia="Times New Roman" w:hAnsi="Times New Roman" w:cs="Times New Roman"/>
          <w:sz w:val="24"/>
          <w:szCs w:val="24"/>
        </w:rPr>
        <w:t xml:space="preserve">ри съвременната управленска наука е необходимо организациите да внедряват и да поддържат система за устойчиво управление на човешки ресурси, която да гарантира постоянен мониторинг на дейностите, координация и целенасоченост на процесите </w:t>
      </w:r>
      <w:r w:rsidR="003E64E1">
        <w:rPr>
          <w:rFonts w:ascii="Times New Roman" w:eastAsia="Times New Roman" w:hAnsi="Times New Roman" w:cs="Times New Roman"/>
          <w:sz w:val="24"/>
          <w:szCs w:val="24"/>
          <w:lang w:val="en-US"/>
        </w:rPr>
        <w:t>(Antonova</w:t>
      </w:r>
      <w:r w:rsidR="00D87A20">
        <w:rPr>
          <w:rFonts w:ascii="Times New Roman" w:eastAsia="Times New Roman" w:hAnsi="Times New Roman" w:cs="Times New Roman"/>
          <w:sz w:val="24"/>
          <w:szCs w:val="24"/>
          <w:lang w:val="en-US"/>
        </w:rPr>
        <w:t>, 2017</w:t>
      </w:r>
      <w:r>
        <w:rPr>
          <w:rFonts w:ascii="Times New Roman" w:eastAsia="Times New Roman" w:hAnsi="Times New Roman" w:cs="Times New Roman"/>
          <w:sz w:val="24"/>
          <w:szCs w:val="24"/>
        </w:rPr>
        <w:t xml:space="preserve">). Автоматизирането на процесите по развитие, оценка и подбор на персонал е ключов елемент при реализирането на моделите на устойчиво развитие на персонала и води до повишаване на производителността и конкурентоспособността на </w:t>
      </w:r>
      <w:r w:rsidR="005F1407">
        <w:rPr>
          <w:rFonts w:ascii="Times New Roman" w:eastAsia="Times New Roman" w:hAnsi="Times New Roman" w:cs="Times New Roman"/>
          <w:sz w:val="24"/>
          <w:szCs w:val="24"/>
        </w:rPr>
        <w:t xml:space="preserve">софтуерните </w:t>
      </w:r>
      <w:r>
        <w:rPr>
          <w:rFonts w:ascii="Times New Roman" w:eastAsia="Times New Roman" w:hAnsi="Times New Roman" w:cs="Times New Roman"/>
          <w:sz w:val="24"/>
          <w:szCs w:val="24"/>
        </w:rPr>
        <w:t>компании.</w:t>
      </w:r>
    </w:p>
    <w:p w14:paraId="24919617" w14:textId="77777777" w:rsidR="005201BB" w:rsidRPr="00403310" w:rsidRDefault="00C834B5" w:rsidP="00403310">
      <w:pPr>
        <w:pStyle w:val="Article-section-title-withoutNo"/>
        <w:rPr>
          <w:rFonts w:eastAsiaTheme="minorHAnsi"/>
        </w:rPr>
      </w:pPr>
      <w:r w:rsidRPr="00403310">
        <w:rPr>
          <w:rFonts w:eastAsiaTheme="minorHAnsi"/>
        </w:rPr>
        <w:lastRenderedPageBreak/>
        <w:t>Използвана литература</w:t>
      </w:r>
    </w:p>
    <w:p w14:paraId="486A1728" w14:textId="581C06A1" w:rsidR="00724AEC" w:rsidRDefault="00724AEC">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lang w:val="en-US"/>
        </w:rPr>
        <w:t>Aleksandrova</w:t>
      </w:r>
      <w:proofErr w:type="spellEnd"/>
      <w:r w:rsidRPr="00724AE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B</w:t>
      </w:r>
      <w:r w:rsidRPr="00724AEC">
        <w:rPr>
          <w:rFonts w:ascii="Times New Roman" w:eastAsia="Times New Roman" w:hAnsi="Times New Roman" w:cs="Times New Roman"/>
          <w:color w:val="000000"/>
          <w:sz w:val="24"/>
          <w:szCs w:val="24"/>
        </w:rPr>
        <w:t>., (2017)</w:t>
      </w:r>
      <w:r>
        <w:rPr>
          <w:lang w:val="en-US"/>
        </w:rPr>
        <w:t xml:space="preserve">. </w:t>
      </w:r>
      <w:proofErr w:type="spellStart"/>
      <w:r>
        <w:rPr>
          <w:rFonts w:ascii="Times New Roman" w:eastAsia="Times New Roman" w:hAnsi="Times New Roman" w:cs="Times New Roman"/>
          <w:color w:val="000000"/>
          <w:sz w:val="24"/>
          <w:szCs w:val="24"/>
          <w:lang w:val="en-US"/>
        </w:rPr>
        <w:t>Podhodi</w:t>
      </w:r>
      <w:proofErr w:type="spellEnd"/>
      <w:r>
        <w:rPr>
          <w:rFonts w:ascii="Times New Roman" w:eastAsia="Times New Roman" w:hAnsi="Times New Roman" w:cs="Times New Roman"/>
          <w:color w:val="000000"/>
          <w:sz w:val="24"/>
          <w:szCs w:val="24"/>
          <w:lang w:val="en-US"/>
        </w:rPr>
        <w:t xml:space="preserve"> v </w:t>
      </w:r>
      <w:proofErr w:type="spellStart"/>
      <w:r>
        <w:rPr>
          <w:rFonts w:ascii="Times New Roman" w:eastAsia="Times New Roman" w:hAnsi="Times New Roman" w:cs="Times New Roman"/>
          <w:color w:val="000000"/>
          <w:sz w:val="24"/>
          <w:szCs w:val="24"/>
          <w:lang w:val="en-US"/>
        </w:rPr>
        <w:t>upravlenieto</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choveshkite</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resursi</w:t>
      </w:r>
      <w:proofErr w:type="spellEnd"/>
      <w:r>
        <w:rPr>
          <w:rFonts w:ascii="Times New Roman" w:eastAsia="Times New Roman" w:hAnsi="Times New Roman" w:cs="Times New Roman"/>
          <w:color w:val="000000"/>
          <w:sz w:val="24"/>
          <w:szCs w:val="24"/>
          <w:lang w:val="en-US"/>
        </w:rPr>
        <w:t xml:space="preserve"> za </w:t>
      </w:r>
      <w:proofErr w:type="spellStart"/>
      <w:r>
        <w:rPr>
          <w:rFonts w:ascii="Times New Roman" w:eastAsia="Times New Roman" w:hAnsi="Times New Roman" w:cs="Times New Roman"/>
          <w:color w:val="000000"/>
          <w:sz w:val="24"/>
          <w:szCs w:val="24"/>
          <w:lang w:val="en-US"/>
        </w:rPr>
        <w:t>formirane</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na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organiza</w:t>
      </w:r>
      <w:r w:rsidR="001A049B">
        <w:rPr>
          <w:rFonts w:ascii="Times New Roman" w:eastAsia="Times New Roman" w:hAnsi="Times New Roman" w:cs="Times New Roman"/>
          <w:color w:val="000000"/>
          <w:sz w:val="24"/>
          <w:szCs w:val="24"/>
          <w:lang w:val="en-US"/>
        </w:rPr>
        <w:t>ts</w:t>
      </w:r>
      <w:r>
        <w:rPr>
          <w:rFonts w:ascii="Times New Roman" w:eastAsia="Times New Roman" w:hAnsi="Times New Roman" w:cs="Times New Roman"/>
          <w:color w:val="000000"/>
          <w:sz w:val="24"/>
          <w:szCs w:val="24"/>
          <w:lang w:val="en-US"/>
        </w:rPr>
        <w:t>ionno</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gra</w:t>
      </w:r>
      <w:r w:rsidR="001A049B">
        <w:rPr>
          <w:rFonts w:ascii="Times New Roman" w:eastAsia="Times New Roman" w:hAnsi="Times New Roman" w:cs="Times New Roman"/>
          <w:color w:val="000000"/>
          <w:sz w:val="24"/>
          <w:szCs w:val="24"/>
          <w:lang w:val="en-US"/>
        </w:rPr>
        <w:t>zh</w:t>
      </w:r>
      <w:r>
        <w:rPr>
          <w:rFonts w:ascii="Times New Roman" w:eastAsia="Times New Roman" w:hAnsi="Times New Roman" w:cs="Times New Roman"/>
          <w:color w:val="000000"/>
          <w:sz w:val="24"/>
          <w:szCs w:val="24"/>
          <w:lang w:val="en-US"/>
        </w:rPr>
        <w:t>dansko</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povedenie</w:t>
      </w:r>
      <w:proofErr w:type="spellEnd"/>
      <w:r w:rsidRPr="00724AEC">
        <w:rPr>
          <w:rFonts w:ascii="Times New Roman" w:eastAsia="Times New Roman" w:hAnsi="Times New Roman" w:cs="Times New Roman"/>
          <w:color w:val="000000"/>
          <w:sz w:val="24"/>
          <w:szCs w:val="24"/>
        </w:rPr>
        <w:t>. [online]. [2021-07-20]. Достъпен: http://digilib.nalis.bg/xmlui/handle/nls/28794</w:t>
      </w:r>
      <w:r>
        <w:rPr>
          <w:rFonts w:ascii="Times New Roman" w:eastAsia="Times New Roman" w:hAnsi="Times New Roman" w:cs="Times New Roman"/>
          <w:color w:val="000000"/>
          <w:sz w:val="24"/>
          <w:szCs w:val="24"/>
          <w:lang w:val="en-US"/>
        </w:rPr>
        <w:t>.</w:t>
      </w:r>
      <w:r w:rsidRPr="00724AEC">
        <w:rPr>
          <w:rFonts w:ascii="Times New Roman" w:eastAsiaTheme="minorHAnsi" w:hAnsi="Times New Roman" w:cs="Times New Roman"/>
          <w:sz w:val="24"/>
          <w:szCs w:val="24"/>
          <w:lang w:val="en-US"/>
        </w:rPr>
        <w:t xml:space="preserve"> </w:t>
      </w:r>
      <w:r w:rsidRPr="00AB093D">
        <w:rPr>
          <w:rFonts w:ascii="Times New Roman" w:eastAsiaTheme="minorHAnsi" w:hAnsi="Times New Roman" w:cs="Times New Roman"/>
          <w:sz w:val="24"/>
          <w:szCs w:val="24"/>
          <w:lang w:val="en-US"/>
        </w:rPr>
        <w:t>(</w:t>
      </w:r>
      <w:proofErr w:type="gramStart"/>
      <w:r w:rsidRPr="00AB093D">
        <w:rPr>
          <w:rFonts w:ascii="Times New Roman" w:eastAsiaTheme="minorHAnsi" w:hAnsi="Times New Roman" w:cs="Times New Roman"/>
          <w:sz w:val="24"/>
          <w:szCs w:val="24"/>
          <w:lang w:val="en-US"/>
        </w:rPr>
        <w:t>in</w:t>
      </w:r>
      <w:proofErr w:type="gramEnd"/>
      <w:r w:rsidRPr="00AB093D">
        <w:rPr>
          <w:rFonts w:ascii="Times New Roman" w:eastAsiaTheme="minorHAnsi" w:hAnsi="Times New Roman" w:cs="Times New Roman"/>
          <w:sz w:val="24"/>
          <w:szCs w:val="24"/>
          <w:lang w:val="en-US"/>
        </w:rPr>
        <w:t xml:space="preserve"> Bulgarian)</w:t>
      </w:r>
    </w:p>
    <w:p w14:paraId="57910BF0" w14:textId="37DA2FD7" w:rsidR="008D727C" w:rsidRDefault="008D727C">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4347AA">
        <w:rPr>
          <w:rFonts w:ascii="Times New Roman" w:eastAsia="Times New Roman" w:hAnsi="Times New Roman" w:cs="Times New Roman"/>
          <w:color w:val="000000"/>
          <w:sz w:val="24"/>
          <w:szCs w:val="24"/>
        </w:rPr>
        <w:t xml:space="preserve">Alyahya, M.A., Ahmad, R. &amp; Lee, S.P. </w:t>
      </w:r>
      <w:r>
        <w:rPr>
          <w:rFonts w:ascii="Times New Roman" w:eastAsia="Times New Roman" w:hAnsi="Times New Roman" w:cs="Times New Roman"/>
          <w:color w:val="000000"/>
          <w:sz w:val="24"/>
          <w:szCs w:val="24"/>
        </w:rPr>
        <w:t>(</w:t>
      </w:r>
      <w:r w:rsidRPr="004347AA">
        <w:rPr>
          <w:rFonts w:ascii="Times New Roman" w:eastAsia="Times New Roman" w:hAnsi="Times New Roman" w:cs="Times New Roman"/>
          <w:color w:val="000000"/>
          <w:sz w:val="24"/>
          <w:szCs w:val="24"/>
        </w:rPr>
        <w:t>2009</w:t>
      </w:r>
      <w:r>
        <w:rPr>
          <w:rFonts w:ascii="Times New Roman" w:eastAsia="Times New Roman" w:hAnsi="Times New Roman" w:cs="Times New Roman"/>
          <w:color w:val="000000"/>
          <w:sz w:val="24"/>
          <w:szCs w:val="24"/>
        </w:rPr>
        <w:t>)</w:t>
      </w:r>
      <w:r w:rsidRPr="004347AA">
        <w:rPr>
          <w:rFonts w:ascii="Times New Roman" w:eastAsia="Times New Roman" w:hAnsi="Times New Roman" w:cs="Times New Roman"/>
          <w:color w:val="000000"/>
          <w:sz w:val="24"/>
          <w:szCs w:val="24"/>
        </w:rPr>
        <w:t xml:space="preserve"> Effect of cmmi-based software process maturity on software schedule estimation, </w:t>
      </w:r>
      <w:r w:rsidRPr="003E64E1">
        <w:rPr>
          <w:rFonts w:ascii="Times New Roman" w:eastAsia="Times New Roman" w:hAnsi="Times New Roman" w:cs="Times New Roman"/>
          <w:i/>
          <w:iCs/>
          <w:color w:val="000000"/>
          <w:sz w:val="24"/>
          <w:szCs w:val="24"/>
        </w:rPr>
        <w:t>Malaysian Journal of Computer Science</w:t>
      </w:r>
      <w:r w:rsidRPr="004347AA">
        <w:rPr>
          <w:rFonts w:ascii="Times New Roman" w:eastAsia="Times New Roman" w:hAnsi="Times New Roman" w:cs="Times New Roman"/>
          <w:color w:val="000000"/>
          <w:sz w:val="24"/>
          <w:szCs w:val="24"/>
        </w:rPr>
        <w:t>, vol. 22, no. 2, pp. 121-137.</w:t>
      </w:r>
    </w:p>
    <w:p w14:paraId="7283D724" w14:textId="77777777" w:rsidR="008D727C" w:rsidRPr="00AB093D" w:rsidRDefault="008D727C" w:rsidP="00AB093D">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heme="minorHAnsi" w:hAnsi="Times New Roman" w:cs="Times New Roman"/>
          <w:sz w:val="24"/>
          <w:szCs w:val="24"/>
          <w:lang w:val="en-US"/>
        </w:rPr>
      </w:pPr>
      <w:r w:rsidRPr="00AB093D">
        <w:rPr>
          <w:rFonts w:ascii="Times New Roman" w:eastAsiaTheme="minorHAnsi" w:hAnsi="Times New Roman" w:cs="Times New Roman"/>
          <w:sz w:val="24"/>
          <w:szCs w:val="24"/>
        </w:rPr>
        <w:t>A</w:t>
      </w:r>
      <w:proofErr w:type="spellStart"/>
      <w:r w:rsidRPr="00AB093D">
        <w:rPr>
          <w:rFonts w:ascii="Times New Roman" w:eastAsiaTheme="minorHAnsi" w:hAnsi="Times New Roman" w:cs="Times New Roman"/>
          <w:sz w:val="24"/>
          <w:szCs w:val="24"/>
          <w:lang w:val="en-US"/>
        </w:rPr>
        <w:t>ntonova</w:t>
      </w:r>
      <w:proofErr w:type="spellEnd"/>
      <w:r w:rsidRPr="00AB093D">
        <w:rPr>
          <w:rFonts w:ascii="Times New Roman" w:eastAsiaTheme="minorHAnsi" w:hAnsi="Times New Roman" w:cs="Times New Roman"/>
          <w:sz w:val="24"/>
          <w:szCs w:val="24"/>
        </w:rPr>
        <w:t xml:space="preserve">, K. (2017) Ustoychiv podhod za upravlenie na choveshkite resursi v orga- nizatsiite. </w:t>
      </w:r>
      <w:r w:rsidRPr="00AB093D">
        <w:rPr>
          <w:rFonts w:ascii="Times New Roman" w:eastAsiaTheme="minorHAnsi" w:hAnsi="Times New Roman" w:cs="Times New Roman"/>
          <w:i/>
          <w:iCs/>
          <w:sz w:val="24"/>
          <w:szCs w:val="24"/>
        </w:rPr>
        <w:t>Izvestia. Spisanie na Ikonomicheski universitet – Varna</w:t>
      </w:r>
      <w:r w:rsidRPr="00AB093D">
        <w:rPr>
          <w:rFonts w:ascii="Times New Roman" w:eastAsiaTheme="minorHAnsi" w:hAnsi="Times New Roman" w:cs="Times New Roman"/>
          <w:sz w:val="24"/>
          <w:szCs w:val="24"/>
        </w:rPr>
        <w:t>. 61 (4)</w:t>
      </w:r>
      <w:r w:rsidRPr="00AB093D">
        <w:rPr>
          <w:rFonts w:ascii="Times New Roman" w:eastAsiaTheme="minorHAnsi" w:hAnsi="Times New Roman" w:cs="Times New Roman"/>
          <w:sz w:val="24"/>
          <w:szCs w:val="24"/>
          <w:lang w:val="en-US"/>
        </w:rPr>
        <w:t>,</w:t>
      </w:r>
      <w:r w:rsidRPr="00AB093D">
        <w:rPr>
          <w:rFonts w:ascii="Times New Roman" w:eastAsiaTheme="minorHAnsi" w:hAnsi="Times New Roman" w:cs="Times New Roman"/>
          <w:sz w:val="24"/>
          <w:szCs w:val="24"/>
        </w:rPr>
        <w:t xml:space="preserve"> s. 315-333.</w:t>
      </w:r>
      <w:r w:rsidRPr="00AB093D">
        <w:rPr>
          <w:rFonts w:ascii="Times New Roman" w:eastAsiaTheme="minorHAnsi" w:hAnsi="Times New Roman" w:cs="Times New Roman"/>
          <w:sz w:val="24"/>
          <w:szCs w:val="24"/>
          <w:lang w:val="en-US"/>
        </w:rPr>
        <w:t xml:space="preserve"> (</w:t>
      </w:r>
      <w:proofErr w:type="gramStart"/>
      <w:r w:rsidRPr="00AB093D">
        <w:rPr>
          <w:rFonts w:ascii="Times New Roman" w:eastAsiaTheme="minorHAnsi" w:hAnsi="Times New Roman" w:cs="Times New Roman"/>
          <w:sz w:val="24"/>
          <w:szCs w:val="24"/>
          <w:lang w:val="en-US"/>
        </w:rPr>
        <w:t>in</w:t>
      </w:r>
      <w:proofErr w:type="gramEnd"/>
      <w:r w:rsidRPr="00AB093D">
        <w:rPr>
          <w:rFonts w:ascii="Times New Roman" w:eastAsiaTheme="minorHAnsi" w:hAnsi="Times New Roman" w:cs="Times New Roman"/>
          <w:sz w:val="24"/>
          <w:szCs w:val="24"/>
          <w:lang w:val="en-US"/>
        </w:rPr>
        <w:t xml:space="preserve"> Bulgarian)</w:t>
      </w:r>
    </w:p>
    <w:p w14:paraId="46E181EE" w14:textId="77777777" w:rsidR="008D727C" w:rsidRPr="00AB093D" w:rsidRDefault="008D727C" w:rsidP="00AB093D">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heme="minorHAnsi" w:hAnsi="Times New Roman" w:cs="Times New Roman"/>
          <w:sz w:val="24"/>
          <w:szCs w:val="24"/>
          <w:lang w:val="en-US"/>
        </w:rPr>
      </w:pPr>
      <w:r w:rsidRPr="00EB70A1">
        <w:rPr>
          <w:rFonts w:ascii="Times New Roman" w:eastAsia="Times New Roman" w:hAnsi="Times New Roman" w:cs="Times New Roman"/>
          <w:sz w:val="24"/>
          <w:szCs w:val="24"/>
        </w:rPr>
        <w:t xml:space="preserve">Atanasova, M. (2012) Razvitie na choveshkite resursi v organizatsiyata – teoretichni osnovi i izsledovatelski podhodi. </w:t>
      </w:r>
      <w:r w:rsidRPr="00EB70A1">
        <w:rPr>
          <w:rFonts w:ascii="Times New Roman" w:eastAsia="Times New Roman" w:hAnsi="Times New Roman" w:cs="Times New Roman"/>
          <w:i/>
          <w:iCs/>
          <w:sz w:val="24"/>
          <w:szCs w:val="24"/>
        </w:rPr>
        <w:t>Godishnik na UNSS</w:t>
      </w:r>
      <w:r w:rsidRPr="00EB70A1">
        <w:rPr>
          <w:rFonts w:ascii="Times New Roman" w:eastAsia="Times New Roman" w:hAnsi="Times New Roman" w:cs="Times New Roman"/>
          <w:sz w:val="24"/>
          <w:szCs w:val="24"/>
        </w:rPr>
        <w:t xml:space="preserve">. s. 139-194. </w:t>
      </w:r>
      <w:r w:rsidRPr="00AB093D">
        <w:rPr>
          <w:rFonts w:ascii="Times New Roman" w:eastAsiaTheme="minorHAnsi" w:hAnsi="Times New Roman" w:cs="Times New Roman"/>
          <w:sz w:val="24"/>
          <w:szCs w:val="24"/>
          <w:lang w:val="en-US"/>
        </w:rPr>
        <w:t>(</w:t>
      </w:r>
      <w:proofErr w:type="gramStart"/>
      <w:r w:rsidRPr="00AB093D">
        <w:rPr>
          <w:rFonts w:ascii="Times New Roman" w:eastAsiaTheme="minorHAnsi" w:hAnsi="Times New Roman" w:cs="Times New Roman"/>
          <w:sz w:val="24"/>
          <w:szCs w:val="24"/>
          <w:lang w:val="en-US"/>
        </w:rPr>
        <w:t>in</w:t>
      </w:r>
      <w:proofErr w:type="gramEnd"/>
      <w:r w:rsidRPr="00AB093D">
        <w:rPr>
          <w:rFonts w:ascii="Times New Roman" w:eastAsiaTheme="minorHAnsi" w:hAnsi="Times New Roman" w:cs="Times New Roman"/>
          <w:sz w:val="24"/>
          <w:szCs w:val="24"/>
          <w:lang w:val="en-US"/>
        </w:rPr>
        <w:t xml:space="preserve"> Bulgarian)</w:t>
      </w:r>
    </w:p>
    <w:p w14:paraId="5442590F" w14:textId="77777777" w:rsidR="008D727C" w:rsidRPr="00EB70A1" w:rsidRDefault="008D727C">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EB70A1">
        <w:rPr>
          <w:rFonts w:ascii="Times New Roman" w:eastAsia="Times New Roman" w:hAnsi="Times New Roman" w:cs="Times New Roman"/>
          <w:sz w:val="24"/>
          <w:szCs w:val="24"/>
        </w:rPr>
        <w:t xml:space="preserve">Atanasova, M. (2015). </w:t>
      </w:r>
      <w:r w:rsidRPr="00EB70A1">
        <w:rPr>
          <w:rFonts w:ascii="Times New Roman" w:eastAsia="Times New Roman" w:hAnsi="Times New Roman" w:cs="Times New Roman"/>
          <w:i/>
          <w:iCs/>
          <w:sz w:val="24"/>
          <w:szCs w:val="24"/>
        </w:rPr>
        <w:t>Obuchenie i razvitie na choveshkite resursi v organizatsiite. Teoria i praktika.</w:t>
      </w:r>
      <w:r w:rsidRPr="00EB70A1">
        <w:rPr>
          <w:rFonts w:ascii="Times New Roman" w:eastAsia="Times New Roman" w:hAnsi="Times New Roman" w:cs="Times New Roman"/>
          <w:sz w:val="24"/>
          <w:szCs w:val="24"/>
        </w:rPr>
        <w:t xml:space="preserve"> Sofia: Avangard Prima.</w:t>
      </w:r>
      <w:r>
        <w:rPr>
          <w:rFonts w:ascii="Times New Roman" w:eastAsia="Times New Roman" w:hAnsi="Times New Roman" w:cs="Times New Roman"/>
          <w:sz w:val="24"/>
          <w:szCs w:val="24"/>
          <w:lang w:val="en-US"/>
        </w:rPr>
        <w:t xml:space="preserve"> </w:t>
      </w:r>
      <w:r w:rsidRPr="00AB093D">
        <w:rPr>
          <w:rFonts w:ascii="Times New Roman" w:eastAsiaTheme="minorHAnsi" w:hAnsi="Times New Roman" w:cs="Times New Roman"/>
          <w:sz w:val="24"/>
          <w:szCs w:val="24"/>
          <w:lang w:val="en-US"/>
        </w:rPr>
        <w:t>(</w:t>
      </w:r>
      <w:proofErr w:type="gramStart"/>
      <w:r w:rsidRPr="00AB093D">
        <w:rPr>
          <w:rFonts w:ascii="Times New Roman" w:eastAsiaTheme="minorHAnsi" w:hAnsi="Times New Roman" w:cs="Times New Roman"/>
          <w:sz w:val="24"/>
          <w:szCs w:val="24"/>
          <w:lang w:val="en-US"/>
        </w:rPr>
        <w:t>in</w:t>
      </w:r>
      <w:proofErr w:type="gramEnd"/>
      <w:r w:rsidRPr="00AB093D">
        <w:rPr>
          <w:rFonts w:ascii="Times New Roman" w:eastAsiaTheme="minorHAnsi" w:hAnsi="Times New Roman" w:cs="Times New Roman"/>
          <w:sz w:val="24"/>
          <w:szCs w:val="24"/>
          <w:lang w:val="en-US"/>
        </w:rPr>
        <w:t xml:space="preserve"> Bulgarian)</w:t>
      </w:r>
    </w:p>
    <w:p w14:paraId="105F66E0" w14:textId="77777777" w:rsidR="008D727C" w:rsidRPr="00A81860" w:rsidRDefault="008D727C">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A82C96">
        <w:rPr>
          <w:rFonts w:ascii="Times New Roman" w:eastAsia="Times New Roman" w:hAnsi="Times New Roman" w:cs="Times New Roman"/>
          <w:color w:val="000000"/>
          <w:sz w:val="24"/>
          <w:szCs w:val="24"/>
        </w:rPr>
        <w:t>Bhandari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GB"/>
        </w:rPr>
        <w:t>S.</w:t>
      </w:r>
      <w:r w:rsidRPr="00A82C96">
        <w:rPr>
          <w:rFonts w:ascii="Times New Roman" w:eastAsia="Times New Roman" w:hAnsi="Times New Roman" w:cs="Times New Roman"/>
          <w:color w:val="000000"/>
          <w:sz w:val="24"/>
          <w:szCs w:val="24"/>
        </w:rPr>
        <w:t xml:space="preserve"> (2022) </w:t>
      </w:r>
      <w:r w:rsidRPr="003E64E1">
        <w:rPr>
          <w:rFonts w:ascii="Times New Roman" w:eastAsia="Times New Roman" w:hAnsi="Times New Roman" w:cs="Times New Roman"/>
          <w:i/>
          <w:iCs/>
          <w:color w:val="000000"/>
          <w:sz w:val="24"/>
          <w:szCs w:val="24"/>
        </w:rPr>
        <w:t>Difference Between CMM and CMMI</w:t>
      </w:r>
      <w:r w:rsidRPr="00A82C9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[Online].</w:t>
      </w:r>
      <w:r w:rsidRPr="00A81860">
        <w:rPr>
          <w:rFonts w:ascii="Times New Roman" w:eastAsia="Times New Roman" w:hAnsi="Times New Roman" w:cs="Times New Roman"/>
          <w:color w:val="000000"/>
          <w:sz w:val="24"/>
          <w:szCs w:val="24"/>
        </w:rPr>
        <w:t xml:space="preserve"> </w:t>
      </w:r>
      <w:r w:rsidRPr="00A82C96">
        <w:rPr>
          <w:rFonts w:ascii="Times New Roman" w:eastAsia="Times New Roman" w:hAnsi="Times New Roman" w:cs="Times New Roman"/>
          <w:color w:val="000000"/>
          <w:sz w:val="24"/>
          <w:szCs w:val="24"/>
        </w:rPr>
        <w:t xml:space="preserve">Available at: https://askanydifference.com/difference-between-cmm-and-cmmi/ </w:t>
      </w:r>
      <w:r>
        <w:rPr>
          <w:rFonts w:ascii="Times New Roman" w:eastAsia="Times New Roman" w:hAnsi="Times New Roman" w:cs="Times New Roman"/>
          <w:color w:val="000000"/>
          <w:sz w:val="24"/>
          <w:szCs w:val="24"/>
          <w:lang w:val="en-US"/>
        </w:rPr>
        <w:t>[</w:t>
      </w:r>
      <w:r w:rsidRPr="00A81860">
        <w:rPr>
          <w:rFonts w:ascii="Times New Roman" w:eastAsia="Times New Roman" w:hAnsi="Times New Roman" w:cs="Times New Roman"/>
          <w:color w:val="000000"/>
          <w:sz w:val="24"/>
          <w:szCs w:val="24"/>
        </w:rPr>
        <w:t xml:space="preserve">Accessed: </w:t>
      </w:r>
      <w:r>
        <w:rPr>
          <w:rFonts w:ascii="Times New Roman" w:eastAsia="Times New Roman" w:hAnsi="Times New Roman" w:cs="Times New Roman"/>
          <w:color w:val="000000"/>
          <w:sz w:val="24"/>
          <w:szCs w:val="24"/>
          <w:lang w:val="en-US"/>
        </w:rPr>
        <w:t>17</w:t>
      </w:r>
      <w:r w:rsidRPr="00A81860">
        <w:rPr>
          <w:rFonts w:ascii="Times New Roman" w:eastAsia="Times New Roman" w:hAnsi="Times New Roman" w:cs="Times New Roman"/>
          <w:color w:val="000000"/>
          <w:sz w:val="24"/>
          <w:szCs w:val="24"/>
        </w:rPr>
        <w:t xml:space="preserve"> June 2022</w:t>
      </w:r>
      <w:r>
        <w:rPr>
          <w:rFonts w:ascii="Times New Roman" w:eastAsia="Times New Roman" w:hAnsi="Times New Roman" w:cs="Times New Roman"/>
          <w:color w:val="000000"/>
          <w:sz w:val="24"/>
          <w:szCs w:val="24"/>
          <w:lang w:val="en-US"/>
        </w:rPr>
        <w:t>]</w:t>
      </w:r>
      <w:r w:rsidRPr="00A81860">
        <w:rPr>
          <w:rFonts w:ascii="Times New Roman" w:eastAsia="Times New Roman" w:hAnsi="Times New Roman" w:cs="Times New Roman"/>
          <w:color w:val="000000"/>
          <w:sz w:val="24"/>
          <w:szCs w:val="24"/>
        </w:rPr>
        <w:t>.</w:t>
      </w:r>
    </w:p>
    <w:p w14:paraId="36FA4B5C" w14:textId="1E111035" w:rsidR="008D727C" w:rsidRDefault="008D727C" w:rsidP="00A81860">
      <w:pPr>
        <w:numPr>
          <w:ilvl w:val="0"/>
          <w:numId w:val="6"/>
        </w:numPr>
        <w:pBdr>
          <w:top w:val="nil"/>
          <w:left w:val="nil"/>
          <w:bottom w:val="nil"/>
          <w:right w:val="nil"/>
          <w:between w:val="nil"/>
        </w:pBdr>
        <w:tabs>
          <w:tab w:val="left" w:pos="1134"/>
        </w:tabs>
        <w:spacing w:after="0" w:line="360" w:lineRule="auto"/>
        <w:ind w:left="1134" w:hanging="425"/>
        <w:jc w:val="both"/>
        <w:rPr>
          <w:rFonts w:ascii="Times New Roman" w:eastAsia="Times New Roman" w:hAnsi="Times New Roman" w:cs="Times New Roman"/>
          <w:color w:val="000000"/>
          <w:sz w:val="24"/>
          <w:szCs w:val="24"/>
        </w:rPr>
      </w:pPr>
      <w:r w:rsidRPr="00A81860">
        <w:rPr>
          <w:rFonts w:ascii="Times New Roman" w:eastAsia="Times New Roman" w:hAnsi="Times New Roman" w:cs="Times New Roman"/>
          <w:color w:val="000000"/>
          <w:sz w:val="24"/>
          <w:szCs w:val="24"/>
        </w:rPr>
        <w:t>Curtis,</w:t>
      </w:r>
      <w:r>
        <w:rPr>
          <w:rFonts w:ascii="Times New Roman" w:eastAsia="Times New Roman" w:hAnsi="Times New Roman" w:cs="Times New Roman"/>
          <w:color w:val="000000"/>
          <w:sz w:val="24"/>
          <w:szCs w:val="24"/>
          <w:lang w:val="en-US"/>
        </w:rPr>
        <w:t xml:space="preserve"> </w:t>
      </w:r>
      <w:r w:rsidRPr="00A81860">
        <w:rPr>
          <w:rFonts w:ascii="Times New Roman" w:eastAsia="Times New Roman" w:hAnsi="Times New Roman" w:cs="Times New Roman"/>
          <w:sz w:val="24"/>
          <w:szCs w:val="24"/>
        </w:rPr>
        <w:t xml:space="preserve">B., </w:t>
      </w:r>
      <w:r w:rsidRPr="00A81860">
        <w:rPr>
          <w:rFonts w:ascii="Times New Roman" w:eastAsia="Times New Roman" w:hAnsi="Times New Roman" w:cs="Times New Roman"/>
          <w:color w:val="000000"/>
          <w:sz w:val="24"/>
          <w:szCs w:val="24"/>
        </w:rPr>
        <w:t xml:space="preserve">Hefley, B., Miller, S. (2009). </w:t>
      </w:r>
      <w:r w:rsidRPr="00D11DA0">
        <w:rPr>
          <w:rFonts w:ascii="Times New Roman" w:eastAsia="Times New Roman" w:hAnsi="Times New Roman" w:cs="Times New Roman"/>
          <w:i/>
          <w:iCs/>
          <w:color w:val="000000"/>
          <w:sz w:val="24"/>
          <w:szCs w:val="24"/>
        </w:rPr>
        <w:t>People Capability Maturity Model</w:t>
      </w:r>
      <w:r w:rsidRPr="00A81860">
        <w:rPr>
          <w:rFonts w:ascii="Times New Roman" w:eastAsia="Times New Roman" w:hAnsi="Times New Roman" w:cs="Times New Roman"/>
          <w:color w:val="000000"/>
          <w:sz w:val="24"/>
          <w:szCs w:val="24"/>
        </w:rPr>
        <w:t xml:space="preserve"> (P-CMM) Version 2.0, Second Edition, </w:t>
      </w:r>
      <w:r w:rsidR="00D11DA0">
        <w:rPr>
          <w:rFonts w:ascii="Times New Roman" w:eastAsia="Times New Roman" w:hAnsi="Times New Roman" w:cs="Times New Roman"/>
          <w:color w:val="000000"/>
          <w:sz w:val="24"/>
          <w:szCs w:val="24"/>
          <w:lang w:val="en-US"/>
        </w:rPr>
        <w:t>T</w:t>
      </w:r>
      <w:r w:rsidR="00D11DA0" w:rsidRPr="00A81860">
        <w:rPr>
          <w:rFonts w:ascii="Times New Roman" w:eastAsia="Times New Roman" w:hAnsi="Times New Roman" w:cs="Times New Roman"/>
          <w:color w:val="000000"/>
          <w:sz w:val="24"/>
          <w:szCs w:val="24"/>
        </w:rPr>
        <w:t xml:space="preserve">echnical report </w:t>
      </w:r>
      <w:r w:rsidRPr="00A81860">
        <w:rPr>
          <w:rFonts w:ascii="Times New Roman" w:eastAsia="Times New Roman" w:hAnsi="Times New Roman" w:cs="Times New Roman"/>
          <w:color w:val="000000"/>
          <w:sz w:val="24"/>
          <w:szCs w:val="24"/>
        </w:rPr>
        <w:t>CMU/SEI-2009-TR-003 ESC-TR-2009-003 Software Engineering Process Management</w:t>
      </w:r>
      <w:r>
        <w:rPr>
          <w:rFonts w:ascii="Times New Roman" w:eastAsia="Times New Roman" w:hAnsi="Times New Roman" w:cs="Times New Roman"/>
          <w:color w:val="000000"/>
          <w:sz w:val="24"/>
          <w:szCs w:val="24"/>
        </w:rPr>
        <w:t>.</w:t>
      </w:r>
    </w:p>
    <w:p w14:paraId="3B29D3CD" w14:textId="77777777" w:rsidR="008D727C" w:rsidRPr="00FF7DC2" w:rsidRDefault="008D727C" w:rsidP="00FF7DC2">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857221">
        <w:rPr>
          <w:rFonts w:ascii="Times New Roman" w:eastAsia="Times New Roman" w:hAnsi="Times New Roman" w:cs="Times New Roman"/>
          <w:sz w:val="24"/>
          <w:szCs w:val="24"/>
        </w:rPr>
        <w:t xml:space="preserve">Dankova, P. (2012) Choveshkiyat faktor i ustoychivoto razvitie. </w:t>
      </w:r>
      <w:r w:rsidRPr="00FF7DC2">
        <w:rPr>
          <w:rFonts w:ascii="Times New Roman" w:eastAsia="Times New Roman" w:hAnsi="Times New Roman" w:cs="Times New Roman"/>
          <w:i/>
          <w:iCs/>
          <w:sz w:val="24"/>
          <w:szCs w:val="24"/>
        </w:rPr>
        <w:t xml:space="preserve">Sp. </w:t>
      </w:r>
      <w:r>
        <w:rPr>
          <w:rFonts w:ascii="Times New Roman" w:eastAsia="Times New Roman" w:hAnsi="Times New Roman" w:cs="Times New Roman"/>
          <w:i/>
          <w:iCs/>
          <w:sz w:val="24"/>
          <w:szCs w:val="24"/>
          <w:lang w:val="en-US"/>
        </w:rPr>
        <w:t>“</w:t>
      </w:r>
      <w:r w:rsidRPr="00FF7DC2">
        <w:rPr>
          <w:rFonts w:ascii="Times New Roman" w:eastAsia="Times New Roman" w:hAnsi="Times New Roman" w:cs="Times New Roman"/>
          <w:i/>
          <w:iCs/>
          <w:sz w:val="24"/>
          <w:szCs w:val="24"/>
        </w:rPr>
        <w:t>Upravlenie i ustoychivo razvitie</w:t>
      </w:r>
      <w:r>
        <w:rPr>
          <w:rFonts w:ascii="Times New Roman" w:eastAsia="Times New Roman" w:hAnsi="Times New Roman" w:cs="Times New Roman"/>
          <w:i/>
          <w:iCs/>
          <w:sz w:val="24"/>
          <w:szCs w:val="24"/>
          <w:lang w:val="en-US"/>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Tom </w:t>
      </w:r>
      <w:r w:rsidRPr="00857221">
        <w:rPr>
          <w:rFonts w:ascii="Times New Roman" w:eastAsia="Times New Roman" w:hAnsi="Times New Roman" w:cs="Times New Roman"/>
          <w:sz w:val="24"/>
          <w:szCs w:val="24"/>
        </w:rPr>
        <w:t>32</w:t>
      </w:r>
      <w:r>
        <w:rPr>
          <w:rFonts w:ascii="Times New Roman" w:eastAsia="Times New Roman" w:hAnsi="Times New Roman" w:cs="Times New Roman"/>
          <w:sz w:val="24"/>
          <w:szCs w:val="24"/>
          <w:lang w:val="en-US"/>
        </w:rPr>
        <w:t xml:space="preserve">. s. 100-104. </w:t>
      </w:r>
      <w:r w:rsidRPr="00AB093D">
        <w:rPr>
          <w:rFonts w:ascii="Times New Roman" w:eastAsiaTheme="minorHAnsi" w:hAnsi="Times New Roman" w:cs="Times New Roman"/>
          <w:sz w:val="24"/>
          <w:szCs w:val="24"/>
          <w:lang w:val="en-US"/>
        </w:rPr>
        <w:t>(</w:t>
      </w:r>
      <w:proofErr w:type="gramStart"/>
      <w:r w:rsidRPr="00AB093D">
        <w:rPr>
          <w:rFonts w:ascii="Times New Roman" w:eastAsiaTheme="minorHAnsi" w:hAnsi="Times New Roman" w:cs="Times New Roman"/>
          <w:sz w:val="24"/>
          <w:szCs w:val="24"/>
          <w:lang w:val="en-US"/>
        </w:rPr>
        <w:t>in</w:t>
      </w:r>
      <w:proofErr w:type="gramEnd"/>
      <w:r w:rsidRPr="00AB093D">
        <w:rPr>
          <w:rFonts w:ascii="Times New Roman" w:eastAsiaTheme="minorHAnsi" w:hAnsi="Times New Roman" w:cs="Times New Roman"/>
          <w:sz w:val="24"/>
          <w:szCs w:val="24"/>
          <w:lang w:val="en-US"/>
        </w:rPr>
        <w:t xml:space="preserve"> Bulgarian)</w:t>
      </w:r>
    </w:p>
    <w:p w14:paraId="4EAF2EF9" w14:textId="6B787764" w:rsidR="008D727C" w:rsidRPr="00A81860" w:rsidRDefault="008D727C" w:rsidP="00A81860">
      <w:pPr>
        <w:numPr>
          <w:ilvl w:val="0"/>
          <w:numId w:val="6"/>
        </w:numPr>
        <w:pBdr>
          <w:top w:val="nil"/>
          <w:left w:val="nil"/>
          <w:bottom w:val="nil"/>
          <w:right w:val="nil"/>
          <w:between w:val="nil"/>
        </w:pBdr>
        <w:tabs>
          <w:tab w:val="left" w:pos="1134"/>
        </w:tabs>
        <w:spacing w:after="0" w:line="360" w:lineRule="auto"/>
        <w:ind w:left="1134" w:hanging="425"/>
        <w:jc w:val="both"/>
        <w:rPr>
          <w:rFonts w:ascii="Times New Roman" w:eastAsia="Times New Roman" w:hAnsi="Times New Roman" w:cs="Times New Roman"/>
          <w:color w:val="000000"/>
          <w:sz w:val="24"/>
          <w:szCs w:val="24"/>
        </w:rPr>
      </w:pPr>
      <w:r w:rsidRPr="008F7BCB">
        <w:rPr>
          <w:rFonts w:ascii="Times New Roman" w:eastAsia="Times New Roman" w:hAnsi="Times New Roman" w:cs="Times New Roman"/>
          <w:color w:val="000000"/>
          <w:sz w:val="24"/>
          <w:szCs w:val="24"/>
        </w:rPr>
        <w:t xml:space="preserve">Dos Santos, R.P., De Oliveira, K.M. &amp; Da Silva, W.P. </w:t>
      </w:r>
      <w:r w:rsidR="00D11DA0">
        <w:rPr>
          <w:rFonts w:ascii="Times New Roman" w:eastAsia="Times New Roman" w:hAnsi="Times New Roman" w:cs="Times New Roman"/>
          <w:color w:val="000000"/>
          <w:sz w:val="24"/>
          <w:szCs w:val="24"/>
          <w:lang w:val="en-US"/>
        </w:rPr>
        <w:t>(</w:t>
      </w:r>
      <w:r w:rsidRPr="008F7BCB">
        <w:rPr>
          <w:rFonts w:ascii="Times New Roman" w:eastAsia="Times New Roman" w:hAnsi="Times New Roman" w:cs="Times New Roman"/>
          <w:color w:val="000000"/>
          <w:sz w:val="24"/>
          <w:szCs w:val="24"/>
        </w:rPr>
        <w:t>2009</w:t>
      </w:r>
      <w:r w:rsidR="00D11DA0">
        <w:rPr>
          <w:rFonts w:ascii="Times New Roman" w:eastAsia="Times New Roman" w:hAnsi="Times New Roman" w:cs="Times New Roman"/>
          <w:color w:val="000000"/>
          <w:sz w:val="24"/>
          <w:szCs w:val="24"/>
          <w:lang w:val="en-US"/>
        </w:rPr>
        <w:t>)</w:t>
      </w:r>
      <w:r w:rsidRPr="008F7BCB">
        <w:rPr>
          <w:rFonts w:ascii="Times New Roman" w:eastAsia="Times New Roman" w:hAnsi="Times New Roman" w:cs="Times New Roman"/>
          <w:color w:val="000000"/>
          <w:sz w:val="24"/>
          <w:szCs w:val="24"/>
        </w:rPr>
        <w:t xml:space="preserve"> Evaluating the service quality of software providers appraised in CMM/CMMI, </w:t>
      </w:r>
      <w:r w:rsidRPr="00D11DA0">
        <w:rPr>
          <w:rFonts w:ascii="Times New Roman" w:eastAsia="Times New Roman" w:hAnsi="Times New Roman" w:cs="Times New Roman"/>
          <w:i/>
          <w:iCs/>
          <w:color w:val="000000"/>
          <w:sz w:val="24"/>
          <w:szCs w:val="24"/>
        </w:rPr>
        <w:t>Software Quality Journal</w:t>
      </w:r>
      <w:r w:rsidRPr="008F7BCB">
        <w:rPr>
          <w:rFonts w:ascii="Times New Roman" w:eastAsia="Times New Roman" w:hAnsi="Times New Roman" w:cs="Times New Roman"/>
          <w:color w:val="000000"/>
          <w:sz w:val="24"/>
          <w:szCs w:val="24"/>
        </w:rPr>
        <w:t>, vol. 17, no. 3, pp. 283-301.</w:t>
      </w:r>
    </w:p>
    <w:p w14:paraId="31A9D595" w14:textId="47C5579C" w:rsidR="008D727C" w:rsidRPr="00A81860" w:rsidRDefault="008D727C" w:rsidP="00A81860">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A81860">
        <w:rPr>
          <w:rFonts w:ascii="Times New Roman" w:eastAsia="Times New Roman" w:hAnsi="Times New Roman" w:cs="Times New Roman"/>
          <w:color w:val="000000"/>
          <w:sz w:val="24"/>
          <w:szCs w:val="24"/>
        </w:rPr>
        <w:t xml:space="preserve">Epstein, Marc J., and Marie-Josée Roy. </w:t>
      </w:r>
      <w:r w:rsidRPr="00A81860">
        <w:rPr>
          <w:rFonts w:ascii="Times New Roman" w:eastAsia="Times New Roman" w:hAnsi="Times New Roman" w:cs="Times New Roman"/>
          <w:sz w:val="24"/>
          <w:szCs w:val="24"/>
        </w:rPr>
        <w:t xml:space="preserve">(2003) </w:t>
      </w:r>
      <w:r w:rsidRPr="00A81860">
        <w:rPr>
          <w:rFonts w:ascii="Times New Roman" w:eastAsia="Times New Roman" w:hAnsi="Times New Roman" w:cs="Times New Roman"/>
          <w:color w:val="000000"/>
          <w:sz w:val="24"/>
          <w:szCs w:val="24"/>
        </w:rPr>
        <w:t>Making the Business Case for Sustainability: Linking Social and Environmental Actions to Financial Performance. </w:t>
      </w:r>
      <w:r w:rsidRPr="00D11DA0">
        <w:rPr>
          <w:rFonts w:ascii="Times New Roman" w:eastAsia="Times New Roman" w:hAnsi="Times New Roman" w:cs="Times New Roman"/>
          <w:i/>
          <w:iCs/>
          <w:color w:val="000000"/>
          <w:sz w:val="24"/>
          <w:szCs w:val="24"/>
        </w:rPr>
        <w:t>The Journal of Corporate Citizenship</w:t>
      </w:r>
      <w:r w:rsidRPr="00A81860">
        <w:rPr>
          <w:rFonts w:ascii="Times New Roman" w:eastAsia="Times New Roman" w:hAnsi="Times New Roman" w:cs="Times New Roman"/>
          <w:color w:val="000000"/>
          <w:sz w:val="24"/>
          <w:szCs w:val="24"/>
        </w:rPr>
        <w:t xml:space="preserve">, no. 9: </w:t>
      </w:r>
      <w:r w:rsidR="00D11DA0">
        <w:rPr>
          <w:rFonts w:ascii="Times New Roman" w:eastAsia="Times New Roman" w:hAnsi="Times New Roman" w:cs="Times New Roman"/>
          <w:color w:val="000000"/>
          <w:sz w:val="24"/>
          <w:szCs w:val="24"/>
          <w:lang w:val="en-US"/>
        </w:rPr>
        <w:t xml:space="preserve">pp. </w:t>
      </w:r>
      <w:r w:rsidRPr="00A81860">
        <w:rPr>
          <w:rFonts w:ascii="Times New Roman" w:eastAsia="Times New Roman" w:hAnsi="Times New Roman" w:cs="Times New Roman"/>
          <w:color w:val="000000"/>
          <w:sz w:val="24"/>
          <w:szCs w:val="24"/>
        </w:rPr>
        <w:t>79–96.</w:t>
      </w:r>
    </w:p>
    <w:p w14:paraId="5B7387C6" w14:textId="77777777" w:rsidR="008D727C" w:rsidRPr="00A81860" w:rsidRDefault="008D727C" w:rsidP="00A81860">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A81860">
        <w:rPr>
          <w:rFonts w:ascii="Times New Roman" w:eastAsia="Times New Roman" w:hAnsi="Times New Roman" w:cs="Times New Roman"/>
          <w:color w:val="000000"/>
          <w:sz w:val="24"/>
          <w:szCs w:val="24"/>
        </w:rPr>
        <w:t xml:space="preserve">Gupta, </w:t>
      </w:r>
      <w:r w:rsidRPr="00A81860">
        <w:rPr>
          <w:rFonts w:ascii="Times New Roman" w:eastAsia="Times New Roman" w:hAnsi="Times New Roman" w:cs="Times New Roman"/>
          <w:sz w:val="24"/>
          <w:szCs w:val="24"/>
        </w:rPr>
        <w:t xml:space="preserve">Y. </w:t>
      </w:r>
      <w:r w:rsidRPr="00A81860">
        <w:rPr>
          <w:rFonts w:ascii="Times New Roman" w:eastAsia="Times New Roman" w:hAnsi="Times New Roman" w:cs="Times New Roman"/>
          <w:color w:val="000000"/>
          <w:sz w:val="24"/>
          <w:szCs w:val="24"/>
        </w:rPr>
        <w:t xml:space="preserve"> </w:t>
      </w:r>
      <w:r w:rsidRPr="00C76CDF">
        <w:rPr>
          <w:rFonts w:ascii="Times New Roman" w:eastAsia="Times New Roman" w:hAnsi="Times New Roman" w:cs="Times New Roman"/>
          <w:i/>
          <w:iCs/>
          <w:color w:val="000000"/>
          <w:sz w:val="24"/>
          <w:szCs w:val="24"/>
        </w:rPr>
        <w:t>Introduction to CMM and CMMI</w:t>
      </w:r>
      <w:r w:rsidRPr="00A8186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 xml:space="preserve">[Online]. Available at: </w:t>
      </w:r>
      <w:hyperlink r:id="rId17" w:history="1">
        <w:r w:rsidRPr="006507D3">
          <w:rPr>
            <w:rFonts w:ascii="Times New Roman" w:eastAsia="Times New Roman" w:hAnsi="Times New Roman" w:cs="Times New Roman"/>
            <w:color w:val="000000"/>
            <w:sz w:val="24"/>
            <w:szCs w:val="24"/>
          </w:rPr>
          <w:t>https://www.softwaretestinggenius.com/introduction-to-cmm-and-cmmi/</w:t>
        </w:r>
      </w:hyperlink>
      <w:r w:rsidRPr="00AF769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[Accessed: 10 June 2022].</w:t>
      </w:r>
    </w:p>
    <w:p w14:paraId="7A2C9E2D" w14:textId="77777777" w:rsidR="008D727C" w:rsidRPr="00A81860" w:rsidRDefault="008D727C" w:rsidP="00A81860">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lang w:val="en-US"/>
        </w:rPr>
        <w:t>IT</w:t>
      </w:r>
      <w:r w:rsidRPr="00F073E0">
        <w:rPr>
          <w:rFonts w:ascii="Times New Roman" w:eastAsia="Times New Roman" w:hAnsi="Times New Roman" w:cs="Times New Roman"/>
          <w:sz w:val="24"/>
          <w:szCs w:val="24"/>
        </w:rPr>
        <w:t>governance</w:t>
      </w:r>
      <w:r w:rsidRPr="00A81860">
        <w:rPr>
          <w:rFonts w:ascii="Times New Roman" w:eastAsia="Times New Roman" w:hAnsi="Times New Roman" w:cs="Times New Roman"/>
          <w:sz w:val="24"/>
          <w:szCs w:val="24"/>
        </w:rPr>
        <w:t xml:space="preserve"> </w:t>
      </w:r>
      <w:r w:rsidRPr="00A81860">
        <w:rPr>
          <w:rFonts w:ascii="Times New Roman" w:eastAsia="Times New Roman" w:hAnsi="Times New Roman" w:cs="Times New Roman"/>
          <w:color w:val="000000"/>
          <w:sz w:val="24"/>
          <w:szCs w:val="24"/>
        </w:rPr>
        <w:t>(2022)</w:t>
      </w:r>
      <w:r>
        <w:rPr>
          <w:rFonts w:ascii="Times New Roman" w:eastAsia="Times New Roman" w:hAnsi="Times New Roman" w:cs="Times New Roman"/>
          <w:color w:val="000000"/>
          <w:sz w:val="24"/>
          <w:szCs w:val="24"/>
          <w:lang w:val="en-US"/>
        </w:rPr>
        <w:t xml:space="preserve"> </w:t>
      </w:r>
      <w:r w:rsidRPr="00C76CDF">
        <w:rPr>
          <w:rFonts w:ascii="Times New Roman" w:eastAsia="Times New Roman" w:hAnsi="Times New Roman" w:cs="Times New Roman"/>
          <w:i/>
          <w:iCs/>
          <w:color w:val="000000"/>
          <w:sz w:val="24"/>
          <w:szCs w:val="24"/>
        </w:rPr>
        <w:t>Capability Maturity Model</w:t>
      </w:r>
      <w:r w:rsidRPr="00A81860">
        <w:rPr>
          <w:rFonts w:ascii="Times New Roman" w:eastAsia="Times New Roman" w:hAnsi="Times New Roman" w:cs="Times New Roman"/>
          <w:color w:val="000000"/>
          <w:sz w:val="24"/>
          <w:szCs w:val="24"/>
        </w:rPr>
        <w:t xml:space="preserve"> (CMM)</w:t>
      </w:r>
      <w:r w:rsidRPr="00A81860">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lang w:val="en-US"/>
        </w:rPr>
        <w:t>[Online].</w:t>
      </w:r>
      <w:r w:rsidRPr="00A81860">
        <w:rPr>
          <w:rFonts w:ascii="Times New Roman" w:eastAsia="Times New Roman" w:hAnsi="Times New Roman" w:cs="Times New Roman"/>
          <w:color w:val="000000"/>
          <w:sz w:val="24"/>
          <w:szCs w:val="24"/>
        </w:rPr>
        <w:t xml:space="preserve"> Available at: https://www.itgovernance.asia/capability-maturity-model </w:t>
      </w:r>
      <w:r>
        <w:rPr>
          <w:rFonts w:ascii="Times New Roman" w:eastAsia="Times New Roman" w:hAnsi="Times New Roman" w:cs="Times New Roman"/>
          <w:color w:val="000000"/>
          <w:sz w:val="24"/>
          <w:szCs w:val="24"/>
          <w:lang w:val="en-US"/>
        </w:rPr>
        <w:t>[</w:t>
      </w:r>
      <w:r w:rsidRPr="00A81860">
        <w:rPr>
          <w:rFonts w:ascii="Times New Roman" w:eastAsia="Times New Roman" w:hAnsi="Times New Roman" w:cs="Times New Roman"/>
          <w:color w:val="000000"/>
          <w:sz w:val="24"/>
          <w:szCs w:val="24"/>
        </w:rPr>
        <w:t xml:space="preserve">Accessed: </w:t>
      </w:r>
      <w:r>
        <w:rPr>
          <w:rFonts w:ascii="Times New Roman" w:eastAsia="Times New Roman" w:hAnsi="Times New Roman" w:cs="Times New Roman"/>
          <w:color w:val="000000"/>
          <w:sz w:val="24"/>
          <w:szCs w:val="24"/>
          <w:lang w:val="en-US"/>
        </w:rPr>
        <w:t>18</w:t>
      </w:r>
      <w:r w:rsidRPr="00A81860">
        <w:rPr>
          <w:rFonts w:ascii="Times New Roman" w:eastAsia="Times New Roman" w:hAnsi="Times New Roman" w:cs="Times New Roman"/>
          <w:color w:val="000000"/>
          <w:sz w:val="24"/>
          <w:szCs w:val="24"/>
        </w:rPr>
        <w:t xml:space="preserve"> June 2022</w:t>
      </w:r>
      <w:r>
        <w:rPr>
          <w:rFonts w:ascii="Times New Roman" w:eastAsia="Times New Roman" w:hAnsi="Times New Roman" w:cs="Times New Roman"/>
          <w:color w:val="000000"/>
          <w:sz w:val="24"/>
          <w:szCs w:val="24"/>
          <w:lang w:val="en-US"/>
        </w:rPr>
        <w:t>]</w:t>
      </w:r>
      <w:r w:rsidRPr="00A81860">
        <w:rPr>
          <w:rFonts w:ascii="Times New Roman" w:eastAsia="Times New Roman" w:hAnsi="Times New Roman" w:cs="Times New Roman"/>
          <w:color w:val="000000"/>
          <w:sz w:val="24"/>
          <w:szCs w:val="24"/>
        </w:rPr>
        <w:t>.</w:t>
      </w:r>
    </w:p>
    <w:p w14:paraId="1CBD3017" w14:textId="77777777" w:rsidR="008D727C" w:rsidRPr="00A7650A" w:rsidRDefault="008D727C" w:rsidP="00A7650A">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FF7DC2">
        <w:rPr>
          <w:rFonts w:ascii="Times New Roman" w:eastAsia="Times New Roman" w:hAnsi="Times New Roman" w:cs="Times New Roman"/>
          <w:sz w:val="24"/>
          <w:szCs w:val="24"/>
        </w:rPr>
        <w:lastRenderedPageBreak/>
        <w:t xml:space="preserve">Kecheva, Ts. (2020) Obuchenie i razvitie na choveshkite resursi. </w:t>
      </w:r>
      <w:r w:rsidRPr="00FF7DC2">
        <w:rPr>
          <w:rFonts w:ascii="Times New Roman" w:eastAsia="Times New Roman" w:hAnsi="Times New Roman" w:cs="Times New Roman"/>
          <w:i/>
          <w:iCs/>
          <w:sz w:val="24"/>
          <w:szCs w:val="24"/>
        </w:rPr>
        <w:t>Spisanie za nauka „Novo znanie“</w:t>
      </w:r>
      <w:r>
        <w:rPr>
          <w:rFonts w:ascii="Times New Roman" w:eastAsia="Times New Roman" w:hAnsi="Times New Roman" w:cs="Times New Roman"/>
          <w:i/>
          <w:iCs/>
          <w:sz w:val="24"/>
          <w:szCs w:val="24"/>
          <w:lang w:val="en-US"/>
        </w:rPr>
        <w:t xml:space="preserve"> 9-5</w:t>
      </w:r>
      <w:r>
        <w:rPr>
          <w:rFonts w:ascii="Times New Roman" w:eastAsia="Times New Roman" w:hAnsi="Times New Roman" w:cs="Times New Roman"/>
          <w:sz w:val="24"/>
          <w:szCs w:val="24"/>
          <w:lang w:val="en-US"/>
        </w:rPr>
        <w:t xml:space="preserve">. </w:t>
      </w:r>
      <w:r w:rsidRPr="00FF7DC2">
        <w:rPr>
          <w:rFonts w:ascii="Times New Roman" w:eastAsia="Times New Roman" w:hAnsi="Times New Roman" w:cs="Times New Roman"/>
          <w:sz w:val="24"/>
          <w:szCs w:val="24"/>
        </w:rPr>
        <w:t>Visshe uchilishte po agrobiznes i razvitie na regionite – Plovdiv.</w:t>
      </w:r>
      <w:r>
        <w:rPr>
          <w:rFonts w:ascii="Times New Roman" w:eastAsia="Times New Roman" w:hAnsi="Times New Roman" w:cs="Times New Roman"/>
          <w:sz w:val="24"/>
          <w:szCs w:val="24"/>
          <w:lang w:val="en-US"/>
        </w:rPr>
        <w:t xml:space="preserve"> s. 6-18. </w:t>
      </w:r>
      <w:r w:rsidRPr="00AB093D">
        <w:rPr>
          <w:rFonts w:ascii="Times New Roman" w:eastAsiaTheme="minorHAnsi" w:hAnsi="Times New Roman" w:cs="Times New Roman"/>
          <w:sz w:val="24"/>
          <w:szCs w:val="24"/>
          <w:lang w:val="en-US"/>
        </w:rPr>
        <w:t>(</w:t>
      </w:r>
      <w:proofErr w:type="gramStart"/>
      <w:r w:rsidRPr="00AB093D">
        <w:rPr>
          <w:rFonts w:ascii="Times New Roman" w:eastAsiaTheme="minorHAnsi" w:hAnsi="Times New Roman" w:cs="Times New Roman"/>
          <w:sz w:val="24"/>
          <w:szCs w:val="24"/>
          <w:lang w:val="en-US"/>
        </w:rPr>
        <w:t>in</w:t>
      </w:r>
      <w:proofErr w:type="gramEnd"/>
      <w:r w:rsidRPr="00AB093D">
        <w:rPr>
          <w:rFonts w:ascii="Times New Roman" w:eastAsiaTheme="minorHAnsi" w:hAnsi="Times New Roman" w:cs="Times New Roman"/>
          <w:sz w:val="24"/>
          <w:szCs w:val="24"/>
          <w:lang w:val="en-US"/>
        </w:rPr>
        <w:t xml:space="preserve"> Bulgarian)</w:t>
      </w:r>
    </w:p>
    <w:p w14:paraId="20EAB30E" w14:textId="77777777" w:rsidR="008D727C" w:rsidRPr="00A81860" w:rsidRDefault="008D727C" w:rsidP="00A81860">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A81860">
        <w:rPr>
          <w:rFonts w:ascii="Times New Roman" w:eastAsia="Times New Roman" w:hAnsi="Times New Roman" w:cs="Times New Roman"/>
          <w:color w:val="000000"/>
          <w:sz w:val="24"/>
          <w:szCs w:val="24"/>
        </w:rPr>
        <w:t xml:space="preserve">Kulpa, M. </w:t>
      </w:r>
      <w:r>
        <w:rPr>
          <w:rFonts w:ascii="Times New Roman" w:eastAsia="Times New Roman" w:hAnsi="Times New Roman" w:cs="Times New Roman"/>
          <w:color w:val="000000"/>
          <w:sz w:val="24"/>
          <w:szCs w:val="24"/>
          <w:lang w:val="en-US"/>
        </w:rPr>
        <w:t xml:space="preserve">(2003) </w:t>
      </w:r>
      <w:r w:rsidRPr="00C76CDF">
        <w:rPr>
          <w:rFonts w:ascii="Times New Roman" w:eastAsia="Times New Roman" w:hAnsi="Times New Roman" w:cs="Times New Roman"/>
          <w:i/>
          <w:iCs/>
          <w:color w:val="000000"/>
          <w:sz w:val="24"/>
          <w:szCs w:val="24"/>
        </w:rPr>
        <w:t>Interpreting the CMMI</w:t>
      </w:r>
      <w:r w:rsidRPr="00C76CDF">
        <w:rPr>
          <w:rFonts w:ascii="Times New Roman" w:eastAsia="Times New Roman" w:hAnsi="Times New Roman" w:cs="Times New Roman"/>
          <w:i/>
          <w:iCs/>
          <w:color w:val="000000"/>
          <w:sz w:val="24"/>
          <w:szCs w:val="24"/>
          <w:lang w:val="en-US"/>
        </w:rPr>
        <w:t>. A</w:t>
      </w:r>
      <w:r w:rsidRPr="00C76CDF">
        <w:rPr>
          <w:rFonts w:ascii="Times New Roman" w:eastAsia="Times New Roman" w:hAnsi="Times New Roman" w:cs="Times New Roman"/>
          <w:i/>
          <w:iCs/>
          <w:color w:val="000000"/>
          <w:sz w:val="24"/>
          <w:szCs w:val="24"/>
        </w:rPr>
        <w:t xml:space="preserve"> process improvement approach Capability maturity model</w:t>
      </w:r>
      <w:r>
        <w:rPr>
          <w:rFonts w:ascii="Times New Roman" w:eastAsia="Times New Roman" w:hAnsi="Times New Roman" w:cs="Times New Roman"/>
          <w:color w:val="000000"/>
          <w:sz w:val="24"/>
          <w:szCs w:val="24"/>
          <w:lang w:val="en-US"/>
        </w:rPr>
        <w:t xml:space="preserve">. </w:t>
      </w:r>
      <w:r w:rsidRPr="00230EA7">
        <w:rPr>
          <w:rFonts w:ascii="Times New Roman" w:eastAsia="Times New Roman" w:hAnsi="Times New Roman" w:cs="Times New Roman"/>
          <w:color w:val="000000"/>
          <w:sz w:val="24"/>
          <w:szCs w:val="24"/>
          <w:lang w:val="en-US"/>
        </w:rPr>
        <w:t>CRC Press LLC</w:t>
      </w:r>
      <w:r>
        <w:rPr>
          <w:rFonts w:ascii="Times New Roman" w:eastAsia="Times New Roman" w:hAnsi="Times New Roman" w:cs="Times New Roman"/>
          <w:color w:val="000000"/>
          <w:sz w:val="24"/>
          <w:szCs w:val="24"/>
          <w:lang w:val="en-US"/>
        </w:rPr>
        <w:t>.</w:t>
      </w:r>
    </w:p>
    <w:p w14:paraId="66E3EB9D" w14:textId="77777777" w:rsidR="008D727C" w:rsidRPr="008D727C" w:rsidRDefault="008D727C" w:rsidP="008D727C">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8D727C">
        <w:rPr>
          <w:rFonts w:ascii="Times New Roman" w:eastAsia="Times New Roman" w:hAnsi="Times New Roman" w:cs="Times New Roman"/>
          <w:color w:val="000000"/>
          <w:sz w:val="24"/>
          <w:szCs w:val="24"/>
        </w:rPr>
        <w:t xml:space="preserve">Miteva, M. (2019) Sravnitelen analiz na modeli za otsenka na efektivnostta na obuchenieto na choveshkite resursi v organizatsiite. </w:t>
      </w:r>
      <w:r w:rsidRPr="008D727C">
        <w:rPr>
          <w:rFonts w:ascii="Times New Roman" w:eastAsia="Times New Roman" w:hAnsi="Times New Roman" w:cs="Times New Roman"/>
          <w:i/>
          <w:iCs/>
          <w:color w:val="000000"/>
          <w:sz w:val="24"/>
          <w:szCs w:val="24"/>
        </w:rPr>
        <w:t>Izvestia. Spisanie na Ikonomicheski universitet – Varna</w:t>
      </w:r>
      <w:r w:rsidRPr="008D727C">
        <w:rPr>
          <w:rFonts w:ascii="Times New Roman" w:eastAsia="Times New Roman" w:hAnsi="Times New Roman" w:cs="Times New Roman"/>
          <w:color w:val="000000"/>
          <w:sz w:val="24"/>
          <w:szCs w:val="24"/>
        </w:rPr>
        <w:t>. 63 (4). s. 305–320.</w:t>
      </w:r>
      <w:r>
        <w:rPr>
          <w:rFonts w:ascii="Times New Roman" w:eastAsia="Times New Roman" w:hAnsi="Times New Roman" w:cs="Times New Roman"/>
          <w:color w:val="000000"/>
          <w:sz w:val="24"/>
          <w:szCs w:val="24"/>
          <w:lang w:val="en-US"/>
        </w:rPr>
        <w:t xml:space="preserve"> </w:t>
      </w:r>
      <w:r w:rsidRPr="00AB093D">
        <w:rPr>
          <w:rFonts w:ascii="Times New Roman" w:eastAsiaTheme="minorHAnsi" w:hAnsi="Times New Roman" w:cs="Times New Roman"/>
          <w:sz w:val="24"/>
          <w:szCs w:val="24"/>
          <w:lang w:val="en-US"/>
        </w:rPr>
        <w:t>(</w:t>
      </w:r>
      <w:proofErr w:type="gramStart"/>
      <w:r w:rsidRPr="00AB093D">
        <w:rPr>
          <w:rFonts w:ascii="Times New Roman" w:eastAsiaTheme="minorHAnsi" w:hAnsi="Times New Roman" w:cs="Times New Roman"/>
          <w:sz w:val="24"/>
          <w:szCs w:val="24"/>
          <w:lang w:val="en-US"/>
        </w:rPr>
        <w:t>in</w:t>
      </w:r>
      <w:proofErr w:type="gramEnd"/>
      <w:r w:rsidRPr="00AB093D">
        <w:rPr>
          <w:rFonts w:ascii="Times New Roman" w:eastAsiaTheme="minorHAnsi" w:hAnsi="Times New Roman" w:cs="Times New Roman"/>
          <w:sz w:val="24"/>
          <w:szCs w:val="24"/>
          <w:lang w:val="en-US"/>
        </w:rPr>
        <w:t xml:space="preserve"> Bulgarian)</w:t>
      </w:r>
    </w:p>
    <w:p w14:paraId="50D2C378" w14:textId="4CDA5A52" w:rsidR="008D727C" w:rsidRPr="00A510B3" w:rsidRDefault="008D727C" w:rsidP="00B46A7D">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A510B3">
        <w:rPr>
          <w:rFonts w:ascii="Times New Roman" w:eastAsia="Times New Roman" w:hAnsi="Times New Roman" w:cs="Times New Roman"/>
          <w:color w:val="000000"/>
          <w:sz w:val="24"/>
          <w:szCs w:val="24"/>
        </w:rPr>
        <w:t xml:space="preserve">Serrano, V., Tereso, A., Ribeiro, P., Brito, M. (2013) Standardization of Processes Applying CMMI Best Practices. In: Rocha, Á., Correia, A., Wilson, T., Stroetmann, K. (eds) </w:t>
      </w:r>
      <w:r w:rsidRPr="0067442A">
        <w:rPr>
          <w:rFonts w:ascii="Times New Roman" w:eastAsia="Times New Roman" w:hAnsi="Times New Roman" w:cs="Times New Roman"/>
          <w:i/>
          <w:iCs/>
          <w:color w:val="000000"/>
          <w:sz w:val="24"/>
          <w:szCs w:val="24"/>
        </w:rPr>
        <w:t>Advances in Information Systems and Technologies. Advances in Intelligent Systems and Computing</w:t>
      </w:r>
      <w:r w:rsidRPr="00A510B3">
        <w:rPr>
          <w:rFonts w:ascii="Times New Roman" w:eastAsia="Times New Roman" w:hAnsi="Times New Roman" w:cs="Times New Roman"/>
          <w:color w:val="000000"/>
          <w:sz w:val="24"/>
          <w:szCs w:val="24"/>
        </w:rPr>
        <w:t xml:space="preserve">, vol 206. Springer, Berlin, Heidelberg. </w:t>
      </w:r>
      <w:r w:rsidR="0067442A">
        <w:rPr>
          <w:rFonts w:ascii="Times New Roman" w:eastAsia="Times New Roman" w:hAnsi="Times New Roman" w:cs="Times New Roman"/>
          <w:color w:val="000000"/>
          <w:sz w:val="24"/>
          <w:szCs w:val="24"/>
          <w:lang w:val="en-US"/>
        </w:rPr>
        <w:t xml:space="preserve">DOI: </w:t>
      </w:r>
      <w:r w:rsidRPr="00A510B3">
        <w:rPr>
          <w:rFonts w:ascii="Times New Roman" w:eastAsia="Times New Roman" w:hAnsi="Times New Roman" w:cs="Times New Roman"/>
          <w:color w:val="000000"/>
          <w:sz w:val="24"/>
          <w:szCs w:val="24"/>
        </w:rPr>
        <w:t>10.1007/978-3-642-36981-0_42</w:t>
      </w:r>
      <w:r w:rsidR="0067442A">
        <w:rPr>
          <w:rFonts w:ascii="Times New Roman" w:eastAsia="Times New Roman" w:hAnsi="Times New Roman" w:cs="Times New Roman"/>
          <w:color w:val="000000"/>
          <w:sz w:val="24"/>
          <w:szCs w:val="24"/>
          <w:lang w:val="en-US"/>
        </w:rPr>
        <w:t>.</w:t>
      </w:r>
    </w:p>
    <w:p w14:paraId="40A1BFD7" w14:textId="77777777" w:rsidR="008D727C" w:rsidRPr="00A81860" w:rsidRDefault="008D727C" w:rsidP="00A81860">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Software Engineering Institute (</w:t>
      </w:r>
      <w:r w:rsidRPr="00A81860">
        <w:rPr>
          <w:rFonts w:ascii="Times New Roman" w:eastAsia="Times New Roman" w:hAnsi="Times New Roman" w:cs="Times New Roman"/>
          <w:color w:val="000000"/>
          <w:sz w:val="24"/>
          <w:szCs w:val="24"/>
        </w:rPr>
        <w:t>2006</w:t>
      </w:r>
      <w:r>
        <w:rPr>
          <w:rFonts w:ascii="Times New Roman" w:eastAsia="Times New Roman" w:hAnsi="Times New Roman" w:cs="Times New Roman"/>
          <w:color w:val="000000"/>
          <w:sz w:val="24"/>
          <w:szCs w:val="24"/>
          <w:lang w:val="en-US"/>
        </w:rPr>
        <w:t xml:space="preserve">) </w:t>
      </w:r>
      <w:r w:rsidRPr="00C20726">
        <w:rPr>
          <w:rFonts w:ascii="Times New Roman" w:eastAsia="Times New Roman" w:hAnsi="Times New Roman" w:cs="Times New Roman"/>
          <w:i/>
          <w:iCs/>
          <w:color w:val="000000"/>
          <w:sz w:val="24"/>
          <w:szCs w:val="24"/>
        </w:rPr>
        <w:t>CMMI for Development</w:t>
      </w:r>
      <w:r w:rsidRPr="00A81860">
        <w:rPr>
          <w:rFonts w:ascii="Times New Roman" w:eastAsia="Times New Roman" w:hAnsi="Times New Roman" w:cs="Times New Roman"/>
          <w:color w:val="000000"/>
          <w:sz w:val="24"/>
          <w:szCs w:val="24"/>
        </w:rPr>
        <w:t>, Version 1.2 CMMI-DEV, V1.2 CMU/SEI-2006-TR-008 ESC-TR-2006-008 Improving processes for better products</w:t>
      </w:r>
      <w:r>
        <w:rPr>
          <w:rFonts w:ascii="Times New Roman" w:eastAsia="Times New Roman" w:hAnsi="Times New Roman" w:cs="Times New Roman"/>
          <w:color w:val="000000"/>
          <w:sz w:val="24"/>
          <w:szCs w:val="24"/>
          <w:lang w:val="en-US"/>
        </w:rPr>
        <w:t xml:space="preserve">. </w:t>
      </w:r>
      <w:r w:rsidRPr="00A81860">
        <w:rPr>
          <w:rFonts w:ascii="Times New Roman" w:eastAsia="Times New Roman" w:hAnsi="Times New Roman" w:cs="Times New Roman"/>
          <w:color w:val="000000"/>
          <w:sz w:val="24"/>
          <w:szCs w:val="24"/>
        </w:rPr>
        <w:t>Carnegie Mellon University.</w:t>
      </w:r>
    </w:p>
    <w:p w14:paraId="18496E81" w14:textId="77777777" w:rsidR="008D727C" w:rsidRPr="008D727C" w:rsidRDefault="008D727C" w:rsidP="008D727C">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8D727C">
        <w:rPr>
          <w:rFonts w:ascii="Times New Roman" w:eastAsia="Times New Roman" w:hAnsi="Times New Roman" w:cs="Times New Roman"/>
          <w:sz w:val="24"/>
          <w:szCs w:val="24"/>
        </w:rPr>
        <w:t xml:space="preserve">Stamenova, S. (2021) Predizvikatelstva i podhodi za upravlenie na choveshkite resursi v softuernia biznes. </w:t>
      </w:r>
      <w:r w:rsidRPr="008D727C">
        <w:rPr>
          <w:rFonts w:ascii="Times New Roman" w:eastAsia="Times New Roman" w:hAnsi="Times New Roman" w:cs="Times New Roman"/>
          <w:i/>
          <w:iCs/>
          <w:sz w:val="24"/>
          <w:szCs w:val="24"/>
        </w:rPr>
        <w:t>Upravlenie na choveshkite resursi</w:t>
      </w:r>
      <w:r w:rsidRPr="008D727C">
        <w:rPr>
          <w:rFonts w:ascii="Times New Roman" w:eastAsia="Times New Roman" w:hAnsi="Times New Roman" w:cs="Times New Roman"/>
          <w:sz w:val="24"/>
          <w:szCs w:val="24"/>
        </w:rPr>
        <w:t>. Izdatelstvo „Nauka i ikonomika” Ikonomicheski universitet – Varna</w:t>
      </w:r>
      <w:r>
        <w:rPr>
          <w:rFonts w:ascii="Times New Roman" w:eastAsia="Times New Roman" w:hAnsi="Times New Roman" w:cs="Times New Roman"/>
          <w:sz w:val="24"/>
          <w:szCs w:val="24"/>
          <w:lang w:val="en-US"/>
        </w:rPr>
        <w:t xml:space="preserve">. s. 163-179. </w:t>
      </w:r>
      <w:r w:rsidRPr="00AB093D">
        <w:rPr>
          <w:rFonts w:ascii="Times New Roman" w:eastAsiaTheme="minorHAnsi" w:hAnsi="Times New Roman" w:cs="Times New Roman"/>
          <w:sz w:val="24"/>
          <w:szCs w:val="24"/>
          <w:lang w:val="en-US"/>
        </w:rPr>
        <w:t>(</w:t>
      </w:r>
      <w:proofErr w:type="gramStart"/>
      <w:r w:rsidRPr="00AB093D">
        <w:rPr>
          <w:rFonts w:ascii="Times New Roman" w:eastAsiaTheme="minorHAnsi" w:hAnsi="Times New Roman" w:cs="Times New Roman"/>
          <w:sz w:val="24"/>
          <w:szCs w:val="24"/>
          <w:lang w:val="en-US"/>
        </w:rPr>
        <w:t>in</w:t>
      </w:r>
      <w:proofErr w:type="gramEnd"/>
      <w:r w:rsidRPr="00AB093D">
        <w:rPr>
          <w:rFonts w:ascii="Times New Roman" w:eastAsiaTheme="minorHAnsi" w:hAnsi="Times New Roman" w:cs="Times New Roman"/>
          <w:sz w:val="24"/>
          <w:szCs w:val="24"/>
          <w:lang w:val="en-US"/>
        </w:rPr>
        <w:t xml:space="preserve"> Bulgarian)</w:t>
      </w:r>
    </w:p>
    <w:p w14:paraId="542104B5" w14:textId="5DD2B69A" w:rsidR="008D727C" w:rsidRPr="00C20726" w:rsidRDefault="008D727C" w:rsidP="00C20726">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color w:val="000000"/>
          <w:sz w:val="24"/>
          <w:szCs w:val="24"/>
        </w:rPr>
      </w:pPr>
      <w:r w:rsidRPr="006A29AB">
        <w:rPr>
          <w:rFonts w:ascii="Times New Roman" w:eastAsia="Times New Roman" w:hAnsi="Times New Roman" w:cs="Times New Roman"/>
          <w:color w:val="000000"/>
          <w:sz w:val="24"/>
          <w:szCs w:val="24"/>
        </w:rPr>
        <w:t>Tarnowski</w:t>
      </w:r>
      <w:r>
        <w:rPr>
          <w:rFonts w:ascii="Times New Roman" w:eastAsia="Times New Roman" w:hAnsi="Times New Roman" w:cs="Times New Roman"/>
          <w:color w:val="000000"/>
          <w:sz w:val="24"/>
          <w:szCs w:val="24"/>
          <w:lang w:val="en-US"/>
        </w:rPr>
        <w:t>, M. (2014)</w:t>
      </w:r>
      <w:r w:rsidRPr="006A29AB">
        <w:rPr>
          <w:rFonts w:ascii="Times New Roman" w:eastAsia="Times New Roman" w:hAnsi="Times New Roman" w:cs="Times New Roman"/>
          <w:color w:val="000000"/>
          <w:sz w:val="24"/>
          <w:szCs w:val="24"/>
        </w:rPr>
        <w:t xml:space="preserve"> </w:t>
      </w:r>
      <w:r w:rsidRPr="00C20726">
        <w:rPr>
          <w:rFonts w:ascii="Times New Roman" w:eastAsia="Times New Roman" w:hAnsi="Times New Roman" w:cs="Times New Roman"/>
          <w:i/>
          <w:iCs/>
          <w:color w:val="000000"/>
          <w:sz w:val="24"/>
          <w:szCs w:val="24"/>
        </w:rPr>
        <w:t>Plays-In-Business</w:t>
      </w:r>
      <w:r w:rsidRPr="00C20726">
        <w:rPr>
          <w:rFonts w:ascii="Times New Roman" w:eastAsia="Times New Roman" w:hAnsi="Times New Roman" w:cs="Times New Roman"/>
          <w:i/>
          <w:iCs/>
          <w:sz w:val="24"/>
          <w:szCs w:val="24"/>
        </w:rPr>
        <w:t xml:space="preserve"> </w:t>
      </w:r>
      <w:r w:rsidRPr="00C20726">
        <w:rPr>
          <w:rFonts w:ascii="Times New Roman" w:eastAsia="Times New Roman" w:hAnsi="Times New Roman" w:cs="Times New Roman"/>
          <w:i/>
          <w:iCs/>
          <w:color w:val="000000"/>
          <w:sz w:val="24"/>
          <w:szCs w:val="24"/>
        </w:rPr>
        <w:t xml:space="preserve">People Capability Maturity Model </w:t>
      </w:r>
      <w:r w:rsidR="00C20726">
        <w:rPr>
          <w:rFonts w:ascii="Times New Roman" w:eastAsia="Times New Roman" w:hAnsi="Times New Roman" w:cs="Times New Roman"/>
          <w:i/>
          <w:iCs/>
          <w:color w:val="000000"/>
          <w:sz w:val="24"/>
          <w:szCs w:val="24"/>
          <w:lang w:val="en-US"/>
        </w:rPr>
        <w:t>–</w:t>
      </w:r>
      <w:r w:rsidRPr="00C20726">
        <w:rPr>
          <w:rFonts w:ascii="Times New Roman" w:eastAsia="Times New Roman" w:hAnsi="Times New Roman" w:cs="Times New Roman"/>
          <w:i/>
          <w:iCs/>
          <w:color w:val="000000"/>
          <w:sz w:val="24"/>
          <w:szCs w:val="24"/>
        </w:rPr>
        <w:t xml:space="preserve"> P-CMM</w:t>
      </w:r>
      <w:r w:rsidRPr="00C20726">
        <w:rPr>
          <w:rFonts w:ascii="Times New Roman" w:eastAsia="Times New Roman" w:hAnsi="Times New Roman" w:cs="Times New Roman"/>
          <w:i/>
          <w:iCs/>
          <w:color w:val="000000"/>
          <w:sz w:val="24"/>
          <w:szCs w:val="24"/>
          <w:lang w:val="en-US"/>
        </w:rPr>
        <w:t xml:space="preserve"> </w:t>
      </w:r>
      <w:r w:rsidRPr="00C20726">
        <w:rPr>
          <w:rFonts w:ascii="Times New Roman" w:eastAsia="Times New Roman" w:hAnsi="Times New Roman" w:cs="Times New Roman"/>
          <w:i/>
          <w:iCs/>
          <w:color w:val="000000"/>
          <w:sz w:val="24"/>
          <w:szCs w:val="24"/>
        </w:rPr>
        <w:t>Plays-In-Business</w:t>
      </w:r>
      <w:r w:rsidRPr="00C20726">
        <w:rPr>
          <w:rFonts w:ascii="Times New Roman" w:eastAsia="Times New Roman" w:hAnsi="Times New Roman" w:cs="Times New Roman"/>
          <w:color w:val="000000"/>
          <w:sz w:val="24"/>
          <w:szCs w:val="24"/>
        </w:rPr>
        <w:t xml:space="preserve"> </w:t>
      </w:r>
      <w:r w:rsidRPr="00C20726">
        <w:rPr>
          <w:rFonts w:ascii="Times New Roman" w:eastAsia="Times New Roman" w:hAnsi="Times New Roman" w:cs="Times New Roman"/>
          <w:color w:val="000000"/>
          <w:sz w:val="24"/>
          <w:szCs w:val="24"/>
          <w:lang w:val="en-US"/>
        </w:rPr>
        <w:t xml:space="preserve">[Online]. </w:t>
      </w:r>
      <w:r w:rsidRPr="00C20726">
        <w:rPr>
          <w:rFonts w:ascii="Times New Roman" w:eastAsia="Times New Roman" w:hAnsi="Times New Roman" w:cs="Times New Roman"/>
          <w:color w:val="000000"/>
          <w:sz w:val="24"/>
          <w:szCs w:val="24"/>
        </w:rPr>
        <w:t xml:space="preserve">Available at: https://www.plays-in-business.com/people-capability-maturity-model-p-cmm/ </w:t>
      </w:r>
      <w:r w:rsidRPr="00C20726">
        <w:rPr>
          <w:rFonts w:ascii="Times New Roman" w:eastAsia="Times New Roman" w:hAnsi="Times New Roman" w:cs="Times New Roman"/>
          <w:color w:val="000000"/>
          <w:sz w:val="24"/>
          <w:szCs w:val="24"/>
          <w:lang w:val="en-US"/>
        </w:rPr>
        <w:t>[</w:t>
      </w:r>
      <w:r w:rsidRPr="00C20726">
        <w:rPr>
          <w:rFonts w:ascii="Times New Roman" w:eastAsia="Times New Roman" w:hAnsi="Times New Roman" w:cs="Times New Roman"/>
          <w:color w:val="000000"/>
          <w:sz w:val="24"/>
          <w:szCs w:val="24"/>
        </w:rPr>
        <w:t xml:space="preserve">Accessed: </w:t>
      </w:r>
      <w:r w:rsidRPr="00C20726">
        <w:rPr>
          <w:rFonts w:ascii="Times New Roman" w:eastAsia="Times New Roman" w:hAnsi="Times New Roman" w:cs="Times New Roman"/>
          <w:color w:val="000000"/>
          <w:sz w:val="24"/>
          <w:szCs w:val="24"/>
          <w:lang w:val="en-US"/>
        </w:rPr>
        <w:t>20</w:t>
      </w:r>
      <w:r w:rsidRPr="00C20726">
        <w:rPr>
          <w:rFonts w:ascii="Times New Roman" w:eastAsia="Times New Roman" w:hAnsi="Times New Roman" w:cs="Times New Roman"/>
          <w:color w:val="000000"/>
          <w:sz w:val="24"/>
          <w:szCs w:val="24"/>
        </w:rPr>
        <w:t xml:space="preserve"> June 2022</w:t>
      </w:r>
      <w:r w:rsidRPr="00C20726">
        <w:rPr>
          <w:rFonts w:ascii="Times New Roman" w:eastAsia="Times New Roman" w:hAnsi="Times New Roman" w:cs="Times New Roman"/>
          <w:color w:val="000000"/>
          <w:sz w:val="24"/>
          <w:szCs w:val="24"/>
          <w:lang w:val="en-US"/>
        </w:rPr>
        <w:t>]</w:t>
      </w:r>
      <w:r w:rsidRPr="00C20726">
        <w:rPr>
          <w:rFonts w:ascii="Times New Roman" w:eastAsia="Times New Roman" w:hAnsi="Times New Roman" w:cs="Times New Roman"/>
          <w:color w:val="000000"/>
          <w:sz w:val="24"/>
          <w:szCs w:val="24"/>
        </w:rPr>
        <w:t>.</w:t>
      </w:r>
    </w:p>
    <w:p w14:paraId="11BE764A" w14:textId="3F86B03C" w:rsidR="008D727C" w:rsidRPr="00C20726" w:rsidRDefault="008D727C" w:rsidP="00C20726">
      <w:pPr>
        <w:numPr>
          <w:ilvl w:val="0"/>
          <w:numId w:val="6"/>
        </w:numPr>
        <w:pBdr>
          <w:top w:val="nil"/>
          <w:left w:val="nil"/>
          <w:bottom w:val="nil"/>
          <w:right w:val="nil"/>
          <w:between w:val="nil"/>
        </w:pBdr>
        <w:tabs>
          <w:tab w:val="left" w:pos="1134"/>
        </w:tabs>
        <w:spacing w:after="0" w:line="360" w:lineRule="auto"/>
        <w:ind w:left="1069"/>
        <w:jc w:val="both"/>
        <w:rPr>
          <w:rFonts w:ascii="Times New Roman" w:eastAsia="Times New Roman" w:hAnsi="Times New Roman" w:cs="Times New Roman"/>
          <w:sz w:val="24"/>
          <w:szCs w:val="24"/>
          <w:lang w:eastAsia="en-GB"/>
        </w:rPr>
      </w:pPr>
      <w:bookmarkStart w:id="4" w:name="_Hlk108209579"/>
      <w:r w:rsidRPr="00A81860">
        <w:rPr>
          <w:rFonts w:ascii="Times New Roman" w:eastAsia="Times New Roman" w:hAnsi="Times New Roman" w:cs="Times New Roman"/>
          <w:color w:val="000000"/>
          <w:sz w:val="24"/>
          <w:szCs w:val="24"/>
        </w:rPr>
        <w:t>Turetken</w:t>
      </w:r>
      <w:bookmarkEnd w:id="4"/>
      <w:r w:rsidRPr="00A81860">
        <w:rPr>
          <w:rFonts w:ascii="Times New Roman" w:eastAsia="Times New Roman" w:hAnsi="Times New Roman" w:cs="Times New Roman"/>
          <w:color w:val="000000"/>
          <w:sz w:val="24"/>
          <w:szCs w:val="24"/>
        </w:rPr>
        <w:t xml:space="preserve">, О. </w:t>
      </w:r>
      <w:r w:rsidRPr="00A81860">
        <w:rPr>
          <w:rFonts w:ascii="Times New Roman" w:eastAsia="Times New Roman" w:hAnsi="Times New Roman" w:cs="Times New Roman"/>
          <w:sz w:val="24"/>
          <w:szCs w:val="24"/>
        </w:rPr>
        <w:t>(2004)</w:t>
      </w:r>
      <w:r w:rsidRPr="00A81860">
        <w:rPr>
          <w:rFonts w:ascii="Times New Roman" w:eastAsia="Times New Roman" w:hAnsi="Times New Roman" w:cs="Times New Roman"/>
          <w:color w:val="000000"/>
          <w:sz w:val="24"/>
          <w:szCs w:val="24"/>
        </w:rPr>
        <w:t xml:space="preserve"> People Capability Maturity Model and Human Resource Management Systems: Do they benefit each other?</w:t>
      </w:r>
      <w:r w:rsidRPr="00A81860">
        <w:rPr>
          <w:rFonts w:ascii="Times New Roman" w:eastAsia="Times New Roman" w:hAnsi="Times New Roman" w:cs="Times New Roman"/>
          <w:sz w:val="24"/>
          <w:szCs w:val="24"/>
        </w:rPr>
        <w:t xml:space="preserve"> </w:t>
      </w:r>
      <w:r w:rsidRPr="00C20726">
        <w:rPr>
          <w:rFonts w:ascii="Times New Roman" w:eastAsia="Times New Roman" w:hAnsi="Times New Roman" w:cs="Times New Roman"/>
          <w:i/>
          <w:iCs/>
          <w:color w:val="000000"/>
          <w:sz w:val="24"/>
          <w:szCs w:val="24"/>
        </w:rPr>
        <w:t>Human Systems Management</w:t>
      </w:r>
      <w:r w:rsidRPr="00A81860">
        <w:rPr>
          <w:rFonts w:ascii="Times New Roman" w:eastAsia="Times New Roman" w:hAnsi="Times New Roman" w:cs="Times New Roman"/>
          <w:color w:val="000000"/>
          <w:sz w:val="24"/>
          <w:szCs w:val="24"/>
        </w:rPr>
        <w:t xml:space="preserve"> </w:t>
      </w:r>
      <w:r w:rsidR="00C20726" w:rsidRPr="00C20726">
        <w:rPr>
          <w:rFonts w:ascii="Times New Roman" w:eastAsia="Times New Roman" w:hAnsi="Times New Roman" w:cs="Times New Roman"/>
          <w:color w:val="000000"/>
          <w:sz w:val="24"/>
          <w:szCs w:val="24"/>
        </w:rPr>
        <w:t xml:space="preserve">Vol. </w:t>
      </w:r>
      <w:r w:rsidR="00C20726" w:rsidRPr="00A81860">
        <w:rPr>
          <w:rFonts w:ascii="Times New Roman" w:eastAsia="Times New Roman" w:hAnsi="Times New Roman" w:cs="Times New Roman"/>
          <w:color w:val="000000"/>
          <w:sz w:val="24"/>
          <w:szCs w:val="24"/>
        </w:rPr>
        <w:t>23</w:t>
      </w:r>
      <w:r w:rsidR="00C20726" w:rsidRPr="00C20726">
        <w:rPr>
          <w:rFonts w:ascii="Times New Roman" w:eastAsia="Times New Roman" w:hAnsi="Times New Roman" w:cs="Times New Roman"/>
          <w:color w:val="000000"/>
          <w:sz w:val="24"/>
          <w:szCs w:val="24"/>
        </w:rPr>
        <w:t>, No 3, pp. 179-190.</w:t>
      </w:r>
    </w:p>
    <w:sectPr w:rsidR="008D727C" w:rsidRPr="00C20726">
      <w:pgSz w:w="11906" w:h="16838"/>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45C9"/>
    <w:multiLevelType w:val="multilevel"/>
    <w:tmpl w:val="EE96B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07712"/>
    <w:multiLevelType w:val="multilevel"/>
    <w:tmpl w:val="8E8E7D7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15:restartNumberingAfterBreak="0">
    <w:nsid w:val="2E621595"/>
    <w:multiLevelType w:val="multilevel"/>
    <w:tmpl w:val="734E161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15:restartNumberingAfterBreak="0">
    <w:nsid w:val="2EF8106A"/>
    <w:multiLevelType w:val="multilevel"/>
    <w:tmpl w:val="B3AC5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34782F"/>
    <w:multiLevelType w:val="hybridMultilevel"/>
    <w:tmpl w:val="B4C8E9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506C75FC"/>
    <w:multiLevelType w:val="multilevel"/>
    <w:tmpl w:val="50E82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C825FE"/>
    <w:multiLevelType w:val="hybridMultilevel"/>
    <w:tmpl w:val="DAC655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CAF73AA"/>
    <w:multiLevelType w:val="multilevel"/>
    <w:tmpl w:val="3D600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EF7AC7"/>
    <w:multiLevelType w:val="hybridMultilevel"/>
    <w:tmpl w:val="E43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1711295">
    <w:abstractNumId w:val="3"/>
  </w:num>
  <w:num w:numId="2" w16cid:durableId="346519885">
    <w:abstractNumId w:val="0"/>
  </w:num>
  <w:num w:numId="3" w16cid:durableId="1558398785">
    <w:abstractNumId w:val="5"/>
  </w:num>
  <w:num w:numId="4" w16cid:durableId="1297223628">
    <w:abstractNumId w:val="7"/>
  </w:num>
  <w:num w:numId="5" w16cid:durableId="308172761">
    <w:abstractNumId w:val="1"/>
  </w:num>
  <w:num w:numId="6" w16cid:durableId="1584031117">
    <w:abstractNumId w:val="2"/>
  </w:num>
  <w:num w:numId="7" w16cid:durableId="1024139375">
    <w:abstractNumId w:val="6"/>
  </w:num>
  <w:num w:numId="8" w16cid:durableId="1250963987">
    <w:abstractNumId w:val="4"/>
  </w:num>
  <w:num w:numId="9" w16cid:durableId="1082332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1BB"/>
    <w:rsid w:val="00004274"/>
    <w:rsid w:val="00007E2F"/>
    <w:rsid w:val="00053B62"/>
    <w:rsid w:val="00061E16"/>
    <w:rsid w:val="00070809"/>
    <w:rsid w:val="00086123"/>
    <w:rsid w:val="000A55C3"/>
    <w:rsid w:val="000B2052"/>
    <w:rsid w:val="000C05C5"/>
    <w:rsid w:val="000C38F3"/>
    <w:rsid w:val="00101124"/>
    <w:rsid w:val="00111BE5"/>
    <w:rsid w:val="00112383"/>
    <w:rsid w:val="00114F56"/>
    <w:rsid w:val="00116B5E"/>
    <w:rsid w:val="001602BF"/>
    <w:rsid w:val="00162850"/>
    <w:rsid w:val="001750D0"/>
    <w:rsid w:val="00191771"/>
    <w:rsid w:val="001A049B"/>
    <w:rsid w:val="001B50F7"/>
    <w:rsid w:val="001D25A2"/>
    <w:rsid w:val="001E7ED4"/>
    <w:rsid w:val="00202324"/>
    <w:rsid w:val="0022094B"/>
    <w:rsid w:val="00226893"/>
    <w:rsid w:val="00230EA7"/>
    <w:rsid w:val="002442B7"/>
    <w:rsid w:val="00250795"/>
    <w:rsid w:val="00276EC1"/>
    <w:rsid w:val="002B1A86"/>
    <w:rsid w:val="002C3B93"/>
    <w:rsid w:val="002D0D9C"/>
    <w:rsid w:val="00350D21"/>
    <w:rsid w:val="0035419B"/>
    <w:rsid w:val="00363694"/>
    <w:rsid w:val="00385CB9"/>
    <w:rsid w:val="003B4440"/>
    <w:rsid w:val="003E64E1"/>
    <w:rsid w:val="003F6917"/>
    <w:rsid w:val="004027CC"/>
    <w:rsid w:val="00403310"/>
    <w:rsid w:val="0041034E"/>
    <w:rsid w:val="00415D6C"/>
    <w:rsid w:val="00421ACA"/>
    <w:rsid w:val="0042546E"/>
    <w:rsid w:val="004347AA"/>
    <w:rsid w:val="00437A46"/>
    <w:rsid w:val="004451E3"/>
    <w:rsid w:val="004477E7"/>
    <w:rsid w:val="00457295"/>
    <w:rsid w:val="00475309"/>
    <w:rsid w:val="00482AC1"/>
    <w:rsid w:val="004A779E"/>
    <w:rsid w:val="004C0FB9"/>
    <w:rsid w:val="004C41EA"/>
    <w:rsid w:val="004D6C1A"/>
    <w:rsid w:val="004E43B4"/>
    <w:rsid w:val="00515A86"/>
    <w:rsid w:val="005201BB"/>
    <w:rsid w:val="00557D1C"/>
    <w:rsid w:val="00561BE2"/>
    <w:rsid w:val="005A79EE"/>
    <w:rsid w:val="005A7EDB"/>
    <w:rsid w:val="005B0249"/>
    <w:rsid w:val="005C05C4"/>
    <w:rsid w:val="005D30B5"/>
    <w:rsid w:val="005F09AB"/>
    <w:rsid w:val="005F1407"/>
    <w:rsid w:val="00603431"/>
    <w:rsid w:val="0060643E"/>
    <w:rsid w:val="00627E48"/>
    <w:rsid w:val="00633667"/>
    <w:rsid w:val="00644919"/>
    <w:rsid w:val="006507D3"/>
    <w:rsid w:val="00651C7E"/>
    <w:rsid w:val="00651E7B"/>
    <w:rsid w:val="00671813"/>
    <w:rsid w:val="00672018"/>
    <w:rsid w:val="0067442A"/>
    <w:rsid w:val="006746FB"/>
    <w:rsid w:val="0068216A"/>
    <w:rsid w:val="00683744"/>
    <w:rsid w:val="00686879"/>
    <w:rsid w:val="00691343"/>
    <w:rsid w:val="006A0492"/>
    <w:rsid w:val="006A29AB"/>
    <w:rsid w:val="006D46F2"/>
    <w:rsid w:val="007108E2"/>
    <w:rsid w:val="00724AEC"/>
    <w:rsid w:val="007350CD"/>
    <w:rsid w:val="007367B0"/>
    <w:rsid w:val="00781665"/>
    <w:rsid w:val="00796D93"/>
    <w:rsid w:val="007A08F6"/>
    <w:rsid w:val="007E344E"/>
    <w:rsid w:val="007F31BF"/>
    <w:rsid w:val="00833109"/>
    <w:rsid w:val="00852602"/>
    <w:rsid w:val="00857221"/>
    <w:rsid w:val="008646B8"/>
    <w:rsid w:val="008916FA"/>
    <w:rsid w:val="008A5239"/>
    <w:rsid w:val="008D727C"/>
    <w:rsid w:val="008E5539"/>
    <w:rsid w:val="008F12B2"/>
    <w:rsid w:val="008F4107"/>
    <w:rsid w:val="008F7BCB"/>
    <w:rsid w:val="00905DE2"/>
    <w:rsid w:val="00941FAA"/>
    <w:rsid w:val="009637EC"/>
    <w:rsid w:val="00967049"/>
    <w:rsid w:val="009A2A04"/>
    <w:rsid w:val="009A7E55"/>
    <w:rsid w:val="00A11315"/>
    <w:rsid w:val="00A1505E"/>
    <w:rsid w:val="00A15FF3"/>
    <w:rsid w:val="00A30682"/>
    <w:rsid w:val="00A510B3"/>
    <w:rsid w:val="00A51A4E"/>
    <w:rsid w:val="00A64057"/>
    <w:rsid w:val="00A674FC"/>
    <w:rsid w:val="00A7650A"/>
    <w:rsid w:val="00A81860"/>
    <w:rsid w:val="00A82841"/>
    <w:rsid w:val="00A82C96"/>
    <w:rsid w:val="00A86552"/>
    <w:rsid w:val="00AA54C5"/>
    <w:rsid w:val="00AB093D"/>
    <w:rsid w:val="00AC4185"/>
    <w:rsid w:val="00AE4538"/>
    <w:rsid w:val="00AF7695"/>
    <w:rsid w:val="00B072C8"/>
    <w:rsid w:val="00B075A2"/>
    <w:rsid w:val="00B46A7D"/>
    <w:rsid w:val="00B50D0E"/>
    <w:rsid w:val="00B63992"/>
    <w:rsid w:val="00B70AF8"/>
    <w:rsid w:val="00B77D22"/>
    <w:rsid w:val="00B867D8"/>
    <w:rsid w:val="00B87166"/>
    <w:rsid w:val="00B90433"/>
    <w:rsid w:val="00B90CB5"/>
    <w:rsid w:val="00BD1497"/>
    <w:rsid w:val="00BD7D53"/>
    <w:rsid w:val="00C034D8"/>
    <w:rsid w:val="00C13B72"/>
    <w:rsid w:val="00C20726"/>
    <w:rsid w:val="00C54617"/>
    <w:rsid w:val="00C76CDF"/>
    <w:rsid w:val="00C834B5"/>
    <w:rsid w:val="00C9177F"/>
    <w:rsid w:val="00CB7CF5"/>
    <w:rsid w:val="00CC03B5"/>
    <w:rsid w:val="00CC427F"/>
    <w:rsid w:val="00CC44F3"/>
    <w:rsid w:val="00CD10D5"/>
    <w:rsid w:val="00CD7F1C"/>
    <w:rsid w:val="00CE22F6"/>
    <w:rsid w:val="00D079CC"/>
    <w:rsid w:val="00D11DA0"/>
    <w:rsid w:val="00D12140"/>
    <w:rsid w:val="00D26C45"/>
    <w:rsid w:val="00D32520"/>
    <w:rsid w:val="00D418FC"/>
    <w:rsid w:val="00D428FB"/>
    <w:rsid w:val="00D53929"/>
    <w:rsid w:val="00D876B9"/>
    <w:rsid w:val="00D87A20"/>
    <w:rsid w:val="00DB08BB"/>
    <w:rsid w:val="00DB517C"/>
    <w:rsid w:val="00DE077B"/>
    <w:rsid w:val="00E6106D"/>
    <w:rsid w:val="00E82E90"/>
    <w:rsid w:val="00E90FCA"/>
    <w:rsid w:val="00EA05AE"/>
    <w:rsid w:val="00EA17AA"/>
    <w:rsid w:val="00EB70A1"/>
    <w:rsid w:val="00EC7BDE"/>
    <w:rsid w:val="00EE10A7"/>
    <w:rsid w:val="00EF2840"/>
    <w:rsid w:val="00EF3798"/>
    <w:rsid w:val="00F02DBE"/>
    <w:rsid w:val="00F073E0"/>
    <w:rsid w:val="00F262F6"/>
    <w:rsid w:val="00F3708A"/>
    <w:rsid w:val="00F47094"/>
    <w:rsid w:val="00F71C3E"/>
    <w:rsid w:val="00F73327"/>
    <w:rsid w:val="00F766F5"/>
    <w:rsid w:val="00FB5345"/>
    <w:rsid w:val="00FB6B01"/>
    <w:rsid w:val="00FD032E"/>
    <w:rsid w:val="00FD2F30"/>
    <w:rsid w:val="00FF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255E"/>
  <w15:docId w15:val="{F2E3C121-8481-4F43-B1C8-2812BCFC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A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rticle-Title">
    <w:name w:val="Article-Title"/>
    <w:basedOn w:val="Normal"/>
    <w:link w:val="Article-TitleChar"/>
    <w:qFormat/>
    <w:rsid w:val="00A963F3"/>
    <w:pPr>
      <w:spacing w:after="480" w:line="360" w:lineRule="auto"/>
      <w:jc w:val="center"/>
    </w:pPr>
    <w:rPr>
      <w:rFonts w:ascii="Times New Roman" w:hAnsi="Times New Roman" w:cs="Times New Roman"/>
      <w:b/>
      <w:caps/>
      <w:sz w:val="28"/>
      <w:szCs w:val="24"/>
    </w:rPr>
  </w:style>
  <w:style w:type="paragraph" w:styleId="ListParagraph">
    <w:name w:val="List Paragraph"/>
    <w:basedOn w:val="Normal"/>
    <w:link w:val="ListParagraphChar"/>
    <w:uiPriority w:val="34"/>
    <w:qFormat/>
    <w:rsid w:val="004A0669"/>
    <w:pPr>
      <w:ind w:left="720"/>
      <w:contextualSpacing/>
    </w:pPr>
  </w:style>
  <w:style w:type="character" w:customStyle="1" w:styleId="Article-TitleChar">
    <w:name w:val="Article-Title Char"/>
    <w:basedOn w:val="DefaultParagraphFont"/>
    <w:link w:val="Article-Title"/>
    <w:rsid w:val="00A963F3"/>
    <w:rPr>
      <w:rFonts w:ascii="Times New Roman" w:hAnsi="Times New Roman" w:cs="Times New Roman"/>
      <w:b/>
      <w:caps/>
      <w:sz w:val="28"/>
      <w:szCs w:val="24"/>
    </w:rPr>
  </w:style>
  <w:style w:type="paragraph" w:customStyle="1" w:styleId="Article-section-title">
    <w:name w:val="Article-section-title"/>
    <w:basedOn w:val="ListParagraph"/>
    <w:link w:val="Article-section-titleChar"/>
    <w:qFormat/>
    <w:rsid w:val="004A0669"/>
    <w:pPr>
      <w:tabs>
        <w:tab w:val="left" w:pos="1134"/>
      </w:tabs>
      <w:spacing w:after="0" w:line="360" w:lineRule="auto"/>
      <w:ind w:left="0"/>
      <w:jc w:val="both"/>
    </w:pPr>
    <w:rPr>
      <w:rFonts w:ascii="Times New Roman" w:hAnsi="Times New Roman" w:cs="Times New Roman"/>
      <w:b/>
      <w:bCs/>
      <w:sz w:val="24"/>
      <w:szCs w:val="24"/>
    </w:rPr>
  </w:style>
  <w:style w:type="paragraph" w:customStyle="1" w:styleId="Article-section-title-withoutNo">
    <w:name w:val="Article-section-title-withoutNo"/>
    <w:basedOn w:val="Article-section-title"/>
    <w:link w:val="Article-section-title-withoutNoChar"/>
    <w:qFormat/>
    <w:rsid w:val="003814D8"/>
    <w:pPr>
      <w:ind w:firstLine="709"/>
    </w:pPr>
  </w:style>
  <w:style w:type="character" w:customStyle="1" w:styleId="ListParagraphChar">
    <w:name w:val="List Paragraph Char"/>
    <w:basedOn w:val="DefaultParagraphFont"/>
    <w:link w:val="ListParagraph"/>
    <w:uiPriority w:val="34"/>
    <w:rsid w:val="004A0669"/>
  </w:style>
  <w:style w:type="character" w:customStyle="1" w:styleId="Article-section-titleChar">
    <w:name w:val="Article-section-title Char"/>
    <w:basedOn w:val="ListParagraphChar"/>
    <w:link w:val="Article-section-title"/>
    <w:rsid w:val="004A0669"/>
    <w:rPr>
      <w:rFonts w:ascii="Times New Roman" w:hAnsi="Times New Roman" w:cs="Times New Roman"/>
      <w:b/>
      <w:bCs/>
      <w:sz w:val="24"/>
      <w:szCs w:val="24"/>
    </w:rPr>
  </w:style>
  <w:style w:type="paragraph" w:customStyle="1" w:styleId="Article-BodyText">
    <w:name w:val="Article-BodyText"/>
    <w:basedOn w:val="Normal"/>
    <w:link w:val="Article-BodyTextChar"/>
    <w:qFormat/>
    <w:rsid w:val="003814D8"/>
    <w:pPr>
      <w:spacing w:after="0" w:line="360" w:lineRule="auto"/>
      <w:ind w:firstLine="709"/>
      <w:jc w:val="both"/>
    </w:pPr>
    <w:rPr>
      <w:rFonts w:ascii="Times New Roman" w:hAnsi="Times New Roman" w:cs="Times New Roman"/>
      <w:sz w:val="24"/>
      <w:szCs w:val="24"/>
    </w:rPr>
  </w:style>
  <w:style w:type="character" w:customStyle="1" w:styleId="Article-section-title-withoutNoChar">
    <w:name w:val="Article-section-title-withoutNo Char"/>
    <w:basedOn w:val="Article-section-titleChar"/>
    <w:link w:val="Article-section-title-withoutNo"/>
    <w:rsid w:val="003814D8"/>
    <w:rPr>
      <w:rFonts w:ascii="Times New Roman" w:hAnsi="Times New Roman" w:cs="Times New Roman"/>
      <w:b/>
      <w:bCs/>
      <w:sz w:val="24"/>
      <w:szCs w:val="24"/>
    </w:rPr>
  </w:style>
  <w:style w:type="paragraph" w:customStyle="1" w:styleId="Article-figure-title">
    <w:name w:val="Article-figure-title"/>
    <w:basedOn w:val="Normal"/>
    <w:link w:val="Article-figure-titleChar"/>
    <w:qFormat/>
    <w:rsid w:val="00D24E57"/>
    <w:pPr>
      <w:spacing w:after="0" w:line="360" w:lineRule="auto"/>
      <w:jc w:val="center"/>
    </w:pPr>
    <w:rPr>
      <w:rFonts w:ascii="Times New Roman" w:hAnsi="Times New Roman" w:cs="Times New Roman"/>
      <w:b/>
      <w:bCs/>
      <w:sz w:val="24"/>
      <w:szCs w:val="24"/>
    </w:rPr>
  </w:style>
  <w:style w:type="character" w:customStyle="1" w:styleId="Article-BodyTextChar">
    <w:name w:val="Article-BodyText Char"/>
    <w:basedOn w:val="DefaultParagraphFont"/>
    <w:link w:val="Article-BodyText"/>
    <w:rsid w:val="003814D8"/>
    <w:rPr>
      <w:rFonts w:ascii="Times New Roman" w:hAnsi="Times New Roman" w:cs="Times New Roman"/>
      <w:sz w:val="24"/>
      <w:szCs w:val="24"/>
    </w:rPr>
  </w:style>
  <w:style w:type="paragraph" w:customStyle="1" w:styleId="Article-table-title">
    <w:name w:val="Article-table-title"/>
    <w:basedOn w:val="Normal"/>
    <w:link w:val="Article-table-titleChar"/>
    <w:qFormat/>
    <w:rsid w:val="00732391"/>
    <w:pPr>
      <w:spacing w:after="0" w:line="360" w:lineRule="auto"/>
      <w:jc w:val="center"/>
    </w:pPr>
    <w:rPr>
      <w:rFonts w:ascii="Times New Roman" w:hAnsi="Times New Roman" w:cs="Times New Roman"/>
      <w:b/>
      <w:bCs/>
      <w:sz w:val="24"/>
      <w:szCs w:val="24"/>
    </w:rPr>
  </w:style>
  <w:style w:type="character" w:customStyle="1" w:styleId="Article-figure-titleChar">
    <w:name w:val="Article-figure-title Char"/>
    <w:basedOn w:val="DefaultParagraphFont"/>
    <w:link w:val="Article-figure-title"/>
    <w:rsid w:val="00D24E57"/>
    <w:rPr>
      <w:rFonts w:ascii="Times New Roman" w:hAnsi="Times New Roman" w:cs="Times New Roman"/>
      <w:b/>
      <w:bCs/>
      <w:sz w:val="24"/>
      <w:szCs w:val="24"/>
    </w:rPr>
  </w:style>
  <w:style w:type="paragraph" w:customStyle="1" w:styleId="Article-table-No">
    <w:name w:val="Article-table-No"/>
    <w:basedOn w:val="Normal"/>
    <w:link w:val="Article-table-NoChar"/>
    <w:qFormat/>
    <w:rsid w:val="00732391"/>
    <w:pPr>
      <w:spacing w:after="0" w:line="360" w:lineRule="auto"/>
      <w:jc w:val="right"/>
    </w:pPr>
    <w:rPr>
      <w:rFonts w:ascii="Times New Roman" w:hAnsi="Times New Roman" w:cs="Times New Roman"/>
      <w:b/>
      <w:bCs/>
      <w:sz w:val="24"/>
      <w:szCs w:val="24"/>
    </w:rPr>
  </w:style>
  <w:style w:type="character" w:customStyle="1" w:styleId="Article-table-titleChar">
    <w:name w:val="Article-table-title Char"/>
    <w:basedOn w:val="DefaultParagraphFont"/>
    <w:link w:val="Article-table-title"/>
    <w:rsid w:val="00732391"/>
    <w:rPr>
      <w:rFonts w:ascii="Times New Roman" w:hAnsi="Times New Roman" w:cs="Times New Roman"/>
      <w:b/>
      <w:bCs/>
      <w:sz w:val="24"/>
      <w:szCs w:val="24"/>
    </w:rPr>
  </w:style>
  <w:style w:type="character" w:styleId="Hyperlink">
    <w:name w:val="Hyperlink"/>
    <w:basedOn w:val="DefaultParagraphFont"/>
    <w:uiPriority w:val="99"/>
    <w:unhideWhenUsed/>
    <w:rsid w:val="009A6E1E"/>
    <w:rPr>
      <w:color w:val="0563C1" w:themeColor="hyperlink"/>
      <w:u w:val="single"/>
    </w:rPr>
  </w:style>
  <w:style w:type="character" w:customStyle="1" w:styleId="Article-table-NoChar">
    <w:name w:val="Article-table-No Char"/>
    <w:basedOn w:val="DefaultParagraphFont"/>
    <w:link w:val="Article-table-No"/>
    <w:rsid w:val="00732391"/>
    <w:rPr>
      <w:rFonts w:ascii="Times New Roman" w:hAnsi="Times New Roman" w:cs="Times New Roman"/>
      <w:b/>
      <w:bCs/>
      <w:sz w:val="24"/>
      <w:szCs w:val="24"/>
    </w:rPr>
  </w:style>
  <w:style w:type="character" w:customStyle="1" w:styleId="UnresolvedMention1">
    <w:name w:val="Unresolved Mention1"/>
    <w:basedOn w:val="DefaultParagraphFont"/>
    <w:uiPriority w:val="99"/>
    <w:semiHidden/>
    <w:unhideWhenUsed/>
    <w:rsid w:val="009A6E1E"/>
    <w:rPr>
      <w:color w:val="605E5C"/>
      <w:shd w:val="clear" w:color="auto" w:fill="E1DFDD"/>
    </w:rPr>
  </w:style>
  <w:style w:type="table" w:styleId="TableGrid">
    <w:name w:val="Table Grid"/>
    <w:basedOn w:val="TableNormal"/>
    <w:uiPriority w:val="39"/>
    <w:rsid w:val="00302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article-author-title">
    <w:name w:val="main-article-author-title"/>
    <w:basedOn w:val="DefaultParagraphFont"/>
    <w:rsid w:val="001D6A3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35419B"/>
    <w:rPr>
      <w:sz w:val="16"/>
      <w:szCs w:val="16"/>
    </w:rPr>
  </w:style>
  <w:style w:type="paragraph" w:styleId="CommentText">
    <w:name w:val="annotation text"/>
    <w:basedOn w:val="Normal"/>
    <w:link w:val="CommentTextChar"/>
    <w:uiPriority w:val="99"/>
    <w:semiHidden/>
    <w:unhideWhenUsed/>
    <w:rsid w:val="0035419B"/>
    <w:pPr>
      <w:spacing w:line="240" w:lineRule="auto"/>
    </w:pPr>
    <w:rPr>
      <w:sz w:val="20"/>
      <w:szCs w:val="20"/>
    </w:rPr>
  </w:style>
  <w:style w:type="character" w:customStyle="1" w:styleId="CommentTextChar">
    <w:name w:val="Comment Text Char"/>
    <w:basedOn w:val="DefaultParagraphFont"/>
    <w:link w:val="CommentText"/>
    <w:uiPriority w:val="99"/>
    <w:semiHidden/>
    <w:rsid w:val="0035419B"/>
    <w:rPr>
      <w:sz w:val="20"/>
      <w:szCs w:val="20"/>
    </w:rPr>
  </w:style>
  <w:style w:type="paragraph" w:styleId="CommentSubject">
    <w:name w:val="annotation subject"/>
    <w:basedOn w:val="CommentText"/>
    <w:next w:val="CommentText"/>
    <w:link w:val="CommentSubjectChar"/>
    <w:uiPriority w:val="99"/>
    <w:semiHidden/>
    <w:unhideWhenUsed/>
    <w:rsid w:val="0035419B"/>
    <w:rPr>
      <w:b/>
      <w:bCs/>
    </w:rPr>
  </w:style>
  <w:style w:type="character" w:customStyle="1" w:styleId="CommentSubjectChar">
    <w:name w:val="Comment Subject Char"/>
    <w:basedOn w:val="CommentTextChar"/>
    <w:link w:val="CommentSubject"/>
    <w:uiPriority w:val="99"/>
    <w:semiHidden/>
    <w:rsid w:val="0035419B"/>
    <w:rPr>
      <w:b/>
      <w:bCs/>
      <w:sz w:val="20"/>
      <w:szCs w:val="20"/>
    </w:rPr>
  </w:style>
  <w:style w:type="paragraph" w:customStyle="1" w:styleId="Style1">
    <w:name w:val="Style1"/>
    <w:basedOn w:val="Normal"/>
    <w:link w:val="Style1Char"/>
    <w:qFormat/>
    <w:rsid w:val="00627E48"/>
    <w:pPr>
      <w:spacing w:after="0" w:line="360" w:lineRule="auto"/>
      <w:jc w:val="center"/>
    </w:pPr>
    <w:rPr>
      <w:rFonts w:ascii="Times New Roman" w:eastAsia="Times New Roman" w:hAnsi="Times New Roman" w:cs="Times New Roman"/>
      <w:noProof/>
      <w:sz w:val="24"/>
      <w:szCs w:val="24"/>
    </w:rPr>
  </w:style>
  <w:style w:type="character" w:customStyle="1" w:styleId="Style1Char">
    <w:name w:val="Style1 Char"/>
    <w:basedOn w:val="DefaultParagraphFont"/>
    <w:link w:val="Style1"/>
    <w:rsid w:val="00627E48"/>
    <w:rPr>
      <w:rFonts w:ascii="Times New Roman" w:eastAsia="Times New Roman" w:hAnsi="Times New Roman" w:cs="Times New Roman"/>
      <w:noProof/>
      <w:sz w:val="24"/>
      <w:szCs w:val="24"/>
    </w:rPr>
  </w:style>
  <w:style w:type="paragraph" w:styleId="BalloonText">
    <w:name w:val="Balloon Text"/>
    <w:basedOn w:val="Normal"/>
    <w:link w:val="BalloonTextChar"/>
    <w:uiPriority w:val="99"/>
    <w:semiHidden/>
    <w:unhideWhenUsed/>
    <w:rsid w:val="00633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6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4674">
      <w:bodyDiv w:val="1"/>
      <w:marLeft w:val="0"/>
      <w:marRight w:val="0"/>
      <w:marTop w:val="0"/>
      <w:marBottom w:val="0"/>
      <w:divBdr>
        <w:top w:val="none" w:sz="0" w:space="0" w:color="auto"/>
        <w:left w:val="none" w:sz="0" w:space="0" w:color="auto"/>
        <w:bottom w:val="none" w:sz="0" w:space="0" w:color="auto"/>
        <w:right w:val="none" w:sz="0" w:space="0" w:color="auto"/>
      </w:divBdr>
    </w:div>
    <w:div w:id="602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yperlink" Target="https://www.softwaretestinggenius.com/introduction-to-cmm-and-cmmi/" TargetMode="Externa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hyperlink" Target="mailto:slavka.stamenova@ue-varna.bg"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EDEDC3-FCB5-4C05-828A-DC4AC3948C7D}" type="doc">
      <dgm:prSet loTypeId="urn:microsoft.com/office/officeart/2005/8/layout/hierarchy4" loCatId="hierarchy" qsTypeId="urn:microsoft.com/office/officeart/2005/8/quickstyle/simple3" qsCatId="simple" csTypeId="urn:microsoft.com/office/officeart/2005/8/colors/accent5_5" csCatId="accent5" phldr="1"/>
      <dgm:spPr/>
      <dgm:t>
        <a:bodyPr/>
        <a:lstStyle/>
        <a:p>
          <a:endParaRPr lang="en-US"/>
        </a:p>
      </dgm:t>
    </dgm:pt>
    <dgm:pt modelId="{CB6CECDF-84D9-4035-926E-899DDE282799}">
      <dgm:prSet phldrT="[Text]" custT="1"/>
      <dgm:spPr/>
      <dgm:t>
        <a:bodyPr/>
        <a:lstStyle/>
        <a:p>
          <a:r>
            <a:rPr lang="bg-BG" sz="1600"/>
            <a:t>Стратегически алтернативи за устойчиво управление</a:t>
          </a:r>
          <a:endParaRPr lang="en-US" sz="1600"/>
        </a:p>
      </dgm:t>
    </dgm:pt>
    <dgm:pt modelId="{F44BB18C-BD96-4823-8EAF-78C6B42A5442}" type="parTrans" cxnId="{BBA4AFB6-6A56-4920-ACAE-4185471C2CE7}">
      <dgm:prSet/>
      <dgm:spPr/>
      <dgm:t>
        <a:bodyPr/>
        <a:lstStyle/>
        <a:p>
          <a:endParaRPr lang="en-US"/>
        </a:p>
      </dgm:t>
    </dgm:pt>
    <dgm:pt modelId="{01EF760B-3975-4DE9-9705-994BD8E43FAD}" type="sibTrans" cxnId="{BBA4AFB6-6A56-4920-ACAE-4185471C2CE7}">
      <dgm:prSet/>
      <dgm:spPr/>
      <dgm:t>
        <a:bodyPr/>
        <a:lstStyle/>
        <a:p>
          <a:endParaRPr lang="en-US"/>
        </a:p>
      </dgm:t>
    </dgm:pt>
    <dgm:pt modelId="{689A116E-006B-4433-9C4F-819202CCE913}">
      <dgm:prSet phldrT="[Text]"/>
      <dgm:spPr/>
      <dgm:t>
        <a:bodyPr/>
        <a:lstStyle/>
        <a:p>
          <a:r>
            <a:rPr lang="bg-BG"/>
            <a:t>Усъвършенстване на заети лица чрез обучение</a:t>
          </a:r>
          <a:endParaRPr lang="en-US"/>
        </a:p>
      </dgm:t>
    </dgm:pt>
    <dgm:pt modelId="{012250BA-5D72-42BF-BFF7-FCD6B698C5B6}" type="parTrans" cxnId="{E0AD1B93-14B4-49E0-A27D-F9763871CACF}">
      <dgm:prSet/>
      <dgm:spPr/>
      <dgm:t>
        <a:bodyPr/>
        <a:lstStyle/>
        <a:p>
          <a:endParaRPr lang="en-US"/>
        </a:p>
      </dgm:t>
    </dgm:pt>
    <dgm:pt modelId="{29A70882-11A6-4354-A218-309C839DAF90}" type="sibTrans" cxnId="{E0AD1B93-14B4-49E0-A27D-F9763871CACF}">
      <dgm:prSet/>
      <dgm:spPr/>
      <dgm:t>
        <a:bodyPr/>
        <a:lstStyle/>
        <a:p>
          <a:endParaRPr lang="en-US"/>
        </a:p>
      </dgm:t>
    </dgm:pt>
    <dgm:pt modelId="{FDF887EE-E73F-4823-85A9-A78F51C2493D}">
      <dgm:prSet phldrT="[Text]"/>
      <dgm:spPr/>
      <dgm:t>
        <a:bodyPr/>
        <a:lstStyle/>
        <a:p>
          <a:r>
            <a:rPr lang="bg-BG"/>
            <a:t>Привличане и задържане на таланти</a:t>
          </a:r>
          <a:endParaRPr lang="en-US"/>
        </a:p>
      </dgm:t>
    </dgm:pt>
    <dgm:pt modelId="{91DB8308-22AC-4166-A028-82BA414585EB}" type="parTrans" cxnId="{148B1274-FC9C-4367-BD9F-AAFB6D5CAD7F}">
      <dgm:prSet/>
      <dgm:spPr/>
      <dgm:t>
        <a:bodyPr/>
        <a:lstStyle/>
        <a:p>
          <a:endParaRPr lang="en-US"/>
        </a:p>
      </dgm:t>
    </dgm:pt>
    <dgm:pt modelId="{90F7D1B3-7A85-4F43-8E5B-2BBEB2E10491}" type="sibTrans" cxnId="{148B1274-FC9C-4367-BD9F-AAFB6D5CAD7F}">
      <dgm:prSet/>
      <dgm:spPr/>
      <dgm:t>
        <a:bodyPr/>
        <a:lstStyle/>
        <a:p>
          <a:endParaRPr lang="en-US"/>
        </a:p>
      </dgm:t>
    </dgm:pt>
    <dgm:pt modelId="{0EE1DB01-AC4F-4A73-87FD-73A9402914A3}">
      <dgm:prSet phldrT="[Text]"/>
      <dgm:spPr/>
      <dgm:t>
        <a:bodyPr/>
        <a:lstStyle/>
        <a:p>
          <a:r>
            <a:rPr lang="bg-BG"/>
            <a:t>Управление на ангажираността на служителите</a:t>
          </a:r>
          <a:endParaRPr lang="en-US"/>
        </a:p>
      </dgm:t>
    </dgm:pt>
    <dgm:pt modelId="{6022382A-858C-4F59-885B-9136F6A8CEEA}" type="parTrans" cxnId="{B42208CB-8A5C-4A46-8A80-75A5C3676950}">
      <dgm:prSet/>
      <dgm:spPr/>
      <dgm:t>
        <a:bodyPr/>
        <a:lstStyle/>
        <a:p>
          <a:endParaRPr lang="en-US"/>
        </a:p>
      </dgm:t>
    </dgm:pt>
    <dgm:pt modelId="{02EFD9E7-62B4-4FC3-B6CF-C5D6DD05FD9F}" type="sibTrans" cxnId="{B42208CB-8A5C-4A46-8A80-75A5C3676950}">
      <dgm:prSet/>
      <dgm:spPr/>
      <dgm:t>
        <a:bodyPr/>
        <a:lstStyle/>
        <a:p>
          <a:endParaRPr lang="en-US"/>
        </a:p>
      </dgm:t>
    </dgm:pt>
    <dgm:pt modelId="{FBF5ACA1-E47C-43A2-A280-54454158A7BD}">
      <dgm:prSet phldrT="[Text]"/>
      <dgm:spPr/>
      <dgm:t>
        <a:bodyPr/>
        <a:lstStyle/>
        <a:p>
          <a:r>
            <a:rPr lang="bg-BG"/>
            <a:t>Промяна в разбиранията за лидерство</a:t>
          </a:r>
          <a:endParaRPr lang="en-US"/>
        </a:p>
      </dgm:t>
    </dgm:pt>
    <dgm:pt modelId="{BF37E80E-3558-4A5F-AD91-49233A1242FE}" type="parTrans" cxnId="{2290F9E1-C216-4C0E-86B4-E1BC56795202}">
      <dgm:prSet/>
      <dgm:spPr/>
      <dgm:t>
        <a:bodyPr/>
        <a:lstStyle/>
        <a:p>
          <a:endParaRPr lang="en-US"/>
        </a:p>
      </dgm:t>
    </dgm:pt>
    <dgm:pt modelId="{66EC48AD-EA58-4F25-BED9-4F2819855057}" type="sibTrans" cxnId="{2290F9E1-C216-4C0E-86B4-E1BC56795202}">
      <dgm:prSet/>
      <dgm:spPr/>
      <dgm:t>
        <a:bodyPr/>
        <a:lstStyle/>
        <a:p>
          <a:endParaRPr lang="en-US"/>
        </a:p>
      </dgm:t>
    </dgm:pt>
    <dgm:pt modelId="{64D0B780-E449-4042-BC04-80270C00493E}" type="pres">
      <dgm:prSet presAssocID="{3AEDEDC3-FCB5-4C05-828A-DC4AC3948C7D}" presName="Name0" presStyleCnt="0">
        <dgm:presLayoutVars>
          <dgm:chPref val="1"/>
          <dgm:dir/>
          <dgm:animOne val="branch"/>
          <dgm:animLvl val="lvl"/>
          <dgm:resizeHandles/>
        </dgm:presLayoutVars>
      </dgm:prSet>
      <dgm:spPr/>
    </dgm:pt>
    <dgm:pt modelId="{2113CF55-4AD3-45C2-A8BB-462E96E4D668}" type="pres">
      <dgm:prSet presAssocID="{CB6CECDF-84D9-4035-926E-899DDE282799}" presName="vertOne" presStyleCnt="0"/>
      <dgm:spPr/>
    </dgm:pt>
    <dgm:pt modelId="{CEE8B833-1832-4A2B-B0C7-6A9938F092FA}" type="pres">
      <dgm:prSet presAssocID="{CB6CECDF-84D9-4035-926E-899DDE282799}" presName="txOne" presStyleLbl="node0" presStyleIdx="0" presStyleCnt="1" custScaleY="54547" custLinFactNeighborX="-9403" custLinFactNeighborY="-64175">
        <dgm:presLayoutVars>
          <dgm:chPref val="3"/>
        </dgm:presLayoutVars>
      </dgm:prSet>
      <dgm:spPr/>
    </dgm:pt>
    <dgm:pt modelId="{19A82555-34A7-4258-AA22-65F02F869B17}" type="pres">
      <dgm:prSet presAssocID="{CB6CECDF-84D9-4035-926E-899DDE282799}" presName="parTransOne" presStyleCnt="0"/>
      <dgm:spPr/>
    </dgm:pt>
    <dgm:pt modelId="{5170218D-4CBB-4FAB-AECB-8F8362AAFEED}" type="pres">
      <dgm:prSet presAssocID="{CB6CECDF-84D9-4035-926E-899DDE282799}" presName="horzOne" presStyleCnt="0"/>
      <dgm:spPr/>
    </dgm:pt>
    <dgm:pt modelId="{59CE89C3-E867-4948-970E-08621100C567}" type="pres">
      <dgm:prSet presAssocID="{689A116E-006B-4433-9C4F-819202CCE913}" presName="vertTwo" presStyleCnt="0"/>
      <dgm:spPr/>
    </dgm:pt>
    <dgm:pt modelId="{A4205A2A-711F-494D-B0DC-FADBE495503D}" type="pres">
      <dgm:prSet presAssocID="{689A116E-006B-4433-9C4F-819202CCE913}" presName="txTwo" presStyleLbl="node2" presStyleIdx="0" presStyleCnt="4">
        <dgm:presLayoutVars>
          <dgm:chPref val="3"/>
        </dgm:presLayoutVars>
      </dgm:prSet>
      <dgm:spPr/>
    </dgm:pt>
    <dgm:pt modelId="{F753EF83-ADCB-46E1-9D06-41DE34AEA5E0}" type="pres">
      <dgm:prSet presAssocID="{689A116E-006B-4433-9C4F-819202CCE913}" presName="horzTwo" presStyleCnt="0"/>
      <dgm:spPr/>
    </dgm:pt>
    <dgm:pt modelId="{4439BDEA-E2CD-42C0-9C7F-C9A6755E6A73}" type="pres">
      <dgm:prSet presAssocID="{29A70882-11A6-4354-A218-309C839DAF90}" presName="sibSpaceTwo" presStyleCnt="0"/>
      <dgm:spPr/>
    </dgm:pt>
    <dgm:pt modelId="{843280D2-8C12-4AA0-84D9-1CD19461971E}" type="pres">
      <dgm:prSet presAssocID="{FDF887EE-E73F-4823-85A9-A78F51C2493D}" presName="vertTwo" presStyleCnt="0"/>
      <dgm:spPr/>
    </dgm:pt>
    <dgm:pt modelId="{E60A875C-1646-4B77-841E-48B3E712CA09}" type="pres">
      <dgm:prSet presAssocID="{FDF887EE-E73F-4823-85A9-A78F51C2493D}" presName="txTwo" presStyleLbl="node2" presStyleIdx="1" presStyleCnt="4">
        <dgm:presLayoutVars>
          <dgm:chPref val="3"/>
        </dgm:presLayoutVars>
      </dgm:prSet>
      <dgm:spPr/>
    </dgm:pt>
    <dgm:pt modelId="{55558318-D797-4AFF-96EE-E40D14AB3373}" type="pres">
      <dgm:prSet presAssocID="{FDF887EE-E73F-4823-85A9-A78F51C2493D}" presName="horzTwo" presStyleCnt="0"/>
      <dgm:spPr/>
    </dgm:pt>
    <dgm:pt modelId="{A19BFEF2-6EC1-4CD4-8F99-C6CCF23F7050}" type="pres">
      <dgm:prSet presAssocID="{90F7D1B3-7A85-4F43-8E5B-2BBEB2E10491}" presName="sibSpaceTwo" presStyleCnt="0"/>
      <dgm:spPr/>
    </dgm:pt>
    <dgm:pt modelId="{B0EC3896-F832-4EE4-AD4D-8D999CDA220A}" type="pres">
      <dgm:prSet presAssocID="{0EE1DB01-AC4F-4A73-87FD-73A9402914A3}" presName="vertTwo" presStyleCnt="0"/>
      <dgm:spPr/>
    </dgm:pt>
    <dgm:pt modelId="{5590E6D5-2232-49FA-AC21-718A359F9AB5}" type="pres">
      <dgm:prSet presAssocID="{0EE1DB01-AC4F-4A73-87FD-73A9402914A3}" presName="txTwo" presStyleLbl="node2" presStyleIdx="2" presStyleCnt="4">
        <dgm:presLayoutVars>
          <dgm:chPref val="3"/>
        </dgm:presLayoutVars>
      </dgm:prSet>
      <dgm:spPr/>
    </dgm:pt>
    <dgm:pt modelId="{B3199A76-8690-4839-8A67-B61BF00DADDE}" type="pres">
      <dgm:prSet presAssocID="{0EE1DB01-AC4F-4A73-87FD-73A9402914A3}" presName="horzTwo" presStyleCnt="0"/>
      <dgm:spPr/>
    </dgm:pt>
    <dgm:pt modelId="{863CE73D-5741-4249-B3B1-BB681C47E61B}" type="pres">
      <dgm:prSet presAssocID="{02EFD9E7-62B4-4FC3-B6CF-C5D6DD05FD9F}" presName="sibSpaceTwo" presStyleCnt="0"/>
      <dgm:spPr/>
    </dgm:pt>
    <dgm:pt modelId="{A0B1B487-1A78-4ADA-91B1-A01DABFA83B1}" type="pres">
      <dgm:prSet presAssocID="{FBF5ACA1-E47C-43A2-A280-54454158A7BD}" presName="vertTwo" presStyleCnt="0"/>
      <dgm:spPr/>
    </dgm:pt>
    <dgm:pt modelId="{3FB23160-95A1-4555-B48B-AB38E2A9199D}" type="pres">
      <dgm:prSet presAssocID="{FBF5ACA1-E47C-43A2-A280-54454158A7BD}" presName="txTwo" presStyleLbl="node2" presStyleIdx="3" presStyleCnt="4">
        <dgm:presLayoutVars>
          <dgm:chPref val="3"/>
        </dgm:presLayoutVars>
      </dgm:prSet>
      <dgm:spPr/>
    </dgm:pt>
    <dgm:pt modelId="{B50D7012-FC39-4158-8F50-2E65C1A88EC5}" type="pres">
      <dgm:prSet presAssocID="{FBF5ACA1-E47C-43A2-A280-54454158A7BD}" presName="horzTwo" presStyleCnt="0"/>
      <dgm:spPr/>
    </dgm:pt>
  </dgm:ptLst>
  <dgm:cxnLst>
    <dgm:cxn modelId="{8730F001-9C98-465F-B5F0-B67FA097B71C}" type="presOf" srcId="{689A116E-006B-4433-9C4F-819202CCE913}" destId="{A4205A2A-711F-494D-B0DC-FADBE495503D}" srcOrd="0" destOrd="0" presId="urn:microsoft.com/office/officeart/2005/8/layout/hierarchy4"/>
    <dgm:cxn modelId="{B6058F0B-93AF-4AB4-8C6B-8811A80093F4}" type="presOf" srcId="{0EE1DB01-AC4F-4A73-87FD-73A9402914A3}" destId="{5590E6D5-2232-49FA-AC21-718A359F9AB5}" srcOrd="0" destOrd="0" presId="urn:microsoft.com/office/officeart/2005/8/layout/hierarchy4"/>
    <dgm:cxn modelId="{148B1274-FC9C-4367-BD9F-AAFB6D5CAD7F}" srcId="{CB6CECDF-84D9-4035-926E-899DDE282799}" destId="{FDF887EE-E73F-4823-85A9-A78F51C2493D}" srcOrd="1" destOrd="0" parTransId="{91DB8308-22AC-4166-A028-82BA414585EB}" sibTransId="{90F7D1B3-7A85-4F43-8E5B-2BBEB2E10491}"/>
    <dgm:cxn modelId="{E0AD1B93-14B4-49E0-A27D-F9763871CACF}" srcId="{CB6CECDF-84D9-4035-926E-899DDE282799}" destId="{689A116E-006B-4433-9C4F-819202CCE913}" srcOrd="0" destOrd="0" parTransId="{012250BA-5D72-42BF-BFF7-FCD6B698C5B6}" sibTransId="{29A70882-11A6-4354-A218-309C839DAF90}"/>
    <dgm:cxn modelId="{FD831AA3-F854-4B91-B12E-7F2DEFFA72B0}" type="presOf" srcId="{3AEDEDC3-FCB5-4C05-828A-DC4AC3948C7D}" destId="{64D0B780-E449-4042-BC04-80270C00493E}" srcOrd="0" destOrd="0" presId="urn:microsoft.com/office/officeart/2005/8/layout/hierarchy4"/>
    <dgm:cxn modelId="{BBA4AFB6-6A56-4920-ACAE-4185471C2CE7}" srcId="{3AEDEDC3-FCB5-4C05-828A-DC4AC3948C7D}" destId="{CB6CECDF-84D9-4035-926E-899DDE282799}" srcOrd="0" destOrd="0" parTransId="{F44BB18C-BD96-4823-8EAF-78C6B42A5442}" sibTransId="{01EF760B-3975-4DE9-9705-994BD8E43FAD}"/>
    <dgm:cxn modelId="{B42208CB-8A5C-4A46-8A80-75A5C3676950}" srcId="{CB6CECDF-84D9-4035-926E-899DDE282799}" destId="{0EE1DB01-AC4F-4A73-87FD-73A9402914A3}" srcOrd="2" destOrd="0" parTransId="{6022382A-858C-4F59-885B-9136F6A8CEEA}" sibTransId="{02EFD9E7-62B4-4FC3-B6CF-C5D6DD05FD9F}"/>
    <dgm:cxn modelId="{7D5FBACB-621B-4912-92BD-9852634D8D90}" type="presOf" srcId="{FBF5ACA1-E47C-43A2-A280-54454158A7BD}" destId="{3FB23160-95A1-4555-B48B-AB38E2A9199D}" srcOrd="0" destOrd="0" presId="urn:microsoft.com/office/officeart/2005/8/layout/hierarchy4"/>
    <dgm:cxn modelId="{2290F9E1-C216-4C0E-86B4-E1BC56795202}" srcId="{CB6CECDF-84D9-4035-926E-899DDE282799}" destId="{FBF5ACA1-E47C-43A2-A280-54454158A7BD}" srcOrd="3" destOrd="0" parTransId="{BF37E80E-3558-4A5F-AD91-49233A1242FE}" sibTransId="{66EC48AD-EA58-4F25-BED9-4F2819855057}"/>
    <dgm:cxn modelId="{BCA2D6E7-E2AE-4BFA-AACF-EC314E04B941}" type="presOf" srcId="{FDF887EE-E73F-4823-85A9-A78F51C2493D}" destId="{E60A875C-1646-4B77-841E-48B3E712CA09}" srcOrd="0" destOrd="0" presId="urn:microsoft.com/office/officeart/2005/8/layout/hierarchy4"/>
    <dgm:cxn modelId="{37CE20F4-EE4F-47F2-9560-914D45CD8185}" type="presOf" srcId="{CB6CECDF-84D9-4035-926E-899DDE282799}" destId="{CEE8B833-1832-4A2B-B0C7-6A9938F092FA}" srcOrd="0" destOrd="0" presId="urn:microsoft.com/office/officeart/2005/8/layout/hierarchy4"/>
    <dgm:cxn modelId="{FCCAFBCE-F756-4E35-B3F1-4E333D4BC7B0}" type="presParOf" srcId="{64D0B780-E449-4042-BC04-80270C00493E}" destId="{2113CF55-4AD3-45C2-A8BB-462E96E4D668}" srcOrd="0" destOrd="0" presId="urn:microsoft.com/office/officeart/2005/8/layout/hierarchy4"/>
    <dgm:cxn modelId="{71C18AA9-5F3C-4215-AD39-BB8873FB2E1A}" type="presParOf" srcId="{2113CF55-4AD3-45C2-A8BB-462E96E4D668}" destId="{CEE8B833-1832-4A2B-B0C7-6A9938F092FA}" srcOrd="0" destOrd="0" presId="urn:microsoft.com/office/officeart/2005/8/layout/hierarchy4"/>
    <dgm:cxn modelId="{B35EFCB8-FD54-4CF3-AD3A-6E26D416917E}" type="presParOf" srcId="{2113CF55-4AD3-45C2-A8BB-462E96E4D668}" destId="{19A82555-34A7-4258-AA22-65F02F869B17}" srcOrd="1" destOrd="0" presId="urn:microsoft.com/office/officeart/2005/8/layout/hierarchy4"/>
    <dgm:cxn modelId="{7AACCF6A-0654-4D18-9DF7-160B1A26D2D3}" type="presParOf" srcId="{2113CF55-4AD3-45C2-A8BB-462E96E4D668}" destId="{5170218D-4CBB-4FAB-AECB-8F8362AAFEED}" srcOrd="2" destOrd="0" presId="urn:microsoft.com/office/officeart/2005/8/layout/hierarchy4"/>
    <dgm:cxn modelId="{AFEDCBFA-293A-4163-8D45-244EC3BA0AF2}" type="presParOf" srcId="{5170218D-4CBB-4FAB-AECB-8F8362AAFEED}" destId="{59CE89C3-E867-4948-970E-08621100C567}" srcOrd="0" destOrd="0" presId="urn:microsoft.com/office/officeart/2005/8/layout/hierarchy4"/>
    <dgm:cxn modelId="{C86E0874-8D97-40E3-94A8-81EB3C60A230}" type="presParOf" srcId="{59CE89C3-E867-4948-970E-08621100C567}" destId="{A4205A2A-711F-494D-B0DC-FADBE495503D}" srcOrd="0" destOrd="0" presId="urn:microsoft.com/office/officeart/2005/8/layout/hierarchy4"/>
    <dgm:cxn modelId="{4B2C0C28-CD24-437A-AE6D-CA54B45B32EF}" type="presParOf" srcId="{59CE89C3-E867-4948-970E-08621100C567}" destId="{F753EF83-ADCB-46E1-9D06-41DE34AEA5E0}" srcOrd="1" destOrd="0" presId="urn:microsoft.com/office/officeart/2005/8/layout/hierarchy4"/>
    <dgm:cxn modelId="{31C6E432-1E20-4188-AFA4-B36D21CE217D}" type="presParOf" srcId="{5170218D-4CBB-4FAB-AECB-8F8362AAFEED}" destId="{4439BDEA-E2CD-42C0-9C7F-C9A6755E6A73}" srcOrd="1" destOrd="0" presId="urn:microsoft.com/office/officeart/2005/8/layout/hierarchy4"/>
    <dgm:cxn modelId="{3BBB7E00-042B-4084-BF1F-C00CA326F18D}" type="presParOf" srcId="{5170218D-4CBB-4FAB-AECB-8F8362AAFEED}" destId="{843280D2-8C12-4AA0-84D9-1CD19461971E}" srcOrd="2" destOrd="0" presId="urn:microsoft.com/office/officeart/2005/8/layout/hierarchy4"/>
    <dgm:cxn modelId="{B3372011-54E5-4A89-BAA4-64561B4CC1B8}" type="presParOf" srcId="{843280D2-8C12-4AA0-84D9-1CD19461971E}" destId="{E60A875C-1646-4B77-841E-48B3E712CA09}" srcOrd="0" destOrd="0" presId="urn:microsoft.com/office/officeart/2005/8/layout/hierarchy4"/>
    <dgm:cxn modelId="{E60CFFEF-DE70-4011-9DE9-98599F73D46D}" type="presParOf" srcId="{843280D2-8C12-4AA0-84D9-1CD19461971E}" destId="{55558318-D797-4AFF-96EE-E40D14AB3373}" srcOrd="1" destOrd="0" presId="urn:microsoft.com/office/officeart/2005/8/layout/hierarchy4"/>
    <dgm:cxn modelId="{63BE5DFF-4751-4825-AC0C-82C2B2A5DDC4}" type="presParOf" srcId="{5170218D-4CBB-4FAB-AECB-8F8362AAFEED}" destId="{A19BFEF2-6EC1-4CD4-8F99-C6CCF23F7050}" srcOrd="3" destOrd="0" presId="urn:microsoft.com/office/officeart/2005/8/layout/hierarchy4"/>
    <dgm:cxn modelId="{1FCA34F5-50AE-4135-AFEC-90B918ADFC6C}" type="presParOf" srcId="{5170218D-4CBB-4FAB-AECB-8F8362AAFEED}" destId="{B0EC3896-F832-4EE4-AD4D-8D999CDA220A}" srcOrd="4" destOrd="0" presId="urn:microsoft.com/office/officeart/2005/8/layout/hierarchy4"/>
    <dgm:cxn modelId="{9E780465-F6E1-457D-8406-8F200B5D768C}" type="presParOf" srcId="{B0EC3896-F832-4EE4-AD4D-8D999CDA220A}" destId="{5590E6D5-2232-49FA-AC21-718A359F9AB5}" srcOrd="0" destOrd="0" presId="urn:microsoft.com/office/officeart/2005/8/layout/hierarchy4"/>
    <dgm:cxn modelId="{FE70D456-C253-4DA5-A643-4322CF8FCD9C}" type="presParOf" srcId="{B0EC3896-F832-4EE4-AD4D-8D999CDA220A}" destId="{B3199A76-8690-4839-8A67-B61BF00DADDE}" srcOrd="1" destOrd="0" presId="urn:microsoft.com/office/officeart/2005/8/layout/hierarchy4"/>
    <dgm:cxn modelId="{8436E701-7C1D-42FB-A487-86402B5EC88E}" type="presParOf" srcId="{5170218D-4CBB-4FAB-AECB-8F8362AAFEED}" destId="{863CE73D-5741-4249-B3B1-BB681C47E61B}" srcOrd="5" destOrd="0" presId="urn:microsoft.com/office/officeart/2005/8/layout/hierarchy4"/>
    <dgm:cxn modelId="{C812019B-98CF-4930-AD15-800482B1B990}" type="presParOf" srcId="{5170218D-4CBB-4FAB-AECB-8F8362AAFEED}" destId="{A0B1B487-1A78-4ADA-91B1-A01DABFA83B1}" srcOrd="6" destOrd="0" presId="urn:microsoft.com/office/officeart/2005/8/layout/hierarchy4"/>
    <dgm:cxn modelId="{E3C7132E-75C4-4223-908E-F201BF0D04B7}" type="presParOf" srcId="{A0B1B487-1A78-4ADA-91B1-A01DABFA83B1}" destId="{3FB23160-95A1-4555-B48B-AB38E2A9199D}" srcOrd="0" destOrd="0" presId="urn:microsoft.com/office/officeart/2005/8/layout/hierarchy4"/>
    <dgm:cxn modelId="{ED587D38-16C8-4C5A-9093-F10EC16985EC}" type="presParOf" srcId="{A0B1B487-1A78-4ADA-91B1-A01DABFA83B1}" destId="{B50D7012-FC39-4158-8F50-2E65C1A88EC5}" srcOrd="1" destOrd="0" presId="urn:microsoft.com/office/officeart/2005/8/layout/hierarchy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A7CBC4-161D-4135-B13C-A2FC74955F6C}" type="doc">
      <dgm:prSet loTypeId="urn:microsoft.com/office/officeart/2005/8/layout/hProcess9" loCatId="process" qsTypeId="urn:microsoft.com/office/officeart/2005/8/quickstyle/simple3" qsCatId="simple" csTypeId="urn:microsoft.com/office/officeart/2005/8/colors/accent1_5" csCatId="accent1" phldr="1"/>
      <dgm:spPr/>
    </dgm:pt>
    <dgm:pt modelId="{9ECB2D55-E5DF-44C9-8C53-525381C23091}">
      <dgm:prSet phldrT="[Text]"/>
      <dgm:spPr/>
      <dgm:t>
        <a:bodyPr/>
        <a:lstStyle/>
        <a:p>
          <a:r>
            <a:rPr lang="bg-BG"/>
            <a:t>Дефиниране</a:t>
          </a:r>
          <a:endParaRPr lang="en-US"/>
        </a:p>
      </dgm:t>
    </dgm:pt>
    <dgm:pt modelId="{4E786A8D-0872-4D60-BD81-74CAD8D8101E}" type="parTrans" cxnId="{BFA0586E-2B45-4F1A-BCA2-763D5A9122C3}">
      <dgm:prSet/>
      <dgm:spPr/>
      <dgm:t>
        <a:bodyPr/>
        <a:lstStyle/>
        <a:p>
          <a:endParaRPr lang="en-US"/>
        </a:p>
      </dgm:t>
    </dgm:pt>
    <dgm:pt modelId="{11DBFC16-CD28-407A-8E5E-B88F6CB3AAAC}" type="sibTrans" cxnId="{BFA0586E-2B45-4F1A-BCA2-763D5A9122C3}">
      <dgm:prSet/>
      <dgm:spPr/>
      <dgm:t>
        <a:bodyPr/>
        <a:lstStyle/>
        <a:p>
          <a:endParaRPr lang="en-US"/>
        </a:p>
      </dgm:t>
    </dgm:pt>
    <dgm:pt modelId="{31592024-2BFF-49AA-8F9D-BB8BAFE597BD}">
      <dgm:prSet phldrT="[Text]"/>
      <dgm:spPr/>
      <dgm:t>
        <a:bodyPr/>
        <a:lstStyle/>
        <a:p>
          <a:r>
            <a:rPr lang="bg-BG"/>
            <a:t>Начало</a:t>
          </a:r>
          <a:endParaRPr lang="en-US"/>
        </a:p>
      </dgm:t>
    </dgm:pt>
    <dgm:pt modelId="{B8821307-D6E6-4096-A222-71E1A8D2B070}" type="parTrans" cxnId="{5ED7ED78-E8BD-4E56-BC68-BA494009101D}">
      <dgm:prSet/>
      <dgm:spPr/>
      <dgm:t>
        <a:bodyPr/>
        <a:lstStyle/>
        <a:p>
          <a:endParaRPr lang="en-US"/>
        </a:p>
      </dgm:t>
    </dgm:pt>
    <dgm:pt modelId="{8B084746-CCA5-43A8-8CAA-ED9CD69F7BA1}" type="sibTrans" cxnId="{5ED7ED78-E8BD-4E56-BC68-BA494009101D}">
      <dgm:prSet/>
      <dgm:spPr/>
      <dgm:t>
        <a:bodyPr/>
        <a:lstStyle/>
        <a:p>
          <a:endParaRPr lang="en-US"/>
        </a:p>
      </dgm:t>
    </dgm:pt>
    <dgm:pt modelId="{574599DD-DBA4-44CB-BFF9-7C8FC423D8EB}">
      <dgm:prSet phldrT="[Text]"/>
      <dgm:spPr/>
      <dgm:t>
        <a:bodyPr/>
        <a:lstStyle/>
        <a:p>
          <a:r>
            <a:rPr lang="bg-BG"/>
            <a:t>Оптимизиране</a:t>
          </a:r>
          <a:endParaRPr lang="en-US"/>
        </a:p>
      </dgm:t>
    </dgm:pt>
    <dgm:pt modelId="{266F353A-19B1-4662-B089-5561504BEEB2}" type="parTrans" cxnId="{7695F44E-3353-4325-9B12-7DB03105FAC9}">
      <dgm:prSet/>
      <dgm:spPr/>
      <dgm:t>
        <a:bodyPr/>
        <a:lstStyle/>
        <a:p>
          <a:endParaRPr lang="en-US"/>
        </a:p>
      </dgm:t>
    </dgm:pt>
    <dgm:pt modelId="{0CC417FC-55E1-4391-97A5-EAC6497E9DD1}" type="sibTrans" cxnId="{7695F44E-3353-4325-9B12-7DB03105FAC9}">
      <dgm:prSet/>
      <dgm:spPr/>
      <dgm:t>
        <a:bodyPr/>
        <a:lstStyle/>
        <a:p>
          <a:endParaRPr lang="en-US"/>
        </a:p>
      </dgm:t>
    </dgm:pt>
    <dgm:pt modelId="{70A0F518-D254-4DBA-95EB-B2147B2534AA}">
      <dgm:prSet phldrT="[Text]"/>
      <dgm:spPr/>
      <dgm:t>
        <a:bodyPr/>
        <a:lstStyle/>
        <a:p>
          <a:r>
            <a:rPr lang="bg-BG"/>
            <a:t>Повторяемост</a:t>
          </a:r>
          <a:endParaRPr lang="en-US"/>
        </a:p>
      </dgm:t>
    </dgm:pt>
    <dgm:pt modelId="{F003EEF8-DAB7-4AC6-B6F0-4E850CC6AD4C}" type="parTrans" cxnId="{E81FFDED-0147-4FE7-85AF-16A677A9191B}">
      <dgm:prSet/>
      <dgm:spPr/>
      <dgm:t>
        <a:bodyPr/>
        <a:lstStyle/>
        <a:p>
          <a:endParaRPr lang="en-US"/>
        </a:p>
      </dgm:t>
    </dgm:pt>
    <dgm:pt modelId="{15905760-C154-4A06-966B-45D6159E3C42}" type="sibTrans" cxnId="{E81FFDED-0147-4FE7-85AF-16A677A9191B}">
      <dgm:prSet/>
      <dgm:spPr/>
      <dgm:t>
        <a:bodyPr/>
        <a:lstStyle/>
        <a:p>
          <a:endParaRPr lang="en-US"/>
        </a:p>
      </dgm:t>
    </dgm:pt>
    <dgm:pt modelId="{2F996B20-4E73-4576-9C54-E074E7470327}">
      <dgm:prSet phldrT="[Text]"/>
      <dgm:spPr/>
      <dgm:t>
        <a:bodyPr/>
        <a:lstStyle/>
        <a:p>
          <a:r>
            <a:rPr lang="bg-BG"/>
            <a:t>Управление</a:t>
          </a:r>
          <a:endParaRPr lang="en-US"/>
        </a:p>
      </dgm:t>
    </dgm:pt>
    <dgm:pt modelId="{2C630DAC-77A6-4BFD-8B48-27BDF1F7F2A7}" type="parTrans" cxnId="{9F688BD2-A8D0-445D-B7FF-4A96EA184BEB}">
      <dgm:prSet/>
      <dgm:spPr/>
      <dgm:t>
        <a:bodyPr/>
        <a:lstStyle/>
        <a:p>
          <a:endParaRPr lang="en-US"/>
        </a:p>
      </dgm:t>
    </dgm:pt>
    <dgm:pt modelId="{6EDE043A-DEDD-4503-B842-C947ECB6EE47}" type="sibTrans" cxnId="{9F688BD2-A8D0-445D-B7FF-4A96EA184BEB}">
      <dgm:prSet/>
      <dgm:spPr/>
      <dgm:t>
        <a:bodyPr/>
        <a:lstStyle/>
        <a:p>
          <a:endParaRPr lang="en-US"/>
        </a:p>
      </dgm:t>
    </dgm:pt>
    <dgm:pt modelId="{640FC6EB-D282-4CB0-9875-37E760D17984}" type="pres">
      <dgm:prSet presAssocID="{07A7CBC4-161D-4135-B13C-A2FC74955F6C}" presName="CompostProcess" presStyleCnt="0">
        <dgm:presLayoutVars>
          <dgm:dir/>
          <dgm:resizeHandles val="exact"/>
        </dgm:presLayoutVars>
      </dgm:prSet>
      <dgm:spPr/>
    </dgm:pt>
    <dgm:pt modelId="{D1EECB60-9EEA-43F8-A985-2BF73AFD2DEA}" type="pres">
      <dgm:prSet presAssocID="{07A7CBC4-161D-4135-B13C-A2FC74955F6C}" presName="arrow" presStyleLbl="bgShp" presStyleIdx="0" presStyleCnt="1"/>
      <dgm:spPr/>
    </dgm:pt>
    <dgm:pt modelId="{8F6CE3F8-1683-44E4-85C9-D19C38E01432}" type="pres">
      <dgm:prSet presAssocID="{07A7CBC4-161D-4135-B13C-A2FC74955F6C}" presName="linearProcess" presStyleCnt="0"/>
      <dgm:spPr/>
    </dgm:pt>
    <dgm:pt modelId="{03A38502-9EF8-4689-B9E3-560879BA118A}" type="pres">
      <dgm:prSet presAssocID="{31592024-2BFF-49AA-8F9D-BB8BAFE597BD}" presName="textNode" presStyleLbl="node1" presStyleIdx="0" presStyleCnt="5">
        <dgm:presLayoutVars>
          <dgm:bulletEnabled val="1"/>
        </dgm:presLayoutVars>
      </dgm:prSet>
      <dgm:spPr/>
    </dgm:pt>
    <dgm:pt modelId="{1F7B12F1-9188-4849-AB8A-8CD03A63AE12}" type="pres">
      <dgm:prSet presAssocID="{8B084746-CCA5-43A8-8CAA-ED9CD69F7BA1}" presName="sibTrans" presStyleCnt="0"/>
      <dgm:spPr/>
    </dgm:pt>
    <dgm:pt modelId="{1031CEF8-89B7-415F-9771-FFB34D5D3986}" type="pres">
      <dgm:prSet presAssocID="{70A0F518-D254-4DBA-95EB-B2147B2534AA}" presName="textNode" presStyleLbl="node1" presStyleIdx="1" presStyleCnt="5">
        <dgm:presLayoutVars>
          <dgm:bulletEnabled val="1"/>
        </dgm:presLayoutVars>
      </dgm:prSet>
      <dgm:spPr/>
    </dgm:pt>
    <dgm:pt modelId="{F8634797-E376-4BCE-91D1-ED695E8E8068}" type="pres">
      <dgm:prSet presAssocID="{15905760-C154-4A06-966B-45D6159E3C42}" presName="sibTrans" presStyleCnt="0"/>
      <dgm:spPr/>
    </dgm:pt>
    <dgm:pt modelId="{02B951EA-66D0-4BDA-968D-92899CDF4053}" type="pres">
      <dgm:prSet presAssocID="{9ECB2D55-E5DF-44C9-8C53-525381C23091}" presName="textNode" presStyleLbl="node1" presStyleIdx="2" presStyleCnt="5">
        <dgm:presLayoutVars>
          <dgm:bulletEnabled val="1"/>
        </dgm:presLayoutVars>
      </dgm:prSet>
      <dgm:spPr/>
    </dgm:pt>
    <dgm:pt modelId="{822B1150-2C33-4620-9079-C6FDE56640F3}" type="pres">
      <dgm:prSet presAssocID="{11DBFC16-CD28-407A-8E5E-B88F6CB3AAAC}" presName="sibTrans" presStyleCnt="0"/>
      <dgm:spPr/>
    </dgm:pt>
    <dgm:pt modelId="{048B9495-AD41-485B-9293-2583099BE857}" type="pres">
      <dgm:prSet presAssocID="{2F996B20-4E73-4576-9C54-E074E7470327}" presName="textNode" presStyleLbl="node1" presStyleIdx="3" presStyleCnt="5">
        <dgm:presLayoutVars>
          <dgm:bulletEnabled val="1"/>
        </dgm:presLayoutVars>
      </dgm:prSet>
      <dgm:spPr/>
    </dgm:pt>
    <dgm:pt modelId="{AC43C95C-CB68-40C2-B674-61E3FFD1BF83}" type="pres">
      <dgm:prSet presAssocID="{6EDE043A-DEDD-4503-B842-C947ECB6EE47}" presName="sibTrans" presStyleCnt="0"/>
      <dgm:spPr/>
    </dgm:pt>
    <dgm:pt modelId="{DC4200B7-0552-4433-AF30-645373174373}" type="pres">
      <dgm:prSet presAssocID="{574599DD-DBA4-44CB-BFF9-7C8FC423D8EB}" presName="textNode" presStyleLbl="node1" presStyleIdx="4" presStyleCnt="5">
        <dgm:presLayoutVars>
          <dgm:bulletEnabled val="1"/>
        </dgm:presLayoutVars>
      </dgm:prSet>
      <dgm:spPr/>
    </dgm:pt>
  </dgm:ptLst>
  <dgm:cxnLst>
    <dgm:cxn modelId="{3DD2BD34-5F27-4DF7-83F6-DAE642C90D86}" type="presOf" srcId="{07A7CBC4-161D-4135-B13C-A2FC74955F6C}" destId="{640FC6EB-D282-4CB0-9875-37E760D17984}" srcOrd="0" destOrd="0" presId="urn:microsoft.com/office/officeart/2005/8/layout/hProcess9"/>
    <dgm:cxn modelId="{BFA0586E-2B45-4F1A-BCA2-763D5A9122C3}" srcId="{07A7CBC4-161D-4135-B13C-A2FC74955F6C}" destId="{9ECB2D55-E5DF-44C9-8C53-525381C23091}" srcOrd="2" destOrd="0" parTransId="{4E786A8D-0872-4D60-BD81-74CAD8D8101E}" sibTransId="{11DBFC16-CD28-407A-8E5E-B88F6CB3AAAC}"/>
    <dgm:cxn modelId="{7695F44E-3353-4325-9B12-7DB03105FAC9}" srcId="{07A7CBC4-161D-4135-B13C-A2FC74955F6C}" destId="{574599DD-DBA4-44CB-BFF9-7C8FC423D8EB}" srcOrd="4" destOrd="0" parTransId="{266F353A-19B1-4662-B089-5561504BEEB2}" sibTransId="{0CC417FC-55E1-4391-97A5-EAC6497E9DD1}"/>
    <dgm:cxn modelId="{5ED7ED78-E8BD-4E56-BC68-BA494009101D}" srcId="{07A7CBC4-161D-4135-B13C-A2FC74955F6C}" destId="{31592024-2BFF-49AA-8F9D-BB8BAFE597BD}" srcOrd="0" destOrd="0" parTransId="{B8821307-D6E6-4096-A222-71E1A8D2B070}" sibTransId="{8B084746-CCA5-43A8-8CAA-ED9CD69F7BA1}"/>
    <dgm:cxn modelId="{DCD51DA4-3097-4F16-854B-5CCE88355BA8}" type="presOf" srcId="{70A0F518-D254-4DBA-95EB-B2147B2534AA}" destId="{1031CEF8-89B7-415F-9771-FFB34D5D3986}" srcOrd="0" destOrd="0" presId="urn:microsoft.com/office/officeart/2005/8/layout/hProcess9"/>
    <dgm:cxn modelId="{B63E69AF-8862-431F-93EF-BF5414F94444}" type="presOf" srcId="{574599DD-DBA4-44CB-BFF9-7C8FC423D8EB}" destId="{DC4200B7-0552-4433-AF30-645373174373}" srcOrd="0" destOrd="0" presId="urn:microsoft.com/office/officeart/2005/8/layout/hProcess9"/>
    <dgm:cxn modelId="{6F727CD0-F5B9-4E59-AD07-7DB600ED6760}" type="presOf" srcId="{9ECB2D55-E5DF-44C9-8C53-525381C23091}" destId="{02B951EA-66D0-4BDA-968D-92899CDF4053}" srcOrd="0" destOrd="0" presId="urn:microsoft.com/office/officeart/2005/8/layout/hProcess9"/>
    <dgm:cxn modelId="{9F688BD2-A8D0-445D-B7FF-4A96EA184BEB}" srcId="{07A7CBC4-161D-4135-B13C-A2FC74955F6C}" destId="{2F996B20-4E73-4576-9C54-E074E7470327}" srcOrd="3" destOrd="0" parTransId="{2C630DAC-77A6-4BFD-8B48-27BDF1F7F2A7}" sibTransId="{6EDE043A-DEDD-4503-B842-C947ECB6EE47}"/>
    <dgm:cxn modelId="{2B3FC7DD-35C5-4223-98A0-6BFD6E20C48F}" type="presOf" srcId="{31592024-2BFF-49AA-8F9D-BB8BAFE597BD}" destId="{03A38502-9EF8-4689-B9E3-560879BA118A}" srcOrd="0" destOrd="0" presId="urn:microsoft.com/office/officeart/2005/8/layout/hProcess9"/>
    <dgm:cxn modelId="{7602BBE5-8E78-4140-94E4-4ADE44EE5EDE}" type="presOf" srcId="{2F996B20-4E73-4576-9C54-E074E7470327}" destId="{048B9495-AD41-485B-9293-2583099BE857}" srcOrd="0" destOrd="0" presId="urn:microsoft.com/office/officeart/2005/8/layout/hProcess9"/>
    <dgm:cxn modelId="{E81FFDED-0147-4FE7-85AF-16A677A9191B}" srcId="{07A7CBC4-161D-4135-B13C-A2FC74955F6C}" destId="{70A0F518-D254-4DBA-95EB-B2147B2534AA}" srcOrd="1" destOrd="0" parTransId="{F003EEF8-DAB7-4AC6-B6F0-4E850CC6AD4C}" sibTransId="{15905760-C154-4A06-966B-45D6159E3C42}"/>
    <dgm:cxn modelId="{BCBBFDA2-026D-4A28-BDCA-2650C43813DE}" type="presParOf" srcId="{640FC6EB-D282-4CB0-9875-37E760D17984}" destId="{D1EECB60-9EEA-43F8-A985-2BF73AFD2DEA}" srcOrd="0" destOrd="0" presId="urn:microsoft.com/office/officeart/2005/8/layout/hProcess9"/>
    <dgm:cxn modelId="{D91F3DC6-6B37-4FEA-B3EC-17C097C70C4D}" type="presParOf" srcId="{640FC6EB-D282-4CB0-9875-37E760D17984}" destId="{8F6CE3F8-1683-44E4-85C9-D19C38E01432}" srcOrd="1" destOrd="0" presId="urn:microsoft.com/office/officeart/2005/8/layout/hProcess9"/>
    <dgm:cxn modelId="{B2D1C950-B4FF-4857-82EB-412AF12512BE}" type="presParOf" srcId="{8F6CE3F8-1683-44E4-85C9-D19C38E01432}" destId="{03A38502-9EF8-4689-B9E3-560879BA118A}" srcOrd="0" destOrd="0" presId="urn:microsoft.com/office/officeart/2005/8/layout/hProcess9"/>
    <dgm:cxn modelId="{6827AB44-3B8F-4970-AD10-46B104690250}" type="presParOf" srcId="{8F6CE3F8-1683-44E4-85C9-D19C38E01432}" destId="{1F7B12F1-9188-4849-AB8A-8CD03A63AE12}" srcOrd="1" destOrd="0" presId="urn:microsoft.com/office/officeart/2005/8/layout/hProcess9"/>
    <dgm:cxn modelId="{BB9BB7A7-C512-4D89-B941-5FCB3A0D0427}" type="presParOf" srcId="{8F6CE3F8-1683-44E4-85C9-D19C38E01432}" destId="{1031CEF8-89B7-415F-9771-FFB34D5D3986}" srcOrd="2" destOrd="0" presId="urn:microsoft.com/office/officeart/2005/8/layout/hProcess9"/>
    <dgm:cxn modelId="{24D5A38E-E44C-450B-A8E7-87359B0B815C}" type="presParOf" srcId="{8F6CE3F8-1683-44E4-85C9-D19C38E01432}" destId="{F8634797-E376-4BCE-91D1-ED695E8E8068}" srcOrd="3" destOrd="0" presId="urn:microsoft.com/office/officeart/2005/8/layout/hProcess9"/>
    <dgm:cxn modelId="{B61E669B-0A92-4C16-9D74-4ABCBD10D4AD}" type="presParOf" srcId="{8F6CE3F8-1683-44E4-85C9-D19C38E01432}" destId="{02B951EA-66D0-4BDA-968D-92899CDF4053}" srcOrd="4" destOrd="0" presId="urn:microsoft.com/office/officeart/2005/8/layout/hProcess9"/>
    <dgm:cxn modelId="{C0E02975-32AC-427C-8F3E-07F4292B3713}" type="presParOf" srcId="{8F6CE3F8-1683-44E4-85C9-D19C38E01432}" destId="{822B1150-2C33-4620-9079-C6FDE56640F3}" srcOrd="5" destOrd="0" presId="urn:microsoft.com/office/officeart/2005/8/layout/hProcess9"/>
    <dgm:cxn modelId="{F878D53B-BD3F-4916-947A-76B52A6A3C90}" type="presParOf" srcId="{8F6CE3F8-1683-44E4-85C9-D19C38E01432}" destId="{048B9495-AD41-485B-9293-2583099BE857}" srcOrd="6" destOrd="0" presId="urn:microsoft.com/office/officeart/2005/8/layout/hProcess9"/>
    <dgm:cxn modelId="{3E93B497-1532-4838-A66C-4AB7C8DE0370}" type="presParOf" srcId="{8F6CE3F8-1683-44E4-85C9-D19C38E01432}" destId="{AC43C95C-CB68-40C2-B674-61E3FFD1BF83}" srcOrd="7" destOrd="0" presId="urn:microsoft.com/office/officeart/2005/8/layout/hProcess9"/>
    <dgm:cxn modelId="{E5786FE3-A275-48D4-A9E3-EFD7388A0A2D}" type="presParOf" srcId="{8F6CE3F8-1683-44E4-85C9-D19C38E01432}" destId="{DC4200B7-0552-4433-AF30-645373174373}" srcOrd="8"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E8B833-1832-4A2B-B0C7-6A9938F092FA}">
      <dsp:nvSpPr>
        <dsp:cNvPr id="0" name=""/>
        <dsp:cNvSpPr/>
      </dsp:nvSpPr>
      <dsp:spPr>
        <a:xfrm>
          <a:off x="0" y="0"/>
          <a:ext cx="5313231" cy="768843"/>
        </a:xfrm>
        <a:prstGeom prst="roundRect">
          <a:avLst>
            <a:gd name="adj" fmla="val 10000"/>
          </a:avLst>
        </a:prstGeom>
        <a:gradFill rotWithShape="0">
          <a:gsLst>
            <a:gs pos="0">
              <a:schemeClr val="accent5">
                <a:alpha val="80000"/>
                <a:hueOff val="0"/>
                <a:satOff val="0"/>
                <a:lumOff val="0"/>
                <a:alphaOff val="0"/>
                <a:lumMod val="110000"/>
                <a:satMod val="105000"/>
                <a:tint val="67000"/>
              </a:schemeClr>
            </a:gs>
            <a:gs pos="50000">
              <a:schemeClr val="accent5">
                <a:alpha val="80000"/>
                <a:hueOff val="0"/>
                <a:satOff val="0"/>
                <a:lumOff val="0"/>
                <a:alphaOff val="0"/>
                <a:lumMod val="105000"/>
                <a:satMod val="103000"/>
                <a:tint val="73000"/>
              </a:schemeClr>
            </a:gs>
            <a:gs pos="100000">
              <a:schemeClr val="accent5">
                <a:alpha val="8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bg-BG" sz="1600" kern="1200"/>
            <a:t>Стратегически алтернативи за устойчиво управление</a:t>
          </a:r>
          <a:endParaRPr lang="en-US" sz="1600" kern="1200"/>
        </a:p>
      </dsp:txBody>
      <dsp:txXfrm>
        <a:off x="22519" y="22519"/>
        <a:ext cx="5268193" cy="723805"/>
      </dsp:txXfrm>
    </dsp:sp>
    <dsp:sp modelId="{A4205A2A-711F-494D-B0DC-FADBE495503D}">
      <dsp:nvSpPr>
        <dsp:cNvPr id="0" name=""/>
        <dsp:cNvSpPr/>
      </dsp:nvSpPr>
      <dsp:spPr>
        <a:xfrm>
          <a:off x="859" y="947805"/>
          <a:ext cx="1249584" cy="1409506"/>
        </a:xfrm>
        <a:prstGeom prst="roundRect">
          <a:avLst>
            <a:gd name="adj" fmla="val 10000"/>
          </a:avLst>
        </a:prstGeom>
        <a:gradFill rotWithShape="0">
          <a:gsLst>
            <a:gs pos="0">
              <a:schemeClr val="accent5">
                <a:alpha val="70000"/>
                <a:hueOff val="0"/>
                <a:satOff val="0"/>
                <a:lumOff val="0"/>
                <a:alphaOff val="0"/>
                <a:lumMod val="110000"/>
                <a:satMod val="105000"/>
                <a:tint val="67000"/>
              </a:schemeClr>
            </a:gs>
            <a:gs pos="50000">
              <a:schemeClr val="accent5">
                <a:alpha val="70000"/>
                <a:hueOff val="0"/>
                <a:satOff val="0"/>
                <a:lumOff val="0"/>
                <a:alphaOff val="0"/>
                <a:lumMod val="105000"/>
                <a:satMod val="103000"/>
                <a:tint val="73000"/>
              </a:schemeClr>
            </a:gs>
            <a:gs pos="100000">
              <a:schemeClr val="accent5">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bg-BG" sz="1100" kern="1200"/>
            <a:t>Усъвършенстване на заети лица чрез обучение</a:t>
          </a:r>
          <a:endParaRPr lang="en-US" sz="1100" kern="1200"/>
        </a:p>
      </dsp:txBody>
      <dsp:txXfrm>
        <a:off x="37458" y="984404"/>
        <a:ext cx="1176386" cy="1336308"/>
      </dsp:txXfrm>
    </dsp:sp>
    <dsp:sp modelId="{E60A875C-1646-4B77-841E-48B3E712CA09}">
      <dsp:nvSpPr>
        <dsp:cNvPr id="0" name=""/>
        <dsp:cNvSpPr/>
      </dsp:nvSpPr>
      <dsp:spPr>
        <a:xfrm>
          <a:off x="1355408" y="947805"/>
          <a:ext cx="1249584" cy="1409506"/>
        </a:xfrm>
        <a:prstGeom prst="roundRect">
          <a:avLst>
            <a:gd name="adj" fmla="val 10000"/>
          </a:avLst>
        </a:prstGeom>
        <a:gradFill rotWithShape="0">
          <a:gsLst>
            <a:gs pos="0">
              <a:schemeClr val="accent5">
                <a:alpha val="70000"/>
                <a:hueOff val="0"/>
                <a:satOff val="0"/>
                <a:lumOff val="0"/>
                <a:alphaOff val="0"/>
                <a:lumMod val="110000"/>
                <a:satMod val="105000"/>
                <a:tint val="67000"/>
              </a:schemeClr>
            </a:gs>
            <a:gs pos="50000">
              <a:schemeClr val="accent5">
                <a:alpha val="70000"/>
                <a:hueOff val="0"/>
                <a:satOff val="0"/>
                <a:lumOff val="0"/>
                <a:alphaOff val="0"/>
                <a:lumMod val="105000"/>
                <a:satMod val="103000"/>
                <a:tint val="73000"/>
              </a:schemeClr>
            </a:gs>
            <a:gs pos="100000">
              <a:schemeClr val="accent5">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bg-BG" sz="1100" kern="1200"/>
            <a:t>Привличане и задържане на таланти</a:t>
          </a:r>
          <a:endParaRPr lang="en-US" sz="1100" kern="1200"/>
        </a:p>
      </dsp:txBody>
      <dsp:txXfrm>
        <a:off x="1392007" y="984404"/>
        <a:ext cx="1176386" cy="1336308"/>
      </dsp:txXfrm>
    </dsp:sp>
    <dsp:sp modelId="{5590E6D5-2232-49FA-AC21-718A359F9AB5}">
      <dsp:nvSpPr>
        <dsp:cNvPr id="0" name=""/>
        <dsp:cNvSpPr/>
      </dsp:nvSpPr>
      <dsp:spPr>
        <a:xfrm>
          <a:off x="2709957" y="947805"/>
          <a:ext cx="1249584" cy="1409506"/>
        </a:xfrm>
        <a:prstGeom prst="roundRect">
          <a:avLst>
            <a:gd name="adj" fmla="val 10000"/>
          </a:avLst>
        </a:prstGeom>
        <a:gradFill rotWithShape="0">
          <a:gsLst>
            <a:gs pos="0">
              <a:schemeClr val="accent5">
                <a:alpha val="70000"/>
                <a:hueOff val="0"/>
                <a:satOff val="0"/>
                <a:lumOff val="0"/>
                <a:alphaOff val="0"/>
                <a:lumMod val="110000"/>
                <a:satMod val="105000"/>
                <a:tint val="67000"/>
              </a:schemeClr>
            </a:gs>
            <a:gs pos="50000">
              <a:schemeClr val="accent5">
                <a:alpha val="70000"/>
                <a:hueOff val="0"/>
                <a:satOff val="0"/>
                <a:lumOff val="0"/>
                <a:alphaOff val="0"/>
                <a:lumMod val="105000"/>
                <a:satMod val="103000"/>
                <a:tint val="73000"/>
              </a:schemeClr>
            </a:gs>
            <a:gs pos="100000">
              <a:schemeClr val="accent5">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bg-BG" sz="1100" kern="1200"/>
            <a:t>Управление на ангажираността на служителите</a:t>
          </a:r>
          <a:endParaRPr lang="en-US" sz="1100" kern="1200"/>
        </a:p>
      </dsp:txBody>
      <dsp:txXfrm>
        <a:off x="2746556" y="984404"/>
        <a:ext cx="1176386" cy="1336308"/>
      </dsp:txXfrm>
    </dsp:sp>
    <dsp:sp modelId="{3FB23160-95A1-4555-B48B-AB38E2A9199D}">
      <dsp:nvSpPr>
        <dsp:cNvPr id="0" name=""/>
        <dsp:cNvSpPr/>
      </dsp:nvSpPr>
      <dsp:spPr>
        <a:xfrm>
          <a:off x="4064506" y="947805"/>
          <a:ext cx="1249584" cy="1409506"/>
        </a:xfrm>
        <a:prstGeom prst="roundRect">
          <a:avLst>
            <a:gd name="adj" fmla="val 10000"/>
          </a:avLst>
        </a:prstGeom>
        <a:gradFill rotWithShape="0">
          <a:gsLst>
            <a:gs pos="0">
              <a:schemeClr val="accent5">
                <a:alpha val="70000"/>
                <a:hueOff val="0"/>
                <a:satOff val="0"/>
                <a:lumOff val="0"/>
                <a:alphaOff val="0"/>
                <a:lumMod val="110000"/>
                <a:satMod val="105000"/>
                <a:tint val="67000"/>
              </a:schemeClr>
            </a:gs>
            <a:gs pos="50000">
              <a:schemeClr val="accent5">
                <a:alpha val="70000"/>
                <a:hueOff val="0"/>
                <a:satOff val="0"/>
                <a:lumOff val="0"/>
                <a:alphaOff val="0"/>
                <a:lumMod val="105000"/>
                <a:satMod val="103000"/>
                <a:tint val="73000"/>
              </a:schemeClr>
            </a:gs>
            <a:gs pos="100000">
              <a:schemeClr val="accent5">
                <a:alpha val="7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bg-BG" sz="1100" kern="1200"/>
            <a:t>Промяна в разбиранията за лидерство</a:t>
          </a:r>
          <a:endParaRPr lang="en-US" sz="1100" kern="1200"/>
        </a:p>
      </dsp:txBody>
      <dsp:txXfrm>
        <a:off x="4101105" y="984404"/>
        <a:ext cx="1176386" cy="13363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EECB60-9EEA-43F8-A985-2BF73AFD2DEA}">
      <dsp:nvSpPr>
        <dsp:cNvPr id="0" name=""/>
        <dsp:cNvSpPr/>
      </dsp:nvSpPr>
      <dsp:spPr>
        <a:xfrm>
          <a:off x="413232" y="0"/>
          <a:ext cx="4683307" cy="2973721"/>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03A38502-9EF8-4689-B9E3-560879BA118A}">
      <dsp:nvSpPr>
        <dsp:cNvPr id="0" name=""/>
        <dsp:cNvSpPr/>
      </dsp:nvSpPr>
      <dsp:spPr>
        <a:xfrm>
          <a:off x="1160" y="892116"/>
          <a:ext cx="1049459" cy="1189488"/>
        </a:xfrm>
        <a:prstGeom prst="roundRect">
          <a:avLst/>
        </a:prstGeom>
        <a:gradFill rotWithShape="0">
          <a:gsLst>
            <a:gs pos="0">
              <a:schemeClr val="accent1">
                <a:alpha val="90000"/>
                <a:hueOff val="0"/>
                <a:satOff val="0"/>
                <a:lumOff val="0"/>
                <a:alphaOff val="0"/>
                <a:lumMod val="110000"/>
                <a:satMod val="105000"/>
                <a:tint val="67000"/>
              </a:schemeClr>
            </a:gs>
            <a:gs pos="50000">
              <a:schemeClr val="accent1">
                <a:alpha val="90000"/>
                <a:hueOff val="0"/>
                <a:satOff val="0"/>
                <a:lumOff val="0"/>
                <a:alphaOff val="0"/>
                <a:lumMod val="105000"/>
                <a:satMod val="103000"/>
                <a:tint val="73000"/>
              </a:schemeClr>
            </a:gs>
            <a:gs pos="100000">
              <a:schemeClr val="accent1">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bg-BG" sz="1000" kern="1200"/>
            <a:t>Начало</a:t>
          </a:r>
          <a:endParaRPr lang="en-US" sz="1000" kern="1200"/>
        </a:p>
      </dsp:txBody>
      <dsp:txXfrm>
        <a:off x="52390" y="943346"/>
        <a:ext cx="946999" cy="1087028"/>
      </dsp:txXfrm>
    </dsp:sp>
    <dsp:sp modelId="{1031CEF8-89B7-415F-9771-FFB34D5D3986}">
      <dsp:nvSpPr>
        <dsp:cNvPr id="0" name=""/>
        <dsp:cNvSpPr/>
      </dsp:nvSpPr>
      <dsp:spPr>
        <a:xfrm>
          <a:off x="1115658" y="892116"/>
          <a:ext cx="1049459" cy="1189488"/>
        </a:xfrm>
        <a:prstGeom prst="roundRect">
          <a:avLst/>
        </a:prstGeom>
        <a:gradFill rotWithShape="0">
          <a:gsLst>
            <a:gs pos="0">
              <a:schemeClr val="accent1">
                <a:alpha val="90000"/>
                <a:hueOff val="0"/>
                <a:satOff val="0"/>
                <a:lumOff val="0"/>
                <a:alphaOff val="-10000"/>
                <a:lumMod val="110000"/>
                <a:satMod val="105000"/>
                <a:tint val="67000"/>
              </a:schemeClr>
            </a:gs>
            <a:gs pos="50000">
              <a:schemeClr val="accent1">
                <a:alpha val="90000"/>
                <a:hueOff val="0"/>
                <a:satOff val="0"/>
                <a:lumOff val="0"/>
                <a:alphaOff val="-10000"/>
                <a:lumMod val="105000"/>
                <a:satMod val="103000"/>
                <a:tint val="73000"/>
              </a:schemeClr>
            </a:gs>
            <a:gs pos="100000">
              <a:schemeClr val="accent1">
                <a:alpha val="90000"/>
                <a:hueOff val="0"/>
                <a:satOff val="0"/>
                <a:lumOff val="0"/>
                <a:alphaOff val="-1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bg-BG" sz="1000" kern="1200"/>
            <a:t>Повторяемост</a:t>
          </a:r>
          <a:endParaRPr lang="en-US" sz="1000" kern="1200"/>
        </a:p>
      </dsp:txBody>
      <dsp:txXfrm>
        <a:off x="1166888" y="943346"/>
        <a:ext cx="946999" cy="1087028"/>
      </dsp:txXfrm>
    </dsp:sp>
    <dsp:sp modelId="{02B951EA-66D0-4BDA-968D-92899CDF4053}">
      <dsp:nvSpPr>
        <dsp:cNvPr id="0" name=""/>
        <dsp:cNvSpPr/>
      </dsp:nvSpPr>
      <dsp:spPr>
        <a:xfrm>
          <a:off x="2230156" y="892116"/>
          <a:ext cx="1049459" cy="1189488"/>
        </a:xfrm>
        <a:prstGeom prst="roundRect">
          <a:avLst/>
        </a:prstGeom>
        <a:gradFill rotWithShape="0">
          <a:gsLst>
            <a:gs pos="0">
              <a:schemeClr val="accent1">
                <a:alpha val="90000"/>
                <a:hueOff val="0"/>
                <a:satOff val="0"/>
                <a:lumOff val="0"/>
                <a:alphaOff val="-20000"/>
                <a:lumMod val="110000"/>
                <a:satMod val="105000"/>
                <a:tint val="67000"/>
              </a:schemeClr>
            </a:gs>
            <a:gs pos="50000">
              <a:schemeClr val="accent1">
                <a:alpha val="90000"/>
                <a:hueOff val="0"/>
                <a:satOff val="0"/>
                <a:lumOff val="0"/>
                <a:alphaOff val="-20000"/>
                <a:lumMod val="105000"/>
                <a:satMod val="103000"/>
                <a:tint val="73000"/>
              </a:schemeClr>
            </a:gs>
            <a:gs pos="100000">
              <a:schemeClr val="accent1">
                <a:alpha val="90000"/>
                <a:hueOff val="0"/>
                <a:satOff val="0"/>
                <a:lumOff val="0"/>
                <a:alphaOff val="-2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bg-BG" sz="1000" kern="1200"/>
            <a:t>Дефиниране</a:t>
          </a:r>
          <a:endParaRPr lang="en-US" sz="1000" kern="1200"/>
        </a:p>
      </dsp:txBody>
      <dsp:txXfrm>
        <a:off x="2281386" y="943346"/>
        <a:ext cx="946999" cy="1087028"/>
      </dsp:txXfrm>
    </dsp:sp>
    <dsp:sp modelId="{048B9495-AD41-485B-9293-2583099BE857}">
      <dsp:nvSpPr>
        <dsp:cNvPr id="0" name=""/>
        <dsp:cNvSpPr/>
      </dsp:nvSpPr>
      <dsp:spPr>
        <a:xfrm>
          <a:off x="3344654" y="892116"/>
          <a:ext cx="1049459" cy="1189488"/>
        </a:xfrm>
        <a:prstGeom prst="roundRect">
          <a:avLst/>
        </a:prstGeom>
        <a:gradFill rotWithShape="0">
          <a:gsLst>
            <a:gs pos="0">
              <a:schemeClr val="accent1">
                <a:alpha val="90000"/>
                <a:hueOff val="0"/>
                <a:satOff val="0"/>
                <a:lumOff val="0"/>
                <a:alphaOff val="-30000"/>
                <a:lumMod val="110000"/>
                <a:satMod val="105000"/>
                <a:tint val="67000"/>
              </a:schemeClr>
            </a:gs>
            <a:gs pos="50000">
              <a:schemeClr val="accent1">
                <a:alpha val="90000"/>
                <a:hueOff val="0"/>
                <a:satOff val="0"/>
                <a:lumOff val="0"/>
                <a:alphaOff val="-30000"/>
                <a:lumMod val="105000"/>
                <a:satMod val="103000"/>
                <a:tint val="73000"/>
              </a:schemeClr>
            </a:gs>
            <a:gs pos="100000">
              <a:schemeClr val="accent1">
                <a:alpha val="90000"/>
                <a:hueOff val="0"/>
                <a:satOff val="0"/>
                <a:lumOff val="0"/>
                <a:alphaOff val="-3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bg-BG" sz="1000" kern="1200"/>
            <a:t>Управление</a:t>
          </a:r>
          <a:endParaRPr lang="en-US" sz="1000" kern="1200"/>
        </a:p>
      </dsp:txBody>
      <dsp:txXfrm>
        <a:off x="3395884" y="943346"/>
        <a:ext cx="946999" cy="1087028"/>
      </dsp:txXfrm>
    </dsp:sp>
    <dsp:sp modelId="{DC4200B7-0552-4433-AF30-645373174373}">
      <dsp:nvSpPr>
        <dsp:cNvPr id="0" name=""/>
        <dsp:cNvSpPr/>
      </dsp:nvSpPr>
      <dsp:spPr>
        <a:xfrm>
          <a:off x="4459152" y="892116"/>
          <a:ext cx="1049459" cy="1189488"/>
        </a:xfrm>
        <a:prstGeom prst="roundRect">
          <a:avLst/>
        </a:prstGeom>
        <a:gradFill rotWithShape="0">
          <a:gsLst>
            <a:gs pos="0">
              <a:schemeClr val="accent1">
                <a:alpha val="90000"/>
                <a:hueOff val="0"/>
                <a:satOff val="0"/>
                <a:lumOff val="0"/>
                <a:alphaOff val="-40000"/>
                <a:lumMod val="110000"/>
                <a:satMod val="105000"/>
                <a:tint val="67000"/>
              </a:schemeClr>
            </a:gs>
            <a:gs pos="50000">
              <a:schemeClr val="accent1">
                <a:alpha val="90000"/>
                <a:hueOff val="0"/>
                <a:satOff val="0"/>
                <a:lumOff val="0"/>
                <a:alphaOff val="-40000"/>
                <a:lumMod val="105000"/>
                <a:satMod val="103000"/>
                <a:tint val="73000"/>
              </a:schemeClr>
            </a:gs>
            <a:gs pos="100000">
              <a:schemeClr val="accent1">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bg-BG" sz="1000" kern="1200"/>
            <a:t>Оптимизиране</a:t>
          </a:r>
          <a:endParaRPr lang="en-US" sz="1000" kern="1200"/>
        </a:p>
      </dsp:txBody>
      <dsp:txXfrm>
        <a:off x="4510382" y="943346"/>
        <a:ext cx="946999" cy="10870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C5UdS4qATZkQVTqt5+0PlThgg==">AMUW2mVfJrFud2sIffM/kvOzDdMoasGsU/1I/vpD1ydCzsv3tZlNz6FitMRay40jcrPGu4c1un7nLu0ykklyVOe4IUicrJlJL3Zh4zWNPlIrRDyNIEbqJo8=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4288</Words>
  <Characters>24446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Radka Nacheva</dc:creator>
  <cp:lastModifiedBy>Slavka Stamenova</cp:lastModifiedBy>
  <cp:revision>17</cp:revision>
  <dcterms:created xsi:type="dcterms:W3CDTF">2022-07-27T08:16:00Z</dcterms:created>
  <dcterms:modified xsi:type="dcterms:W3CDTF">2022-08-12T12:07:00Z</dcterms:modified>
</cp:coreProperties>
</file>