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3D3B0856" w14:textId="070C016D" w:rsidR="00D019B4" w:rsidRPr="00E40F4B" w:rsidRDefault="00D019B4" w:rsidP="00E40F4B">
      <w:pPr>
        <w:pStyle w:val="disbody"/>
      </w:pPr>
      <w:r>
        <w:rPr>
          <w:i/>
          <w:iCs/>
          <w:szCs w:val="28"/>
        </w:rPr>
        <w:br w:type="page"/>
      </w:r>
    </w:p>
    <w:p w14:paraId="0659059B" w14:textId="77777777" w:rsidR="00D019B4" w:rsidRDefault="00D019B4" w:rsidP="000A62F6">
      <w:pPr>
        <w:pStyle w:val="disbody"/>
        <w:ind w:firstLine="0"/>
        <w:jc w:val="center"/>
        <w:rPr>
          <w:i/>
          <w:iCs/>
          <w:szCs w:val="28"/>
        </w:rPr>
      </w:pPr>
    </w:p>
    <w:p w14:paraId="411907DD" w14:textId="77777777" w:rsidR="00347E74" w:rsidRDefault="00347E74" w:rsidP="000A62F6">
      <w:pPr>
        <w:pStyle w:val="disbody"/>
        <w:ind w:firstLine="0"/>
        <w:jc w:val="center"/>
        <w:rPr>
          <w:i/>
          <w:iCs/>
          <w:szCs w:val="28"/>
        </w:rPr>
      </w:pPr>
    </w:p>
    <w:p w14:paraId="44837E0E" w14:textId="2CBBEDC1" w:rsidR="00144BB0" w:rsidRPr="00CA0FBC" w:rsidRDefault="00EB1765" w:rsidP="00CA0FBC">
      <w:pPr>
        <w:widowControl/>
        <w:spacing w:line="240" w:lineRule="auto"/>
        <w:ind w:firstLine="0"/>
        <w:jc w:val="left"/>
        <w:rPr>
          <w:i/>
          <w:iCs/>
          <w:sz w:val="28"/>
          <w:szCs w:val="28"/>
          <w:lang w:val="bg-BG"/>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B0440B">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B0440B">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B0440B">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B0440B">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B0440B">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Микроуслугите насърчават фактор #6 от  принципите на дванадесетфакторното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gRPC,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rsidR="007E785D">
        <w:t>, както</w:t>
      </w:r>
      <w:r w:rsidR="007E785D" w:rsidRPr="007E785D">
        <w:t xml:space="preserve"> и да предлага по-добра производителност и мащабируемост от SQL база данни. </w:t>
      </w:r>
      <w:r w:rsidR="007E785D">
        <w:t>М</w:t>
      </w:r>
      <w:r w:rsidR="007E785D" w:rsidRPr="007E785D">
        <w:t>икроуслуги</w:t>
      </w:r>
      <w:r w:rsidR="007E785D">
        <w:t>те</w:t>
      </w:r>
      <w:r w:rsidR="007E785D" w:rsidRPr="007E785D">
        <w:t xml:space="preserve"> често използват смесица от SQL и NoSQL бази данни, което се нарича подход на </w:t>
      </w:r>
      <w:r w:rsidR="007E785D">
        <w:t>„</w:t>
      </w:r>
      <w:r w:rsidR="007E785D" w:rsidRPr="007E785D">
        <w:t>полиглотна устойчивост</w:t>
      </w:r>
      <w:r w:rsidR="007E785D">
        <w:t>“ (</w:t>
      </w:r>
      <w:r w:rsidR="007E785D" w:rsidRPr="007E785D">
        <w:t>Polyglot</w:t>
      </w:r>
      <w:r w:rsidR="00825864">
        <w:t xml:space="preserve"> </w:t>
      </w:r>
      <w:r w:rsidR="007E785D" w:rsidRPr="007E785D">
        <w:t>Persistence</w:t>
      </w:r>
      <w:r w:rsidR="007E785D">
        <w:t>)</w:t>
      </w:r>
      <w:r w:rsidR="007E785D" w:rsidRPr="007E785D">
        <w:t>.</w:t>
      </w:r>
    </w:p>
    <w:p w14:paraId="1E7736BB" w14:textId="10AA1E52" w:rsidR="00261EE2" w:rsidRDefault="00261EE2" w:rsidP="00B672B4">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lastRenderedPageBreak/>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62D5EAB6" w14:textId="5C737C7D" w:rsidR="00C9654B" w:rsidRDefault="00B21325" w:rsidP="00D53DB3">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7907772A"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r w:rsidRPr="00FE748E">
              <w:t>Ping</w:t>
            </w:r>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48F7685A" w:rsidR="006F63D6" w:rsidRDefault="00311A02" w:rsidP="00F84810">
      <w:pPr>
        <w:pStyle w:val="disbody"/>
      </w:pPr>
      <w:r w:rsidRPr="00311A02">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0150015C" w:rsidR="00E72A28" w:rsidRDefault="00822D5A" w:rsidP="00F84810">
      <w:pPr>
        <w:pStyle w:val="disbody"/>
      </w:pPr>
      <w:r>
        <w:t>Фигура 1.11.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r w:rsidRPr="00822D5A">
        <w:rPr>
          <w:i/>
          <w:iCs/>
          <w:szCs w:val="28"/>
        </w:rPr>
        <w:t>OpenID Connect</w:t>
      </w:r>
      <w:r>
        <w:rPr>
          <w:i/>
          <w:iCs/>
          <w:szCs w:val="28"/>
        </w:rPr>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 xml:space="preserve">OpenID Connect е проектиран да работи за различни видове </w:t>
      </w:r>
      <w:r w:rsidR="007A2055" w:rsidRPr="007A2055">
        <w:lastRenderedPageBreak/>
        <w:t>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клиентско 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w:t>
      </w:r>
      <w:r w:rsidRPr="000E1044">
        <w:lastRenderedPageBreak/>
        <w:t>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09F18AC1"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6"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w:t>
      </w:r>
      <w:r>
        <w:rPr>
          <w:b/>
          <w:bCs/>
          <w:i/>
          <w:iCs/>
          <w:szCs w:val="28"/>
        </w:rPr>
        <w:t>2</w:t>
      </w:r>
      <w:r>
        <w:rPr>
          <w:i/>
          <w:iCs/>
          <w:szCs w:val="28"/>
        </w:rPr>
        <w:t xml:space="preserve">: </w:t>
      </w:r>
      <w:r w:rsidRPr="004F1EC7">
        <w:rPr>
          <w:i/>
          <w:iCs/>
          <w:szCs w:val="28"/>
        </w:rPr>
        <w:t>URI for the authentication code flow endpoint</w:t>
      </w:r>
      <w:r>
        <w:rPr>
          <w:i/>
          <w:iCs/>
          <w:szCs w:val="28"/>
        </w:rPr>
        <w:t>.</w:t>
      </w:r>
    </w:p>
    <w:p w14:paraId="698C4876" w14:textId="675CF387"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ще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A589630" w14:textId="70EFCFDD" w:rsidR="00E76D34" w:rsidRPr="00636703" w:rsidRDefault="00E76D34" w:rsidP="00255A0E">
      <w:pPr>
        <w:pStyle w:val="disbody"/>
        <w:rPr>
          <w:szCs w:val="28"/>
        </w:rPr>
      </w:pPr>
      <w:r w:rsidRPr="00636703">
        <w:rPr>
          <w:szCs w:val="28"/>
        </w:rPr>
        <w:t>У</w:t>
      </w:r>
      <w:r w:rsidRPr="00636703">
        <w:rPr>
          <w:szCs w:val="28"/>
        </w:rPr>
        <w:t>еб приложение създава</w:t>
      </w:r>
      <w:r w:rsidRPr="00636703">
        <w:rPr>
          <w:szCs w:val="28"/>
        </w:rPr>
        <w:t xml:space="preserve"> и </w:t>
      </w:r>
      <w:r w:rsidRPr="00636703">
        <w:rPr>
          <w:szCs w:val="28"/>
        </w:rPr>
        <w:t xml:space="preserve">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още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w:t>
      </w:r>
      <w:r w:rsidR="00C672F4" w:rsidRPr="00C672F4">
        <w:rPr>
          <w:szCs w:val="28"/>
        </w:rPr>
        <w:t xml:space="preserve">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9"/>
      <w:footerReference w:type="default" r:id="rId3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74D2D" w14:textId="77777777" w:rsidR="00B0440B" w:rsidRDefault="00B0440B" w:rsidP="00DA5C8B">
      <w:pPr>
        <w:spacing w:line="240" w:lineRule="auto"/>
      </w:pPr>
      <w:r>
        <w:separator/>
      </w:r>
    </w:p>
  </w:endnote>
  <w:endnote w:type="continuationSeparator" w:id="0">
    <w:p w14:paraId="7A22F6C3" w14:textId="77777777" w:rsidR="00B0440B" w:rsidRDefault="00B0440B"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CD51A" w14:textId="77777777" w:rsidR="00B0440B" w:rsidRDefault="00B0440B" w:rsidP="005719C1">
      <w:pPr>
        <w:spacing w:line="240" w:lineRule="auto"/>
        <w:ind w:firstLine="0"/>
      </w:pPr>
      <w:r>
        <w:separator/>
      </w:r>
    </w:p>
  </w:footnote>
  <w:footnote w:type="continuationSeparator" w:id="0">
    <w:p w14:paraId="5043E298" w14:textId="77777777" w:rsidR="00B0440B" w:rsidRDefault="00B0440B" w:rsidP="005719C1">
      <w:pPr>
        <w:spacing w:line="240" w:lineRule="auto"/>
        <w:ind w:firstLine="0"/>
      </w:pPr>
      <w:r>
        <w:continuationSeparator/>
      </w:r>
    </w:p>
  </w:footnote>
  <w:footnote w:type="continuationNotice" w:id="1">
    <w:p w14:paraId="04D5E00D" w14:textId="77777777" w:rsidR="00B0440B" w:rsidRDefault="00B0440B"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5B86"/>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905E3"/>
    <w:rsid w:val="00690757"/>
    <w:rsid w:val="006920C3"/>
    <w:rsid w:val="00692C67"/>
    <w:rsid w:val="00692F11"/>
    <w:rsid w:val="00693CEA"/>
    <w:rsid w:val="00693D42"/>
    <w:rsid w:val="006943A3"/>
    <w:rsid w:val="00694FF5"/>
    <w:rsid w:val="00695C7D"/>
    <w:rsid w:val="00696CA7"/>
    <w:rsid w:val="006A068A"/>
    <w:rsid w:val="006A0DBC"/>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168F0"/>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41C6"/>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2CC9"/>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draft-ietf-oauth-security-topics-19" TargetMode="Externa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7856</TotalTime>
  <Pages>8</Pages>
  <Words>7172</Words>
  <Characters>40882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775</cp:revision>
  <cp:lastPrinted>2021-12-02T13:00:00Z</cp:lastPrinted>
  <dcterms:created xsi:type="dcterms:W3CDTF">2022-06-23T10:23:00Z</dcterms:created>
  <dcterms:modified xsi:type="dcterms:W3CDTF">2022-10-14T04:17:00Z</dcterms:modified>
</cp:coreProperties>
</file>