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1069C0E6" w14:textId="448A8E0A" w:rsidR="001C36CB" w:rsidRPr="00BF7DAE" w:rsidRDefault="001C36CB" w:rsidP="00AB6F4E">
      <w:pPr>
        <w:pStyle w:val="disbody"/>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6C754227" w14:textId="7E00BD62" w:rsidR="00AC46AA" w:rsidRDefault="00CC7291" w:rsidP="00AB031E">
      <w:pPr>
        <w:widowControl/>
        <w:spacing w:line="240" w:lineRule="auto"/>
        <w:ind w:firstLine="0"/>
        <w:jc w:val="left"/>
        <w:rPr>
          <w:i/>
          <w:iCs/>
          <w:szCs w:val="28"/>
        </w:rPr>
      </w:pPr>
      <w:r>
        <w:rPr>
          <w:i/>
          <w:iCs/>
          <w:szCs w:val="28"/>
        </w:rPr>
        <w:t xml:space="preserve">TODO: </w:t>
      </w:r>
      <w:r w:rsidRPr="00CC7291">
        <w:rPr>
          <w:i/>
          <w:iCs/>
          <w:szCs w:val="28"/>
        </w:rPr>
        <w:t xml:space="preserve">ценообразуване </w:t>
      </w:r>
      <w:r w:rsidR="00CE70FC">
        <w:rPr>
          <w:i/>
          <w:iCs/>
          <w:szCs w:val="28"/>
        </w:rPr>
        <w:t xml:space="preserve">/ </w:t>
      </w:r>
      <w:r w:rsidR="00AB031E" w:rsidRPr="00AB031E">
        <w:rPr>
          <w:i/>
          <w:iCs/>
          <w:szCs w:val="28"/>
        </w:rPr>
        <w:t xml:space="preserve">поръчките </w:t>
      </w:r>
      <w:r w:rsidR="00AB031E">
        <w:rPr>
          <w:i/>
          <w:iCs/>
          <w:szCs w:val="28"/>
        </w:rPr>
        <w:t>/</w:t>
      </w:r>
      <w:r w:rsidR="00AB031E" w:rsidRPr="00AB031E">
        <w:rPr>
          <w:i/>
          <w:iCs/>
          <w:szCs w:val="28"/>
        </w:rPr>
        <w:t xml:space="preserve"> продажб</w:t>
      </w:r>
      <w:r w:rsidR="00AB031E">
        <w:rPr>
          <w:i/>
          <w:iCs/>
          <w:szCs w:val="28"/>
          <w:lang w:val="bg-BG"/>
        </w:rPr>
        <w:t>и / д</w:t>
      </w:r>
      <w:r w:rsidR="00AB031E" w:rsidRPr="00AB031E">
        <w:rPr>
          <w:i/>
          <w:iCs/>
          <w:szCs w:val="28"/>
        </w:rPr>
        <w:t>оставки</w:t>
      </w:r>
    </w:p>
    <w:p w14:paraId="33306AE2" w14:textId="77777777" w:rsidR="00AC46AA" w:rsidRDefault="00AC46AA">
      <w:pPr>
        <w:widowControl/>
        <w:spacing w:line="240" w:lineRule="auto"/>
        <w:ind w:firstLine="0"/>
        <w:jc w:val="left"/>
        <w:rPr>
          <w:i/>
          <w:iCs/>
          <w:szCs w:val="28"/>
        </w:rPr>
      </w:pPr>
    </w:p>
    <w:p w14:paraId="0ECE23B0" w14:textId="45973AC1" w:rsidR="00144BB0" w:rsidRDefault="00373146" w:rsidP="00CE70FC">
      <w:pPr>
        <w:widowControl/>
        <w:spacing w:line="240" w:lineRule="auto"/>
        <w:ind w:firstLine="0"/>
        <w:jc w:val="left"/>
        <w:rPr>
          <w:i/>
          <w:iCs/>
          <w:szCs w:val="28"/>
          <w:lang w:val="bg-BG"/>
        </w:rPr>
      </w:pPr>
      <w:r>
        <w:rPr>
          <w:i/>
          <w:iCs/>
          <w:szCs w:val="28"/>
          <w:lang w:val="bg-BG"/>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w:t>
      </w:r>
      <w:r w:rsidRPr="00A322B1">
        <w:rPr>
          <w:bCs/>
        </w:rPr>
        <w:lastRenderedPageBreak/>
        <w:t>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lastRenderedPageBreak/>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4"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D6B2A">
            <w:pPr>
              <w:rPr>
                <w:rFonts w:ascii="Segoe UI" w:hAnsi="Segoe UI" w:cs="Segoe UI"/>
                <w:color w:val="171717"/>
              </w:rPr>
            </w:pPr>
            <w:hyperlink r:id="rId15"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D6B2A">
            <w:pPr>
              <w:rPr>
                <w:rFonts w:ascii="Segoe UI" w:hAnsi="Segoe UI" w:cs="Segoe UI"/>
                <w:color w:val="171717"/>
              </w:rPr>
            </w:pPr>
            <w:hyperlink r:id="rId16"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D6B2A">
            <w:pPr>
              <w:rPr>
                <w:rFonts w:ascii="Segoe UI" w:hAnsi="Segoe UI" w:cs="Segoe UI"/>
                <w:color w:val="171717"/>
              </w:rPr>
            </w:pPr>
            <w:hyperlink r:id="rId17"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D6B2A">
            <w:pPr>
              <w:rPr>
                <w:rFonts w:ascii="Segoe UI" w:hAnsi="Segoe UI" w:cs="Segoe UI"/>
                <w:color w:val="171717"/>
              </w:rPr>
            </w:pPr>
            <w:hyperlink r:id="rId18"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D6B2A">
            <w:pPr>
              <w:rPr>
                <w:rFonts w:ascii="Segoe UI" w:hAnsi="Segoe UI" w:cs="Segoe UI"/>
                <w:color w:val="171717"/>
              </w:rPr>
            </w:pPr>
            <w:hyperlink r:id="rId19"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Микроуслугите насърчават фактор #6 от  принципите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gRPC,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rsidR="007E785D">
        <w:t>, както</w:t>
      </w:r>
      <w:r w:rsidR="007E785D" w:rsidRPr="007E785D">
        <w:t xml:space="preserve"> и да предлага по-добра производителност и мащабируемост от SQL база данни. </w:t>
      </w:r>
      <w:r w:rsidR="007E785D">
        <w:t>М</w:t>
      </w:r>
      <w:r w:rsidR="007E785D" w:rsidRPr="007E785D">
        <w:t>икроуслуги</w:t>
      </w:r>
      <w:r w:rsidR="007E785D">
        <w:t>те</w:t>
      </w:r>
      <w:r w:rsidR="007E785D" w:rsidRPr="007E785D">
        <w:t xml:space="preserve"> често използват смесица от SQL и NoSQL бази данни, което се нарича подход на </w:t>
      </w:r>
      <w:r w:rsidR="007E785D">
        <w:t>„</w:t>
      </w:r>
      <w:r w:rsidR="007E785D" w:rsidRPr="007E785D">
        <w:t>полиглотна устойчивост</w:t>
      </w:r>
      <w:r w:rsidR="007E785D">
        <w:t>“ (</w:t>
      </w:r>
      <w:r w:rsidR="007E785D" w:rsidRPr="007E785D">
        <w:t>Polyglot</w:t>
      </w:r>
      <w:r w:rsidR="00825864">
        <w:t xml:space="preserve"> </w:t>
      </w:r>
      <w:r w:rsidR="007E785D" w:rsidRPr="007E785D">
        <w:t>Persistence</w:t>
      </w:r>
      <w:r w:rsidR="007E785D">
        <w:t>)</w:t>
      </w:r>
      <w:r w:rsidR="007E785D" w:rsidRPr="007E785D">
        <w:t>.</w:t>
      </w:r>
    </w:p>
    <w:p w14:paraId="1E7736BB" w14:textId="10AA1E52" w:rsidR="00261EE2" w:rsidRDefault="00261EE2" w:rsidP="00B672B4">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7777777" w:rsidR="00784BB6" w:rsidRPr="00084B24" w:rsidRDefault="00784BB6" w:rsidP="00B672B4">
      <w:pPr>
        <w:pStyle w:val="disbody"/>
      </w:pPr>
    </w:p>
    <w:p w14:paraId="48DF3EC3" w14:textId="37779382" w:rsidR="005307D9" w:rsidRPr="006A4AF5" w:rsidRDefault="006A4AF5" w:rsidP="006A4AF5">
      <w:pPr>
        <w:widowControl/>
        <w:spacing w:line="240" w:lineRule="auto"/>
        <w:ind w:firstLine="0"/>
        <w:jc w:val="left"/>
        <w:rPr>
          <w:sz w:val="28"/>
          <w:lang w:val="bg-BG"/>
        </w:rPr>
      </w:pPr>
      <w:r>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lastRenderedPageBreak/>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t>Защитават ресурсите;</w:t>
      </w:r>
    </w:p>
    <w:p w14:paraId="690F0A04" w14:textId="77777777" w:rsidR="005C1A0F" w:rsidRPr="005C1A0F" w:rsidRDefault="005C1A0F" w:rsidP="005C1A0F">
      <w:pPr>
        <w:pStyle w:val="disbody"/>
        <w:rPr>
          <w:lang w:val="en-US"/>
        </w:rPr>
      </w:pPr>
      <w:r w:rsidRPr="005C1A0F">
        <w:rPr>
          <w:lang w:val="en-US"/>
        </w:rPr>
        <w:t>•</w:t>
      </w:r>
      <w:r w:rsidRPr="005C1A0F">
        <w:rPr>
          <w:lang w:val="en-US"/>
        </w:rPr>
        <w:tab/>
        <w:t>Удостоверяват потребителите;</w:t>
      </w:r>
    </w:p>
    <w:p w14:paraId="6B1BC0AB" w14:textId="3B84907D" w:rsidR="005C1A0F" w:rsidRDefault="005C1A0F" w:rsidP="005C1A0F">
      <w:pPr>
        <w:pStyle w:val="disbody"/>
        <w:rPr>
          <w:lang w:val="en-US"/>
        </w:rPr>
      </w:pPr>
      <w:r w:rsidRPr="005C1A0F">
        <w:rPr>
          <w:lang w:val="en-US"/>
        </w:rPr>
        <w:t>•</w:t>
      </w:r>
      <w:r w:rsidRPr="005C1A0F">
        <w:rPr>
          <w:lang w:val="en-US"/>
        </w:rPr>
        <w:tab/>
        <w:t>Осигуряват управление на сесии;</w:t>
      </w:r>
    </w:p>
    <w:p w14:paraId="7CDE1FC6" w14:textId="77777777" w:rsidR="009E4C33" w:rsidRPr="009E4C33" w:rsidRDefault="009E4C33" w:rsidP="009E4C33">
      <w:pPr>
        <w:pStyle w:val="disbody"/>
        <w:rPr>
          <w:lang w:val="en-US"/>
        </w:rPr>
      </w:pPr>
      <w:r w:rsidRPr="009E4C33">
        <w:rPr>
          <w:lang w:val="en-US"/>
        </w:rPr>
        <w:t>Важни функции на сървъра за самоличност са:</w:t>
      </w:r>
    </w:p>
    <w:p w14:paraId="7075F649" w14:textId="77777777" w:rsidR="009E4C33" w:rsidRPr="009E4C33" w:rsidRDefault="009E4C33" w:rsidP="009E4C33">
      <w:pPr>
        <w:pStyle w:val="disbody"/>
        <w:rPr>
          <w:lang w:val="en-US"/>
        </w:rPr>
      </w:pPr>
      <w:r w:rsidRPr="009E4C33">
        <w:rPr>
          <w:lang w:val="en-US"/>
        </w:rPr>
        <w:t>•</w:t>
      </w:r>
      <w:r w:rsidRPr="009E4C33">
        <w:rPr>
          <w:lang w:val="en-US"/>
        </w:rPr>
        <w:tab/>
        <w:t>услуга  за удостоверяване, която да работи в централизиран процес;</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t>Единично влизане/излизане за множество приложения;</w:t>
      </w:r>
    </w:p>
    <w:p w14:paraId="6BA03902" w14:textId="77777777" w:rsidR="009E4C33" w:rsidRPr="009E4C33" w:rsidRDefault="009E4C33" w:rsidP="009E4C33">
      <w:pPr>
        <w:pStyle w:val="disbody"/>
        <w:rPr>
          <w:lang w:val="en-US"/>
        </w:rPr>
      </w:pPr>
      <w:r w:rsidRPr="009E4C33">
        <w:rPr>
          <w:lang w:val="en-US"/>
        </w:rPr>
        <w:t>•</w:t>
      </w:r>
      <w:r w:rsidRPr="009E4C33">
        <w:rPr>
          <w:lang w:val="en-US"/>
        </w:rPr>
        <w:tab/>
        <w:t>Покрива индустриалните стандарти OpenID Connect и OAuth 2.0;</w:t>
      </w:r>
    </w:p>
    <w:p w14:paraId="67A7D49D" w14:textId="7CB7E168" w:rsidR="009E4C33" w:rsidRPr="005C1A0F" w:rsidRDefault="009E4C33" w:rsidP="009E4C33">
      <w:pPr>
        <w:pStyle w:val="disbody"/>
        <w:rPr>
          <w:lang w:val="en-US"/>
        </w:rPr>
      </w:pPr>
      <w:r w:rsidRPr="009E4C33">
        <w:rPr>
          <w:lang w:val="en-US"/>
        </w:rPr>
        <w:t>•</w:t>
      </w:r>
      <w:r w:rsidRPr="009E4C33">
        <w:rPr>
          <w:lang w:val="en-US"/>
        </w:rPr>
        <w:tab/>
        <w:t>Шлюз към Google, Facebook и др;</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36F8F85" w14:textId="75D0CB46" w:rsidR="002E4B75" w:rsidRDefault="00B21325" w:rsidP="002E4B75">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79E1B47C" w14:textId="5ED19675" w:rsidR="002E4B75" w:rsidRDefault="002D6B2A" w:rsidP="002E4B75">
      <w:pPr>
        <w:spacing w:after="160" w:line="259" w:lineRule="auto"/>
        <w:ind w:left="1440" w:firstLine="0"/>
        <w:rPr>
          <w:lang w:val="bg-BG"/>
        </w:rPr>
      </w:pPr>
      <w:r>
        <w:rPr>
          <w:noProof/>
        </w:rPr>
        <w:pict w14:anchorId="202C4EA3">
          <v:roundrect id="Rectangle: Rounded Corners 1" o:spid="_x0000_s1030" style="position:absolute;left:0;text-align:left;margin-left:98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Пример за токен.</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D7A6C" w14:textId="77777777" w:rsidR="002D6B2A" w:rsidRDefault="002D6B2A" w:rsidP="00DA5C8B">
      <w:pPr>
        <w:spacing w:line="240" w:lineRule="auto"/>
      </w:pPr>
      <w:r>
        <w:separator/>
      </w:r>
    </w:p>
  </w:endnote>
  <w:endnote w:type="continuationSeparator" w:id="0">
    <w:p w14:paraId="49F10E78" w14:textId="77777777" w:rsidR="002D6B2A" w:rsidRDefault="002D6B2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63CC" w14:textId="77777777" w:rsidR="002D6B2A" w:rsidRDefault="002D6B2A" w:rsidP="005719C1">
      <w:pPr>
        <w:spacing w:line="240" w:lineRule="auto"/>
        <w:ind w:firstLine="0"/>
      </w:pPr>
      <w:r>
        <w:separator/>
      </w:r>
    </w:p>
  </w:footnote>
  <w:footnote w:type="continuationSeparator" w:id="0">
    <w:p w14:paraId="6E4682F4" w14:textId="77777777" w:rsidR="002D6B2A" w:rsidRDefault="002D6B2A" w:rsidP="005719C1">
      <w:pPr>
        <w:spacing w:line="240" w:lineRule="auto"/>
        <w:ind w:firstLine="0"/>
      </w:pPr>
      <w:r>
        <w:continuationSeparator/>
      </w:r>
    </w:p>
  </w:footnote>
  <w:footnote w:type="continuationNotice" w:id="1">
    <w:p w14:paraId="7546FBDB" w14:textId="77777777" w:rsidR="002D6B2A" w:rsidRDefault="002D6B2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7E02"/>
    <w:rsid w:val="001A0EAD"/>
    <w:rsid w:val="001A2C6B"/>
    <w:rsid w:val="001A2D17"/>
    <w:rsid w:val="001A3E5B"/>
    <w:rsid w:val="001A67F9"/>
    <w:rsid w:val="001A74C0"/>
    <w:rsid w:val="001A7CAC"/>
    <w:rsid w:val="001B0704"/>
    <w:rsid w:val="001B2334"/>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3BE0"/>
    <w:rsid w:val="0033709A"/>
    <w:rsid w:val="0034064D"/>
    <w:rsid w:val="00340AC8"/>
    <w:rsid w:val="00340EC0"/>
    <w:rsid w:val="00340F66"/>
    <w:rsid w:val="00342B64"/>
    <w:rsid w:val="00343BCF"/>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3C5B"/>
    <w:rsid w:val="003C46FC"/>
    <w:rsid w:val="003C4D84"/>
    <w:rsid w:val="003C544C"/>
    <w:rsid w:val="003C585B"/>
    <w:rsid w:val="003C69C0"/>
    <w:rsid w:val="003C7664"/>
    <w:rsid w:val="003C7EEF"/>
    <w:rsid w:val="003C7EFB"/>
    <w:rsid w:val="003D0A9D"/>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7562"/>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20C0E"/>
    <w:rsid w:val="006215DA"/>
    <w:rsid w:val="00622BFC"/>
    <w:rsid w:val="00622D9D"/>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2F58"/>
    <w:rsid w:val="00644DF8"/>
    <w:rsid w:val="00645E6A"/>
    <w:rsid w:val="00646672"/>
    <w:rsid w:val="00646D91"/>
    <w:rsid w:val="00647D37"/>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359A"/>
    <w:rsid w:val="00824700"/>
    <w:rsid w:val="00825864"/>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E4593"/>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2EFD"/>
    <w:rsid w:val="00C53ACE"/>
    <w:rsid w:val="00C53E1B"/>
    <w:rsid w:val="00C5704D"/>
    <w:rsid w:val="00C60776"/>
    <w:rsid w:val="00C60A9F"/>
    <w:rsid w:val="00C610CC"/>
    <w:rsid w:val="00C61F7F"/>
    <w:rsid w:val="00C6222F"/>
    <w:rsid w:val="00C6287C"/>
    <w:rsid w:val="00C644F6"/>
    <w:rsid w:val="00C7069F"/>
    <w:rsid w:val="00C70D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6CA9"/>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451B"/>
    <w:rsid w:val="00D80771"/>
    <w:rsid w:val="00D81C0F"/>
    <w:rsid w:val="00D822D5"/>
    <w:rsid w:val="00D83271"/>
    <w:rsid w:val="00D832E9"/>
    <w:rsid w:val="00D83EEA"/>
    <w:rsid w:val="00D8424B"/>
    <w:rsid w:val="00D8468E"/>
    <w:rsid w:val="00D850F5"/>
    <w:rsid w:val="00D853F2"/>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D4A"/>
    <w:rsid w:val="00E60E8C"/>
    <w:rsid w:val="00E60FBF"/>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5466"/>
    <w:rsid w:val="00E866DE"/>
    <w:rsid w:val="00E8728A"/>
    <w:rsid w:val="00E92FA7"/>
    <w:rsid w:val="00E9307F"/>
    <w:rsid w:val="00E950A8"/>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707F"/>
    <w:rsid w:val="00F53560"/>
    <w:rsid w:val="00F53E8F"/>
    <w:rsid w:val="00F550B1"/>
    <w:rsid w:val="00F568F1"/>
    <w:rsid w:val="00F57024"/>
    <w:rsid w:val="00F5726A"/>
    <w:rsid w:val="00F57FC8"/>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 Type="http://schemas.openxmlformats.org/officeDocument/2006/relationships/numbering" Target="numbering.xml"/><Relationship Id="rId16" Type="http://schemas.openxmlformats.org/officeDocument/2006/relationships/hyperlink" Target="https://learn.microsoft.com/en-us/azure/architecture/frame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azure/architecture/framewor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azure/role-based-access-control/over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7352</TotalTime>
  <Pages>13</Pages>
  <Words>4740</Words>
  <Characters>27018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551</cp:revision>
  <cp:lastPrinted>2021-12-02T13:00:00Z</cp:lastPrinted>
  <dcterms:created xsi:type="dcterms:W3CDTF">2022-06-23T10:23:00Z</dcterms:created>
  <dcterms:modified xsi:type="dcterms:W3CDTF">2022-10-10T04:23:00Z</dcterms:modified>
</cp:coreProperties>
</file>