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подмодули на </w:t>
      </w:r>
      <w:r w:rsidR="00923E7D">
        <w:rPr>
          <w:lang w:val="en-US"/>
        </w:rPr>
        <w:t>SAP</w:t>
      </w:r>
      <w:r w:rsidRPr="00084B24">
        <w:t xml:space="preserve">. Източник: </w:t>
      </w:r>
      <w:r w:rsidR="007244F8">
        <w:rPr>
          <w:lang w:val="en-US"/>
        </w:rPr>
        <w:t>P</w:t>
      </w:r>
      <w:r w:rsidR="007244F8" w:rsidRPr="007244F8">
        <w:t>luralsight</w:t>
      </w:r>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r w:rsidR="003D5F91">
        <w:t>Подмодула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Фигура 1.</w:t>
      </w:r>
      <w:r w:rsidR="00867CFB">
        <w:t>2</w:t>
      </w:r>
      <w:r w:rsidR="006A7339">
        <w:t xml:space="preserve">.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В литературата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Ganeshan and Harrison,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r w:rsidRPr="00080E7D">
        <w:rPr>
          <w:lang w:val="en-US"/>
        </w:rPr>
        <w:t>илюстрира</w:t>
      </w:r>
      <w:r>
        <w:rPr>
          <w:lang w:val="en-US"/>
        </w:rPr>
        <w:t xml:space="preserve"> </w:t>
      </w:r>
      <w:r w:rsidRPr="00080E7D">
        <w:rPr>
          <w:lang w:val="en-US"/>
        </w:rPr>
        <w:t>веригата за доставки</w:t>
      </w:r>
      <w:r>
        <w:rPr>
          <w:lang w:val="en-US"/>
        </w:rPr>
        <w:t xml:space="preserve">, </w:t>
      </w:r>
      <w:r w:rsidRPr="00080E7D">
        <w:rPr>
          <w:lang w:val="en-US"/>
        </w:rPr>
        <w:t>движ</w:t>
      </w:r>
      <w:r>
        <w:rPr>
          <w:lang w:val="en-US"/>
        </w:rPr>
        <w:t>e</w:t>
      </w:r>
      <w:r>
        <w:t>ща се</w:t>
      </w:r>
      <w:r w:rsidRPr="00080E7D">
        <w:rPr>
          <w:lang w:val="en-US"/>
        </w:rPr>
        <w:t xml:space="preserve"> от фирмата производител към крайния потребител</w:t>
      </w:r>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(Anwar,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19A3E43D" w14:textId="77777777" w:rsidR="00A329FA" w:rsidRDefault="00A329FA">
      <w:pPr>
        <w:widowControl/>
        <w:spacing w:line="240" w:lineRule="auto"/>
        <w:ind w:firstLine="0"/>
        <w:jc w:val="left"/>
        <w:rPr>
          <w:sz w:val="28"/>
          <w:szCs w:val="28"/>
          <w:lang w:val="bg-BG"/>
        </w:rPr>
      </w:pPr>
      <w:r>
        <w:rPr>
          <w:szCs w:val="28"/>
        </w:rPr>
        <w:br w:type="page"/>
      </w:r>
    </w:p>
    <w:p w14:paraId="6ACE8DE7" w14:textId="77777777" w:rsidR="00A329FA" w:rsidRDefault="00A329FA" w:rsidP="00A329FA">
      <w:pPr>
        <w:pStyle w:val="Heading3"/>
      </w:pPr>
      <w:r>
        <w:t xml:space="preserve">1.1.2. </w:t>
      </w:r>
      <w:r>
        <w:rPr>
          <w:lang w:val="bg-BG"/>
        </w:rPr>
        <w:t xml:space="preserve">Характеристика на </w:t>
      </w:r>
      <w:r w:rsidRPr="00A56814">
        <w:rPr>
          <w:lang w:val="bg-BG"/>
        </w:rPr>
        <w:t>управлението на веригата за доставки</w:t>
      </w:r>
    </w:p>
    <w:p w14:paraId="1126D493" w14:textId="77777777" w:rsidR="00A329FA" w:rsidRDefault="00A329FA" w:rsidP="00A329FA">
      <w:pPr>
        <w:pStyle w:val="disbody"/>
      </w:pPr>
      <w:r>
        <w:t>В литературата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Ganeshan and Harrison,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19B5D669" w14:textId="77777777" w:rsidR="00A329FA" w:rsidRDefault="00A329FA" w:rsidP="00A329FA">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6FEF26CD" w14:textId="77777777" w:rsidR="00A329FA" w:rsidRDefault="00A329FA" w:rsidP="00A329FA">
      <w:pPr>
        <w:pStyle w:val="disbody"/>
      </w:pPr>
      <w:r w:rsidRPr="00080E7D">
        <w:t>представената по-долу фигура</w:t>
      </w:r>
      <w:r>
        <w:rPr>
          <w:lang w:val="en-US"/>
        </w:rPr>
        <w:t xml:space="preserve"> </w:t>
      </w:r>
      <w:r w:rsidRPr="00080E7D">
        <w:rPr>
          <w:lang w:val="en-US"/>
        </w:rPr>
        <w:t>илюстрира</w:t>
      </w:r>
      <w:r>
        <w:rPr>
          <w:lang w:val="en-US"/>
        </w:rPr>
        <w:t xml:space="preserve"> </w:t>
      </w:r>
      <w:r w:rsidRPr="00080E7D">
        <w:rPr>
          <w:lang w:val="en-US"/>
        </w:rPr>
        <w:t>веригата за доставки</w:t>
      </w:r>
      <w:r>
        <w:rPr>
          <w:lang w:val="en-US"/>
        </w:rPr>
        <w:t xml:space="preserve">, </w:t>
      </w:r>
      <w:r w:rsidRPr="00080E7D">
        <w:rPr>
          <w:lang w:val="en-US"/>
        </w:rPr>
        <w:t>движ</w:t>
      </w:r>
      <w:r>
        <w:rPr>
          <w:lang w:val="en-US"/>
        </w:rPr>
        <w:t>e</w:t>
      </w:r>
      <w:r>
        <w:t>ща се</w:t>
      </w:r>
      <w:r w:rsidRPr="00080E7D">
        <w:rPr>
          <w:lang w:val="en-US"/>
        </w:rPr>
        <w:t xml:space="preserve"> от фирмата производител към крайния потребител</w:t>
      </w:r>
      <w:r>
        <w:t xml:space="preserve">. </w:t>
      </w:r>
    </w:p>
    <w:p w14:paraId="44B06A34" w14:textId="77777777" w:rsidR="00A329FA" w:rsidRDefault="00A329FA" w:rsidP="00A329FA">
      <w:pPr>
        <w:pStyle w:val="disbody"/>
      </w:pPr>
      <w:r>
        <w:rPr>
          <w:noProof/>
        </w:rPr>
        <w:drawing>
          <wp:inline distT="0" distB="0" distL="0" distR="0" wp14:anchorId="5A47FAF8" wp14:editId="1673E79E">
            <wp:extent cx="4977516" cy="1636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3EE71DBD" w14:textId="77777777" w:rsidR="00A329FA" w:rsidRPr="00084B24" w:rsidRDefault="00A329FA" w:rsidP="00A329FA">
      <w:pPr>
        <w:pStyle w:val="disfigtitle"/>
      </w:pPr>
      <w:r w:rsidRPr="00084B24">
        <w:t>Фиг. 1.</w:t>
      </w:r>
      <w:r>
        <w:t>9</w:t>
      </w:r>
      <w:r w:rsidRPr="00084B24">
        <w:t xml:space="preserve">. </w:t>
      </w:r>
      <w:r w:rsidRPr="00835A36">
        <w:t>Права и верига за доставки</w:t>
      </w:r>
      <w:r w:rsidRPr="00084B24">
        <w:t>.</w:t>
      </w:r>
    </w:p>
    <w:p w14:paraId="436CB520" w14:textId="77777777" w:rsidR="00A329FA" w:rsidRDefault="00A329FA" w:rsidP="00A329FA">
      <w:pPr>
        <w:pStyle w:val="disbody"/>
      </w:pPr>
      <w:r>
        <w:t>Управлението на веригата за доставки представлява</w:t>
      </w:r>
      <w:r w:rsidRPr="00435F06">
        <w:t xml:space="preserve"> надзор</w:t>
      </w:r>
      <w:r>
        <w:t>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r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увеличаване на производителността, ефективността, навременността, намаляване на разходите за преработване.</w:t>
      </w:r>
    </w:p>
    <w:p w14:paraId="3C6D61D2" w14:textId="77777777" w:rsidR="00A329FA" w:rsidRDefault="00A329FA" w:rsidP="00A329FA">
      <w:pPr>
        <w:pStyle w:val="disbody"/>
      </w:pPr>
      <w:r>
        <w:rPr>
          <w:lang w:val="en-US"/>
        </w:rPr>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 обменяме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Разглеждайки предлагането с търсенето, </w:t>
      </w:r>
      <w:r>
        <w:t>осигурявайки</w:t>
      </w:r>
      <w:r w:rsidRPr="007979C6">
        <w:t xml:space="preserve"> поток от информация, който определя, в кой момент трябва</w:t>
      </w:r>
      <w:r>
        <w:t>т</w:t>
      </w:r>
      <w:r w:rsidRPr="007979C6">
        <w:t xml:space="preserve"> повече запаси или </w:t>
      </w:r>
      <w:r>
        <w:t xml:space="preserve">например кои </w:t>
      </w:r>
      <w:r w:rsidRPr="007979C6">
        <w:t xml:space="preserve">продукти трябва да </w:t>
      </w:r>
      <w:r>
        <w:t xml:space="preserve">биват предлагани в </w:t>
      </w:r>
      <w:r w:rsidRPr="007979C6">
        <w:t>определен момент</w:t>
      </w:r>
      <w:r>
        <w:t xml:space="preserve">. </w:t>
      </w:r>
      <w:r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B4E7CEC" w14:textId="77777777" w:rsidR="00A329FA" w:rsidRDefault="00A329FA" w:rsidP="00A329FA">
      <w:pPr>
        <w:pStyle w:val="disbody"/>
      </w:pPr>
      <w:r>
        <w:t>У</w:t>
      </w:r>
      <w:r w:rsidRPr="00F264D1">
        <w:t>правление на веригата за доставки</w:t>
      </w:r>
      <w:r>
        <w:t xml:space="preserve"> се </w:t>
      </w:r>
      <w:r w:rsidRPr="00F264D1">
        <w:t>използва за да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1D1B3617" w14:textId="77777777" w:rsidR="00A329FA" w:rsidRDefault="00A329FA" w:rsidP="00A329FA">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37F6C75B" w14:textId="77777777" w:rsidR="00A329FA" w:rsidRDefault="00A329FA" w:rsidP="00A329FA">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t xml:space="preserve"> </w:t>
      </w:r>
      <w:r w:rsidRPr="001E7543">
        <w:t xml:space="preserve">SD, MM, PP </w:t>
      </w:r>
      <w:r>
        <w:t>съдържат тези</w:t>
      </w:r>
      <w:r w:rsidRPr="001E7543">
        <w:t xml:space="preserve"> градивни елементи.</w:t>
      </w:r>
      <w:r>
        <w:t xml:space="preserve"> А</w:t>
      </w:r>
      <w:r w:rsidRPr="00B94C06">
        <w:t>нализира</w:t>
      </w:r>
      <w:r>
        <w:t>нето</w:t>
      </w:r>
      <w:r w:rsidRPr="00B94C06">
        <w:t xml:space="preserve"> </w:t>
      </w:r>
      <w:r>
        <w:t xml:space="preserve">на </w:t>
      </w:r>
      <w:r w:rsidRPr="00B94C06">
        <w:t>информаци</w:t>
      </w:r>
      <w:r>
        <w:t>ята</w:t>
      </w:r>
      <w:r w:rsidRPr="00B94C06">
        <w:t xml:space="preserve"> идва</w:t>
      </w:r>
      <w:r>
        <w:t>ща</w:t>
      </w:r>
      <w:r w:rsidRPr="00B94C06">
        <w:t xml:space="preserve"> </w:t>
      </w:r>
      <w:r>
        <w:t>от</w:t>
      </w:r>
      <w:r w:rsidRPr="00B94C06">
        <w:t xml:space="preserve"> </w:t>
      </w:r>
      <w:r>
        <w:rPr>
          <w:lang w:val="en-US"/>
        </w:rPr>
        <w:t>ERP</w:t>
      </w:r>
      <w:r w:rsidRPr="00B94C06">
        <w:t xml:space="preserve">, </w:t>
      </w:r>
      <w:r>
        <w:t xml:space="preserve">в частност </w:t>
      </w:r>
      <w:r w:rsidRPr="00B94C06">
        <w:t xml:space="preserve">взаимоотношенията с клиенти и доставчици, </w:t>
      </w:r>
      <w:r>
        <w:t xml:space="preserve">полага </w:t>
      </w:r>
      <w:r w:rsidRPr="00B94C06">
        <w:t xml:space="preserve">добра основа за </w:t>
      </w:r>
      <w:r>
        <w:t xml:space="preserve">изграждането на персоналната </w:t>
      </w:r>
      <w:r w:rsidRPr="00B94C06">
        <w:t>верига за доставки</w:t>
      </w:r>
      <w:r>
        <w:t xml:space="preserve">. Тъй като процесът е сложен, </w:t>
      </w:r>
      <w:r>
        <w:rPr>
          <w:lang w:val="en-US"/>
        </w:rPr>
        <w:t xml:space="preserve">ERP </w:t>
      </w:r>
      <w:r>
        <w:t xml:space="preserve">не поддържа такъв </w:t>
      </w:r>
      <w:r w:rsidRPr="00E70DD4">
        <w:t>подмодул</w:t>
      </w:r>
      <w:r>
        <w:t xml:space="preserve"> </w:t>
      </w:r>
      <w:r w:rsidRPr="00E70DD4">
        <w:t>по подразбиране.</w:t>
      </w:r>
      <w:r>
        <w:rPr>
          <w:lang w:val="en-US"/>
        </w:rPr>
        <w:t xml:space="preserve"> </w:t>
      </w:r>
      <w:r>
        <w:t>В</w:t>
      </w:r>
      <w:r w:rsidRPr="008A77FF">
        <w:rPr>
          <w:lang w:val="en-US"/>
        </w:rPr>
        <w:t xml:space="preserve"> случа</w:t>
      </w:r>
      <w:r>
        <w:t>я</w:t>
      </w:r>
      <w:r w:rsidRPr="008A77FF">
        <w:rPr>
          <w:lang w:val="en-US"/>
        </w:rPr>
        <w:t xml:space="preserve"> разглеждане</w:t>
      </w:r>
      <w:r>
        <w:t>то</w:t>
      </w:r>
      <w:r w:rsidRPr="008A77FF">
        <w:rPr>
          <w:lang w:val="en-US"/>
        </w:rPr>
        <w:t xml:space="preserve"> на информацията </w:t>
      </w:r>
      <w:r>
        <w:t xml:space="preserve">предпоставя изготвянето на </w:t>
      </w:r>
      <w:r w:rsidRPr="008A77FF">
        <w:rPr>
          <w:lang w:val="en-US"/>
        </w:rPr>
        <w:t>стратегия и план.</w:t>
      </w:r>
      <w:r>
        <w:rPr>
          <w:lang w:val="en-US"/>
        </w:rPr>
        <w:t xml:space="preserve"> </w:t>
      </w:r>
      <w:r>
        <w:t>В</w:t>
      </w:r>
      <w:r w:rsidRPr="001E6D95">
        <w:rPr>
          <w:lang w:val="en-US"/>
        </w:rPr>
        <w:t>еригата за доставки започва с управлението на материалите</w:t>
      </w:r>
      <w:r>
        <w:t xml:space="preserve">, </w:t>
      </w:r>
      <w:r w:rsidRPr="001E6D95">
        <w:rPr>
          <w:lang w:val="en-US"/>
        </w:rPr>
        <w:t>включва логистично изпълнение и производствено планиране.</w:t>
      </w:r>
    </w:p>
    <w:p w14:paraId="114AADFA" w14:textId="77777777" w:rsidR="00A329FA" w:rsidRDefault="00A329FA" w:rsidP="00A329FA">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t xml:space="preserve"> Т</w:t>
      </w:r>
      <w:r w:rsidRPr="00ED535C">
        <w:t xml:space="preserve">ази прогноза </w:t>
      </w:r>
      <w:r>
        <w:t xml:space="preserve">бива </w:t>
      </w:r>
      <w:r w:rsidRPr="00ED535C">
        <w:t>въведе</w:t>
      </w:r>
      <w:r>
        <w:t>на</w:t>
      </w:r>
      <w:r w:rsidRPr="00ED535C">
        <w:t xml:space="preserve"> в</w:t>
      </w:r>
      <w:r>
        <w:t xml:space="preserve"> </w:t>
      </w:r>
      <w:r w:rsidRPr="00ED535C">
        <w:t>производствено</w:t>
      </w:r>
      <w:r>
        <w:t>то</w:t>
      </w:r>
      <w:r w:rsidRPr="00ED535C">
        <w:t xml:space="preserve"> планиране.</w:t>
      </w:r>
      <w:r>
        <w:t xml:space="preserve"> </w:t>
      </w:r>
      <w:r w:rsidRPr="004915BE">
        <w:t xml:space="preserve">Друг аспект на </w:t>
      </w:r>
      <w:r w:rsidRPr="005800E2">
        <w:t>логистичния модул</w:t>
      </w:r>
      <w:r w:rsidRPr="004915BE">
        <w:t xml:space="preserve"> е функционалността за доставк</w:t>
      </w:r>
      <w:r>
        <w:t>и към</w:t>
      </w:r>
      <w:r w:rsidRPr="004915BE">
        <w:t xml:space="preserve"> клиенти.</w:t>
      </w:r>
      <w:r>
        <w:t xml:space="preserve"> </w:t>
      </w:r>
      <w:r w:rsidRPr="004E6815">
        <w:t>Логистичното изпълнение</w:t>
      </w:r>
      <w:r>
        <w:t xml:space="preserve">, </w:t>
      </w:r>
      <w:r w:rsidRPr="004E6815">
        <w:t>като част от модула за управление на материалите</w:t>
      </w:r>
      <w:r>
        <w:t>,</w:t>
      </w:r>
      <w:r w:rsidRPr="004E6815">
        <w:t xml:space="preserve"> е мястото, където  открием нашите складови операции. </w:t>
      </w:r>
      <w:r>
        <w:t>К</w:t>
      </w:r>
      <w:r w:rsidRPr="0097010F">
        <w:t>лючов</w:t>
      </w:r>
      <w:r>
        <w:t xml:space="preserve"> момент</w:t>
      </w:r>
      <w:r w:rsidRPr="0097010F">
        <w:t xml:space="preserve"> </w:t>
      </w:r>
      <w:r>
        <w:t>в</w:t>
      </w:r>
      <w:r w:rsidRPr="0097010F">
        <w:t xml:space="preserve"> логистиката </w:t>
      </w:r>
      <w:r>
        <w:t xml:space="preserve">са </w:t>
      </w:r>
      <w:r w:rsidRPr="0097010F">
        <w:t>трансферите до</w:t>
      </w:r>
      <w:r>
        <w:t xml:space="preserve"> местата за съхранение, при </w:t>
      </w:r>
      <w:r w:rsidRPr="0097010F">
        <w:t>постъпва</w:t>
      </w:r>
      <w:r>
        <w:t xml:space="preserve">не на </w:t>
      </w:r>
      <w:r w:rsidRPr="0097010F">
        <w:t>материалите</w:t>
      </w:r>
      <w:r>
        <w:t xml:space="preserve">. </w:t>
      </w:r>
      <w:r w:rsidRPr="00D9719E">
        <w:t xml:space="preserve">Планирането на производството е друг подмодул в рамките на логистиката. </w:t>
      </w:r>
      <w:r>
        <w:t>И</w:t>
      </w:r>
      <w:r w:rsidRPr="00D9719E">
        <w:t>зползва</w:t>
      </w:r>
      <w:r>
        <w:t xml:space="preserve"> се </w:t>
      </w:r>
      <w:r w:rsidRPr="00D9719E">
        <w:t>за създаване на графици за производство и доставки за готов продукт и компонентни материали.</w:t>
      </w:r>
    </w:p>
    <w:p w14:paraId="790100F8" w14:textId="77777777" w:rsidR="00A329FA" w:rsidRDefault="00A329FA" w:rsidP="00A329FA">
      <w:pPr>
        <w:widowControl/>
        <w:spacing w:line="240" w:lineRule="auto"/>
        <w:ind w:firstLine="0"/>
        <w:jc w:val="left"/>
        <w:rPr>
          <w:sz w:val="28"/>
          <w:lang w:val="bg-BG"/>
        </w:rPr>
      </w:pPr>
      <w:r>
        <w:br w:type="page"/>
      </w:r>
    </w:p>
    <w:p w14:paraId="368F304B" w14:textId="77777777" w:rsidR="00A329FA" w:rsidRPr="00035DC2" w:rsidRDefault="00A329FA" w:rsidP="00A329FA">
      <w:pPr>
        <w:pStyle w:val="disbody"/>
      </w:pPr>
      <w:r>
        <w:t xml:space="preserve">На фигура е представен </w:t>
      </w:r>
      <w:r w:rsidRPr="001350DC">
        <w:t>модел, показва</w:t>
      </w:r>
      <w:r>
        <w:t>щ</w:t>
      </w:r>
      <w:r w:rsidRPr="001350DC">
        <w:t xml:space="preserve"> потока от информация по отношение на търсенето чрез реалното издаване на готовите материали </w:t>
      </w:r>
      <w:r>
        <w:t>з</w:t>
      </w:r>
      <w:r w:rsidRPr="001350DC">
        <w:t>а клиент.</w:t>
      </w:r>
      <w:r>
        <w:t xml:space="preserve"> </w:t>
      </w:r>
      <w:r w:rsidRPr="004822FF">
        <w:t>Основните данни са част от почти ц</w:t>
      </w:r>
      <w:r>
        <w:t xml:space="preserve">ялата </w:t>
      </w:r>
      <w:r>
        <w:rPr>
          <w:lang w:val="en-US"/>
        </w:rPr>
        <w:t>ERP:</w:t>
      </w:r>
      <w:r w:rsidRPr="004822FF">
        <w:t xml:space="preserve"> материал</w:t>
      </w:r>
      <w:r>
        <w:t>и,</w:t>
      </w:r>
      <w:r w:rsidRPr="004822FF">
        <w:t xml:space="preserve"> доставчици, клиенти се създават под формата на</w:t>
      </w:r>
      <w:r>
        <w:t xml:space="preserve"> </w:t>
      </w:r>
      <w:r w:rsidRPr="004822FF">
        <w:rPr>
          <w:b/>
          <w:bCs/>
        </w:rPr>
        <w:t>вътрешни</w:t>
      </w:r>
      <w:r>
        <w:rPr>
          <w:b/>
          <w:bCs/>
        </w:rPr>
        <w:t>,</w:t>
      </w:r>
      <w:r w:rsidRPr="004822FF">
        <w:t xml:space="preserve"> основни записи.</w:t>
      </w:r>
      <w:r>
        <w:t xml:space="preserve"> Фигурата илюстрира </w:t>
      </w:r>
      <w:r w:rsidRPr="004274C7">
        <w:t xml:space="preserve">търсене от MRP, </w:t>
      </w:r>
      <w:r>
        <w:t>(</w:t>
      </w:r>
      <w:r w:rsidRPr="004274C7">
        <w:t xml:space="preserve"> клиенти, които има</w:t>
      </w:r>
      <w:r>
        <w:t>т</w:t>
      </w:r>
      <w:r w:rsidRPr="004274C7">
        <w:t xml:space="preserve"> нужда от определено количество продукт</w:t>
      </w:r>
      <w:r>
        <w:t>)</w:t>
      </w:r>
      <w:r w:rsidRPr="004274C7">
        <w:t xml:space="preserve">. </w:t>
      </w:r>
      <w:r>
        <w:t>О</w:t>
      </w:r>
      <w:r w:rsidRPr="004274C7">
        <w:t xml:space="preserve">т гледна точка на MRP, </w:t>
      </w:r>
      <w:r>
        <w:t xml:space="preserve">това е </w:t>
      </w:r>
      <w:r w:rsidRPr="004274C7">
        <w:t>планиране на изискванията за материали.</w:t>
      </w:r>
      <w:r>
        <w:t xml:space="preserve"> Ако </w:t>
      </w:r>
      <w:r w:rsidRPr="00144230">
        <w:t>разполагаме с продукт</w:t>
      </w:r>
      <w:r>
        <w:t>а</w:t>
      </w:r>
      <w:r w:rsidRPr="00144230">
        <w:t xml:space="preserve"> или услуга</w:t>
      </w:r>
      <w:r>
        <w:t xml:space="preserve">та, можем да го </w:t>
      </w:r>
      <w:r w:rsidRPr="00144230">
        <w:t>изпратим</w:t>
      </w:r>
      <w:r>
        <w:t xml:space="preserve"> директно</w:t>
      </w:r>
      <w:r w:rsidRPr="00144230">
        <w:t xml:space="preserve"> на клиента. </w:t>
      </w:r>
      <w:r>
        <w:t xml:space="preserve">В противен случай трябва да изпратим </w:t>
      </w:r>
      <w:r w:rsidRPr="00001B10">
        <w:t>вътрешна</w:t>
      </w:r>
      <w:r>
        <w:t xml:space="preserve"> </w:t>
      </w:r>
      <w:r w:rsidRPr="00312754">
        <w:t>предложение за закупуване на материал</w:t>
      </w:r>
      <w:r w:rsidRPr="00144230">
        <w:t>.</w:t>
      </w:r>
      <w:r>
        <w:t xml:space="preserve"> С</w:t>
      </w:r>
      <w:r w:rsidRPr="00001B10">
        <w:t xml:space="preserve">лед като </w:t>
      </w:r>
      <w:r>
        <w:t xml:space="preserve">бъде </w:t>
      </w:r>
      <w:r w:rsidRPr="00001B10">
        <w:t>одобрен</w:t>
      </w:r>
      <w:r>
        <w:t>о</w:t>
      </w:r>
      <w:r w:rsidRPr="00001B10">
        <w:t xml:space="preserve">, </w:t>
      </w:r>
      <w:r>
        <w:t>материалът бива получен в инвентар. Ако</w:t>
      </w:r>
      <w:r w:rsidRPr="00777BC5">
        <w:t xml:space="preserve"> </w:t>
      </w:r>
      <w:r>
        <w:t>компанията</w:t>
      </w:r>
      <w:r w:rsidRPr="00777BC5">
        <w:t xml:space="preserve"> </w:t>
      </w:r>
      <w:r>
        <w:t>има</w:t>
      </w:r>
      <w:r w:rsidRPr="00777BC5">
        <w:t xml:space="preserve"> на склад, този материал </w:t>
      </w:r>
      <w:r>
        <w:t>се</w:t>
      </w:r>
      <w:r w:rsidRPr="00777BC5">
        <w:t xml:space="preserve"> премест</w:t>
      </w:r>
      <w:r>
        <w:t>ва</w:t>
      </w:r>
      <w:r w:rsidRPr="00777BC5">
        <w:t xml:space="preserve"> </w:t>
      </w:r>
      <w:r>
        <w:t>там</w:t>
      </w:r>
      <w:r w:rsidRPr="00777BC5">
        <w:t xml:space="preserve">. Ако част от процес </w:t>
      </w:r>
      <w:r>
        <w:t xml:space="preserve">подлежи на </w:t>
      </w:r>
      <w:r w:rsidRPr="00777BC5">
        <w:t xml:space="preserve">инспекция, </w:t>
      </w:r>
      <w:r>
        <w:t xml:space="preserve">се насочваме към модула за </w:t>
      </w:r>
      <w:r w:rsidRPr="00777BC5">
        <w:t xml:space="preserve">управление на качеството, където, след като материалите бъдат инспектирани, те се освобождават за неограничена употреба. </w:t>
      </w:r>
      <w:r>
        <w:t>В</w:t>
      </w:r>
      <w:r w:rsidRPr="00777BC5">
        <w:t>ъз основа на поръчките, материалите</w:t>
      </w:r>
      <w:r>
        <w:t xml:space="preserve"> биват </w:t>
      </w:r>
      <w:r w:rsidRPr="00777BC5">
        <w:t>издаде</w:t>
      </w:r>
      <w:r>
        <w:t>ни</w:t>
      </w:r>
      <w:r w:rsidRPr="00777BC5">
        <w:t xml:space="preserve"> и след това </w:t>
      </w:r>
      <w:r>
        <w:t xml:space="preserve">започва </w:t>
      </w:r>
      <w:r w:rsidRPr="00777BC5">
        <w:t>изходящ</w:t>
      </w:r>
      <w:r>
        <w:t>ия</w:t>
      </w:r>
      <w:r w:rsidRPr="00777BC5">
        <w:t xml:space="preserve"> логистичен процес. </w:t>
      </w:r>
      <w:r>
        <w:rPr>
          <w:noProof/>
        </w:rPr>
        <w:drawing>
          <wp:inline distT="0" distB="0" distL="0" distR="0" wp14:anchorId="778964F9" wp14:editId="6CF396B8">
            <wp:extent cx="5822900" cy="3135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E3C6D03" w14:textId="77777777" w:rsidR="00A329FA" w:rsidRPr="00084B24" w:rsidRDefault="00A329FA" w:rsidP="00A329FA">
      <w:pPr>
        <w:pStyle w:val="disfigtitle"/>
      </w:pPr>
      <w:r w:rsidRPr="00084B24">
        <w:t>Фиг. 1.</w:t>
      </w:r>
      <w:r>
        <w:t>9</w:t>
      </w:r>
      <w:r w:rsidRPr="00084B24">
        <w:t xml:space="preserve">. </w:t>
      </w:r>
      <w:r w:rsidRPr="00035DC2">
        <w:t xml:space="preserve">Принципи за проектиране на облачни системи </w:t>
      </w:r>
      <w:r w:rsidRPr="00084B24">
        <w:t>(Anwar, 20</w:t>
      </w:r>
      <w:r>
        <w:t>22</w:t>
      </w:r>
      <w:r w:rsidRPr="00084B24">
        <w:t>).</w:t>
      </w:r>
    </w:p>
    <w:p w14:paraId="5F2ED5AB" w14:textId="77777777" w:rsidR="00A329FA" w:rsidRDefault="00A329FA" w:rsidP="00A329FA">
      <w:pPr>
        <w:widowControl/>
        <w:spacing w:line="240" w:lineRule="auto"/>
        <w:ind w:firstLine="0"/>
        <w:jc w:val="left"/>
        <w:rPr>
          <w:i/>
          <w:iCs/>
          <w:sz w:val="28"/>
          <w:szCs w:val="28"/>
          <w:lang w:val="bg-BG"/>
        </w:rPr>
      </w:pPr>
      <w:r>
        <w:rPr>
          <w:i/>
          <w:iCs/>
          <w:szCs w:val="28"/>
        </w:rPr>
        <w:br w:type="page"/>
      </w:r>
    </w:p>
    <w:p w14:paraId="22C7E933" w14:textId="77777777" w:rsidR="00A329FA" w:rsidRDefault="00A329FA" w:rsidP="00A329FA">
      <w:pPr>
        <w:pStyle w:val="disbody"/>
        <w:rPr>
          <w:szCs w:val="28"/>
        </w:rPr>
      </w:pPr>
      <w:r>
        <w:rPr>
          <w:szCs w:val="28"/>
        </w:rPr>
        <w:t>В заключение, може да се обобщи, че логистичният процес се характеризира със значителна комплексност,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6A4A0877" w14:textId="77777777" w:rsidR="00A329FA" w:rsidRDefault="00A329FA" w:rsidP="00A329FA">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77777777"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t>1.1.</w:t>
      </w:r>
      <w:r>
        <w:rPr>
          <w:lang w:val="bg-BG"/>
        </w:rPr>
        <w:t>3</w:t>
      </w:r>
      <w:r>
        <w:t xml:space="preserve">. </w:t>
      </w:r>
      <w:r w:rsidR="00550782" w:rsidRPr="00550782">
        <w:t>Информационна логистика</w:t>
      </w:r>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В теоретико-приложен аспект, информационната логистика се проявява като наука и стопанска дейност по разработване и реализация на методите за набиране, съхраняване, обработка и разпространение на информация за конкретните функции и операции в логистичните системи.</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Resource Planning)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Повечето куриерски компании позволяват проследяване на пратка по номер на товарителница. Повечето превозвачи на контейнери (като например Maersk)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Един от най-често срещаните информационни потоци в логистиката е потокът „поръчки от клиенти“. Този поток е носител само на логистична, 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Информационните технологии са един от главните източници за повишаване производителността и конкурентноспособността.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оптимална маршрутизация;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business to business) и „бизнес–клиент” (B2C - business to consumer)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 xml:space="preserve">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w:t>
      </w:r>
      <w:r w:rsidR="00B472D0">
        <w:lastRenderedPageBreak/>
        <w:t>операционни и капиталови разходи“</w:t>
      </w:r>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В сферата на дистрибуцията – управлението и оперативното организиране на придвижването на потоците от крайна продукция от предприятието производители към потребителите.</w:t>
      </w:r>
    </w:p>
    <w:p w14:paraId="5A0D79EE" w14:textId="58C7EC07" w:rsidR="00305EA7" w:rsidRDefault="00C17E68" w:rsidP="004D1F4F">
      <w:pPr>
        <w:pStyle w:val="disbody"/>
        <w:ind w:firstLine="0"/>
      </w:pPr>
      <w:r>
        <w:t xml:space="preserve">5 функционални области на логистиката: закупуваща, производствена, разпределителна, транспортна и информационна (Гаджинский,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w:t>
      </w:r>
      <w:r>
        <w:lastRenderedPageBreak/>
        <w:t xml:space="preserve">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3BA4469C" w14:textId="2102BB32" w:rsidR="005E02D0"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Обект на логистиката </w:t>
      </w:r>
      <w:r w:rsidR="00AD19AE">
        <w:t>е</w:t>
      </w:r>
      <w:r>
        <w:t xml:space="preserve"> информаци</w:t>
      </w:r>
      <w:r w:rsidR="00AD19AE">
        <w:t>ята</w:t>
      </w:r>
      <w:r>
        <w:t xml:space="preserve"> за движението, състоянието и характеристиките на </w:t>
      </w:r>
      <w:r>
        <w:t>материалните</w:t>
      </w:r>
      <w:r w:rsidR="00AD19AE">
        <w:t xml:space="preserve"> </w:t>
      </w:r>
      <w:r w:rsidR="00AD19AE">
        <w:t>потоци</w:t>
      </w:r>
      <w:r w:rsidR="00AD19AE">
        <w:t>. Материален поток в логистиката е съвкупността от намиращи се в движение стоково материални ценности (ресурси,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06EF339E" w14:textId="2C87E2A5" w:rsidR="005D0159" w:rsidRPr="005E02D0"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Pr>
          <w:lang w:val="en-US"/>
        </w:rPr>
        <w:t>ISO 9000</w:t>
      </w:r>
      <w:r>
        <w:t xml:space="preserve">). </w:t>
      </w:r>
    </w:p>
    <w:p w14:paraId="7B5688BA" w14:textId="77777777" w:rsidR="005E02D0" w:rsidRPr="005C1A5D" w:rsidRDefault="005E02D0"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00E810C4" w:rsidRPr="00F43B8A">
        <w:rPr>
          <w:bCs/>
          <w:szCs w:val="28"/>
        </w:rPr>
        <w:t>Smith</w:t>
      </w:r>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00BB79A9" w:rsidRPr="00F11927">
        <w:t>Wiggins</w:t>
      </w:r>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0"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DF3AF6">
            <w:pPr>
              <w:rPr>
                <w:rFonts w:ascii="Segoe UI" w:hAnsi="Segoe UI" w:cs="Segoe UI"/>
                <w:color w:val="171717"/>
              </w:rPr>
            </w:pPr>
            <w:hyperlink r:id="rId21"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DF3AF6">
            <w:pPr>
              <w:rPr>
                <w:rFonts w:ascii="Segoe UI" w:hAnsi="Segoe UI" w:cs="Segoe UI"/>
                <w:color w:val="171717"/>
              </w:rPr>
            </w:pPr>
            <w:hyperlink r:id="rId22"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DF3AF6">
            <w:pPr>
              <w:rPr>
                <w:rFonts w:ascii="Segoe UI" w:hAnsi="Segoe UI" w:cs="Segoe UI"/>
                <w:color w:val="171717"/>
              </w:rPr>
            </w:pPr>
            <w:hyperlink r:id="rId23"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DF3AF6">
            <w:pPr>
              <w:rPr>
                <w:rFonts w:ascii="Segoe UI" w:hAnsi="Segoe UI" w:cs="Segoe UI"/>
                <w:color w:val="171717"/>
              </w:rPr>
            </w:pPr>
            <w:hyperlink r:id="rId24"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DF3AF6">
            <w:pPr>
              <w:rPr>
                <w:rFonts w:ascii="Segoe UI" w:hAnsi="Segoe UI" w:cs="Segoe UI"/>
                <w:color w:val="171717"/>
              </w:rPr>
            </w:pPr>
            <w:hyperlink r:id="rId25"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Микроуслугите насърчават фактор #6 от  принципите на дванадесетфакторното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01C30C3" w14:textId="79E11266" w:rsidR="00977D0A" w:rsidRDefault="00977D0A" w:rsidP="00073D5A">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5213C6FB" w14:textId="0F154027" w:rsidR="00A63577" w:rsidRDefault="00DC4602" w:rsidP="00DC4602">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С този модел поддържащ</w:t>
      </w:r>
      <w:r w:rsidR="009E127F">
        <w:rPr>
          <w:szCs w:val="28"/>
        </w:rPr>
        <w:t>ите</w:t>
      </w:r>
      <w:r w:rsidR="00D90ADC" w:rsidRPr="00D90ADC">
        <w:rPr>
          <w:szCs w:val="28"/>
          <w:lang w:val="en-US"/>
        </w:rPr>
        <w:t xml:space="preserve"> услуг</w:t>
      </w:r>
      <w:r w:rsidR="009E127F">
        <w:rPr>
          <w:szCs w:val="28"/>
        </w:rPr>
        <w:t>и</w:t>
      </w:r>
      <w:r w:rsidR="00D90ADC" w:rsidRPr="00D90ADC">
        <w:rPr>
          <w:szCs w:val="28"/>
          <w:lang w:val="en-US"/>
        </w:rPr>
        <w:t xml:space="preserve"> може да бъд</w:t>
      </w:r>
      <w:r w:rsidR="009E127F">
        <w:rPr>
          <w:szCs w:val="28"/>
        </w:rPr>
        <w:t xml:space="preserve">ат контролирани </w:t>
      </w:r>
      <w:r w:rsidR="00D90ADC" w:rsidRPr="00D90ADC">
        <w:rPr>
          <w:szCs w:val="28"/>
          <w:lang w:val="en-US"/>
        </w:rPr>
        <w:t xml:space="preserve">без промени в кода. </w:t>
      </w:r>
      <w:r w:rsidR="00492B9E" w:rsidRPr="00492B9E">
        <w:rPr>
          <w:szCs w:val="28"/>
          <w:lang w:val="en-US"/>
        </w:rPr>
        <w:t>Облачните доставчици предоставят API, за комуник</w:t>
      </w:r>
      <w:r w:rsidR="00492B9E">
        <w:rPr>
          <w:szCs w:val="28"/>
        </w:rPr>
        <w:t>ация</w:t>
      </w:r>
      <w:r w:rsidR="00C00C78">
        <w:rPr>
          <w:szCs w:val="28"/>
        </w:rPr>
        <w:t>, чрез</w:t>
      </w:r>
      <w:r w:rsidR="00492B9E" w:rsidRPr="00492B9E">
        <w:rPr>
          <w:szCs w:val="28"/>
          <w:lang w:val="en-US"/>
        </w:rPr>
        <w:t xml:space="preserve"> </w:t>
      </w:r>
      <w:r w:rsidR="00C00C78" w:rsidRPr="00492B9E">
        <w:rPr>
          <w:szCs w:val="28"/>
          <w:lang w:val="en-US"/>
        </w:rPr>
        <w:t>патентован</w:t>
      </w:r>
      <w:r w:rsidR="00C00C78">
        <w:rPr>
          <w:szCs w:val="28"/>
        </w:rPr>
        <w:t>и</w:t>
      </w:r>
      <w:r w:rsidR="00C00C78" w:rsidRPr="00492B9E">
        <w:rPr>
          <w:szCs w:val="28"/>
          <w:lang w:val="en-US"/>
        </w:rPr>
        <w:t xml:space="preserve"> </w:t>
      </w:r>
      <w:r w:rsidR="00492B9E" w:rsidRPr="00492B9E">
        <w:rPr>
          <w:szCs w:val="28"/>
          <w:lang w:val="en-US"/>
        </w:rPr>
        <w:t>библиотеки</w:t>
      </w:r>
      <w:r w:rsidR="00C00C78">
        <w:rPr>
          <w:szCs w:val="28"/>
        </w:rPr>
        <w:t>,</w:t>
      </w:r>
      <w:r w:rsidR="00492B9E" w:rsidRPr="00492B9E">
        <w:rPr>
          <w:szCs w:val="28"/>
          <w:lang w:val="en-US"/>
        </w:rPr>
        <w:t xml:space="preserve"> капсулира</w:t>
      </w:r>
      <w:r w:rsidR="00C00C78">
        <w:rPr>
          <w:szCs w:val="28"/>
        </w:rPr>
        <w:t>щи</w:t>
      </w:r>
      <w:r w:rsidR="00492B9E" w:rsidRPr="00492B9E">
        <w:rPr>
          <w:szCs w:val="28"/>
          <w:lang w:val="en-US"/>
        </w:rPr>
        <w:t xml:space="preserve"> сложността. </w:t>
      </w:r>
      <w:r w:rsidR="0029675C">
        <w:rPr>
          <w:szCs w:val="28"/>
        </w:rPr>
        <w:t xml:space="preserve">Добра </w:t>
      </w:r>
      <w:r w:rsidR="00492B9E" w:rsidRPr="00492B9E">
        <w:rPr>
          <w:szCs w:val="28"/>
          <w:lang w:val="en-US"/>
        </w:rPr>
        <w:t xml:space="preserve">практика е да се </w:t>
      </w:r>
      <w:r w:rsidR="0029675C">
        <w:rPr>
          <w:szCs w:val="28"/>
        </w:rPr>
        <w:t>в</w:t>
      </w:r>
      <w:r w:rsidR="00492B9E" w:rsidRPr="00492B9E">
        <w:rPr>
          <w:szCs w:val="28"/>
          <w:lang w:val="en-US"/>
        </w:rPr>
        <w:t xml:space="preserve">ъведе междинен слой или API, </w:t>
      </w:r>
      <w:r w:rsidR="0029675C">
        <w:rPr>
          <w:szCs w:val="28"/>
        </w:rPr>
        <w:t xml:space="preserve">който да предлага </w:t>
      </w:r>
      <w:r w:rsidR="00492B9E" w:rsidRPr="00492B9E">
        <w:rPr>
          <w:szCs w:val="28"/>
          <w:lang w:val="en-US"/>
        </w:rPr>
        <w:t>общи операции</w:t>
      </w:r>
      <w:r w:rsidR="0029675C">
        <w:rPr>
          <w:szCs w:val="28"/>
        </w:rPr>
        <w:t>, „</w:t>
      </w:r>
      <w:r w:rsidR="00492B9E" w:rsidRPr="00492B9E">
        <w:rPr>
          <w:szCs w:val="28"/>
          <w:lang w:val="en-US"/>
        </w:rPr>
        <w:t>обвивайки</w:t>
      </w:r>
      <w:r w:rsidR="0029675C">
        <w:rPr>
          <w:szCs w:val="28"/>
        </w:rPr>
        <w:t>“</w:t>
      </w:r>
      <w:r w:rsidR="00492B9E" w:rsidRPr="00492B9E">
        <w:rPr>
          <w:szCs w:val="28"/>
          <w:lang w:val="en-US"/>
        </w:rPr>
        <w:t xml:space="preserve"> кода на </w:t>
      </w:r>
      <w:r w:rsidR="00492B9E" w:rsidRPr="00492B9E">
        <w:rPr>
          <w:szCs w:val="28"/>
          <w:lang w:val="en-US"/>
        </w:rPr>
        <w:lastRenderedPageBreak/>
        <w:t xml:space="preserve">доставчика вътре в него. Това </w:t>
      </w:r>
      <w:r w:rsidR="0029675C">
        <w:rPr>
          <w:szCs w:val="28"/>
        </w:rPr>
        <w:t>„</w:t>
      </w:r>
      <w:r w:rsidR="00492B9E" w:rsidRPr="00492B9E">
        <w:rPr>
          <w:szCs w:val="28"/>
          <w:lang w:val="en-US"/>
        </w:rPr>
        <w:t>слабо</w:t>
      </w:r>
      <w:r w:rsidR="0029675C">
        <w:rPr>
          <w:szCs w:val="28"/>
        </w:rPr>
        <w:t>“</w:t>
      </w:r>
      <w:r w:rsidR="00492B9E" w:rsidRPr="00492B9E">
        <w:rPr>
          <w:szCs w:val="28"/>
          <w:lang w:val="en-US"/>
        </w:rPr>
        <w:t xml:space="preserve"> свързване позволява </w:t>
      </w:r>
      <w:r w:rsidR="0029675C">
        <w:rPr>
          <w:szCs w:val="28"/>
        </w:rPr>
        <w:t>обновявания</w:t>
      </w:r>
      <w:r w:rsidR="00492B9E" w:rsidRPr="00492B9E">
        <w:rPr>
          <w:szCs w:val="28"/>
          <w:lang w:val="en-US"/>
        </w:rPr>
        <w:t>, без да се налага да</w:t>
      </w:r>
      <w:r w:rsidR="0029675C">
        <w:rPr>
          <w:szCs w:val="28"/>
        </w:rPr>
        <w:t xml:space="preserve"> се правят</w:t>
      </w:r>
      <w:r w:rsidR="00492B9E" w:rsidRPr="00492B9E">
        <w:rPr>
          <w:szCs w:val="28"/>
          <w:lang w:val="en-US"/>
        </w:rPr>
        <w:t xml:space="preserve"> промени в кода на основната услуга</w:t>
      </w:r>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r w:rsidRPr="00311A02">
        <w:lastRenderedPageBreak/>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3565CE74" w14:textId="2A04885E" w:rsidR="00E72A28"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OpenID Connect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OpenID Connect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ASP.NET Core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съхранена в JavaScript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Google</w:t>
      </w:r>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r w:rsidR="00946C5E" w:rsidRPr="00B22AF4">
        <w:t xml:space="preserve">OpenID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од за оторизация или токен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r w:rsidR="00C2549C" w:rsidRPr="00C2549C">
        <w:t>OpenID Connect</w:t>
      </w:r>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r w:rsidR="00662DBD" w:rsidRPr="0095443C">
        <w:t>Authorization Code Flow</w:t>
      </w:r>
      <w:r w:rsidR="00662DBD">
        <w:t>)</w:t>
      </w:r>
      <w:r w:rsidR="005E4620">
        <w:rPr>
          <w:lang w:val="en-US"/>
        </w:rPr>
        <w:t xml:space="preserve"> </w:t>
      </w:r>
      <w:r w:rsidR="005E4620">
        <w:t xml:space="preserve">подплатен с </w:t>
      </w:r>
      <w:r w:rsidR="005E4620" w:rsidRPr="005E4620">
        <w:t>PKCE защита</w:t>
      </w:r>
      <w:r w:rsidR="0095443C">
        <w:t xml:space="preserve"> (</w:t>
      </w:r>
      <w:r w:rsidR="0095443C" w:rsidRPr="0095443C">
        <w:t>OAuth 2.0 Security Best Current Practice RFC</w:t>
      </w:r>
      <w:r w:rsidR="00BB2603">
        <w:rPr>
          <w:lang w:val="en-US"/>
        </w:rPr>
        <w:t xml:space="preserve"> / </w:t>
      </w:r>
      <w:hyperlink r:id="rId28"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r w:rsidR="00C06527">
        <w:t>токен</w:t>
      </w:r>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r w:rsidR="00BB28A3" w:rsidRPr="004F1EC7">
        <w:t>client_id</w:t>
      </w:r>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r w:rsidR="00BB28A3" w:rsidRPr="00BB28A3">
        <w:t>openid</w:t>
      </w:r>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r w:rsidR="005F48A9" w:rsidRPr="005F48A9">
        <w:t>response_type</w:t>
      </w:r>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response_type, са нещата или токените,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а токен</w:t>
      </w:r>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комбинация от clientid и clientsecret.</w:t>
      </w:r>
      <w:r w:rsidR="00365EA7">
        <w:rPr>
          <w:szCs w:val="28"/>
        </w:rPr>
        <w:t xml:space="preserve"> Д</w:t>
      </w:r>
      <w:r w:rsidR="00365EA7" w:rsidRPr="00365EA7">
        <w:rPr>
          <w:szCs w:val="28"/>
        </w:rPr>
        <w:t xml:space="preserve">оставчикът на самоличност генерира токен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токенът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3A015928" w14:textId="77777777" w:rsidR="008E38F3" w:rsidRDefault="008E38F3" w:rsidP="008E38F3">
      <w:pPr>
        <w:pStyle w:val="disbody"/>
      </w:pPr>
      <w:r>
        <w:t>Стандарт (RFC 7519) за уеб приложенията е JSON уеб токен (JWT). Той се състои от три части:</w:t>
      </w:r>
    </w:p>
    <w:p w14:paraId="60C62F64" w14:textId="77777777" w:rsidR="008E38F3" w:rsidRDefault="008E38F3" w:rsidP="008E38F3">
      <w:pPr>
        <w:pStyle w:val="disbody"/>
      </w:pPr>
      <w:r>
        <w:t>•</w:t>
      </w:r>
      <w:r>
        <w:tab/>
        <w:t>Заглавна - JSON обект, кодиран във формат base64. Съдържа информация за типа на токена и алгоритъма за криптиране;</w:t>
      </w:r>
    </w:p>
    <w:p w14:paraId="2E1503B1" w14:textId="77777777" w:rsidR="008E38F3" w:rsidRDefault="008E38F3" w:rsidP="008E38F3">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1"/>
      <w:footerReference w:type="default" r:id="rId3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2D1C6" w14:textId="77777777" w:rsidR="00DF3AF6" w:rsidRDefault="00DF3AF6" w:rsidP="00DA5C8B">
      <w:pPr>
        <w:spacing w:line="240" w:lineRule="auto"/>
      </w:pPr>
      <w:r>
        <w:separator/>
      </w:r>
    </w:p>
  </w:endnote>
  <w:endnote w:type="continuationSeparator" w:id="0">
    <w:p w14:paraId="6A7CC486" w14:textId="77777777" w:rsidR="00DF3AF6" w:rsidRDefault="00DF3AF6"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2432B" w14:textId="77777777" w:rsidR="00DF3AF6" w:rsidRDefault="00DF3AF6" w:rsidP="005719C1">
      <w:pPr>
        <w:spacing w:line="240" w:lineRule="auto"/>
        <w:ind w:firstLine="0"/>
      </w:pPr>
      <w:r>
        <w:separator/>
      </w:r>
    </w:p>
  </w:footnote>
  <w:footnote w:type="continuationSeparator" w:id="0">
    <w:p w14:paraId="7E4CBDF9" w14:textId="77777777" w:rsidR="00DF3AF6" w:rsidRDefault="00DF3AF6" w:rsidP="005719C1">
      <w:pPr>
        <w:spacing w:line="240" w:lineRule="auto"/>
        <w:ind w:firstLine="0"/>
      </w:pPr>
      <w:r>
        <w:continuationSeparator/>
      </w:r>
    </w:p>
  </w:footnote>
  <w:footnote w:type="continuationNotice" w:id="1">
    <w:p w14:paraId="45C3C06C" w14:textId="77777777" w:rsidR="00DF3AF6" w:rsidRDefault="00DF3AF6"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A2BD6"/>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54A"/>
    <w:rsid w:val="00DF778A"/>
    <w:rsid w:val="00DF7C47"/>
    <w:rsid w:val="00DF7EC6"/>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role-based-access-control/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hyperlink" Target="https://datatracker.ietf.org/doc/html/draft-ietf-oauth-security-topics-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8235</TotalTime>
  <Pages>25</Pages>
  <Words>11377</Words>
  <Characters>64850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940</cp:revision>
  <cp:lastPrinted>2021-12-02T13:00:00Z</cp:lastPrinted>
  <dcterms:created xsi:type="dcterms:W3CDTF">2022-06-23T10:23:00Z</dcterms:created>
  <dcterms:modified xsi:type="dcterms:W3CDTF">2023-02-03T13:57:00Z</dcterms:modified>
</cp:coreProperties>
</file>