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lastRenderedPageBreak/>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rsidR="0000367E">
        <w:t>п</w:t>
      </w:r>
      <w:r>
        <w:t xml:space="preserve">опулярност </w:t>
      </w:r>
      <w:r w:rsidR="00C925BB">
        <w:t>според</w:t>
      </w:r>
      <w:r w:rsidRPr="00856576">
        <w:t xml:space="preserve"> </w:t>
      </w:r>
      <w:proofErr w:type="spellStart"/>
      <w:r>
        <w:t>Google</w:t>
      </w:r>
      <w:proofErr w:type="spellEnd"/>
      <w:r>
        <w:t xml:space="preserv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 xml:space="preserve">предлага библиотеката с GUI настолни приложения, уеб рамката ASP.NET и функцията за достъп до данни ADO.NET. Цялата операция разчита на </w:t>
      </w:r>
      <w:proofErr w:type="spellStart"/>
      <w:r w:rsidR="006967F6" w:rsidRPr="006967F6">
        <w:t>Common</w:t>
      </w:r>
      <w:proofErr w:type="spellEnd"/>
      <w:r w:rsidR="006967F6" w:rsidRPr="006967F6">
        <w:t xml:space="preserve"> </w:t>
      </w:r>
      <w:proofErr w:type="spellStart"/>
      <w:r w:rsidR="006967F6" w:rsidRPr="006967F6">
        <w:t>Language</w:t>
      </w:r>
      <w:proofErr w:type="spellEnd"/>
      <w:r w:rsidR="006967F6" w:rsidRPr="006967F6">
        <w:t xml:space="preserve"> </w:t>
      </w:r>
      <w:proofErr w:type="spellStart"/>
      <w:r w:rsidR="006967F6" w:rsidRPr="006967F6">
        <w:t>Runtime</w:t>
      </w:r>
      <w:proofErr w:type="spellEnd"/>
      <w:r w:rsidR="006967F6" w:rsidRPr="006967F6">
        <w:t xml:space="preserv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 xml:space="preserve">истема за </w:t>
      </w:r>
      <w:proofErr w:type="spellStart"/>
      <w:r w:rsidR="00440C51" w:rsidRPr="00440C51">
        <w:t>кеширане</w:t>
      </w:r>
      <w:proofErr w:type="spellEnd"/>
      <w:r w:rsidR="00440C51">
        <w:t>, и</w:t>
      </w:r>
      <w:r w:rsidR="00440C51" w:rsidRPr="00440C51">
        <w:t xml:space="preserve">нтегрирана среда за разработка на </w:t>
      </w:r>
      <w:proofErr w:type="spellStart"/>
      <w:r w:rsidR="00440C51" w:rsidRPr="00440C51">
        <w:t>Visual</w:t>
      </w:r>
      <w:proofErr w:type="spellEnd"/>
      <w:r w:rsidR="00440C51" w:rsidRPr="00440C51">
        <w:t xml:space="preserve"> </w:t>
      </w:r>
      <w:proofErr w:type="spellStart"/>
      <w:r w:rsidR="00440C51" w:rsidRPr="00440C51">
        <w:t>Studio</w:t>
      </w:r>
      <w:proofErr w:type="spellEnd"/>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proofErr w:type="spellStart"/>
      <w:r w:rsidRPr="000262B1">
        <w:rPr>
          <w:lang w:val="en-US"/>
        </w:rPr>
        <w:t>Въпреки</w:t>
      </w:r>
      <w:proofErr w:type="spellEnd"/>
      <w:r>
        <w:t xml:space="preserve"> всичко</w:t>
      </w:r>
      <w:r w:rsidRPr="000262B1">
        <w:rPr>
          <w:lang w:val="en-US"/>
        </w:rPr>
        <w:t xml:space="preserve"> </w:t>
      </w:r>
      <w:proofErr w:type="spellStart"/>
      <w:r w:rsidRPr="000262B1">
        <w:rPr>
          <w:lang w:val="en-US"/>
        </w:rPr>
        <w:t>това</w:t>
      </w:r>
      <w:proofErr w:type="spellEnd"/>
      <w:r w:rsidRPr="000262B1">
        <w:rPr>
          <w:lang w:val="en-US"/>
        </w:rPr>
        <w:t xml:space="preserve">, </w:t>
      </w:r>
      <w:proofErr w:type="spellStart"/>
      <w:r w:rsidRPr="000262B1">
        <w:rPr>
          <w:lang w:val="en-US"/>
        </w:rPr>
        <w:t>той</w:t>
      </w:r>
      <w:proofErr w:type="spellEnd"/>
      <w:r w:rsidRPr="000262B1">
        <w:rPr>
          <w:lang w:val="en-US"/>
        </w:rPr>
        <w:t xml:space="preserve"> </w:t>
      </w:r>
      <w:proofErr w:type="spellStart"/>
      <w:r w:rsidRPr="000262B1">
        <w:rPr>
          <w:lang w:val="en-US"/>
        </w:rPr>
        <w:t>идва</w:t>
      </w:r>
      <w:proofErr w:type="spellEnd"/>
      <w:r w:rsidRPr="000262B1">
        <w:rPr>
          <w:lang w:val="en-US"/>
        </w:rPr>
        <w:t xml:space="preserve"> и с </w:t>
      </w:r>
      <w:proofErr w:type="spellStart"/>
      <w:r w:rsidRPr="000262B1">
        <w:rPr>
          <w:lang w:val="en-US"/>
        </w:rPr>
        <w:t>доста</w:t>
      </w:r>
      <w:proofErr w:type="spellEnd"/>
      <w:r w:rsidRPr="000262B1">
        <w:rPr>
          <w:lang w:val="en-US"/>
        </w:rPr>
        <w:t xml:space="preserve"> </w:t>
      </w:r>
      <w:proofErr w:type="spellStart"/>
      <w:r w:rsidRPr="000262B1">
        <w:rPr>
          <w:lang w:val="en-US"/>
        </w:rPr>
        <w:t>неуспехи</w:t>
      </w:r>
      <w:proofErr w:type="spellEnd"/>
      <w:r w:rsidRPr="000262B1">
        <w:rPr>
          <w:lang w:val="en-US"/>
        </w:rPr>
        <w:t>,</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 xml:space="preserve">Java е </w:t>
      </w:r>
      <w:proofErr w:type="spellStart"/>
      <w:r w:rsidRPr="002719CC">
        <w:rPr>
          <w:lang w:val="en-US"/>
        </w:rPr>
        <w:t>един</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най-широко</w:t>
      </w:r>
      <w:proofErr w:type="spellEnd"/>
      <w:r w:rsidRPr="002719CC">
        <w:rPr>
          <w:lang w:val="en-US"/>
        </w:rPr>
        <w:t xml:space="preserve"> </w:t>
      </w:r>
      <w:proofErr w:type="spellStart"/>
      <w:r w:rsidRPr="002719CC">
        <w:rPr>
          <w:lang w:val="en-US"/>
        </w:rPr>
        <w:t>разпространените</w:t>
      </w:r>
      <w:proofErr w:type="spellEnd"/>
      <w:r w:rsidRPr="002719CC">
        <w:rPr>
          <w:lang w:val="en-US"/>
        </w:rPr>
        <w:t xml:space="preserve"> </w:t>
      </w:r>
      <w:proofErr w:type="spellStart"/>
      <w:r w:rsidRPr="002719CC">
        <w:rPr>
          <w:lang w:val="en-US"/>
        </w:rPr>
        <w:t>езици</w:t>
      </w:r>
      <w:proofErr w:type="spellEnd"/>
      <w:r w:rsidRPr="002719CC">
        <w:rPr>
          <w:lang w:val="en-US"/>
        </w:rPr>
        <w:t xml:space="preserve"> </w:t>
      </w:r>
      <w:proofErr w:type="spellStart"/>
      <w:r w:rsidRPr="002719CC">
        <w:rPr>
          <w:lang w:val="en-US"/>
        </w:rPr>
        <w:t>за</w:t>
      </w:r>
      <w:proofErr w:type="spellEnd"/>
      <w:r w:rsidRPr="002719CC">
        <w:rPr>
          <w:lang w:val="en-US"/>
        </w:rPr>
        <w:t xml:space="preserve"> </w:t>
      </w:r>
      <w:proofErr w:type="spellStart"/>
      <w:r w:rsidRPr="002719CC">
        <w:rPr>
          <w:lang w:val="en-US"/>
        </w:rPr>
        <w:t>програмиране</w:t>
      </w:r>
      <w:proofErr w:type="spellEnd"/>
      <w:r w:rsidRPr="002719CC">
        <w:rPr>
          <w:lang w:val="en-US"/>
        </w:rPr>
        <w:t xml:space="preserve">. </w:t>
      </w:r>
      <w:proofErr w:type="spellStart"/>
      <w:r w:rsidRPr="002719CC">
        <w:rPr>
          <w:lang w:val="en-US"/>
        </w:rPr>
        <w:t>Причина</w:t>
      </w:r>
      <w:proofErr w:type="spellEnd"/>
      <w:r>
        <w:rPr>
          <w:lang w:val="en-US"/>
        </w:rPr>
        <w:t xml:space="preserve"> </w:t>
      </w:r>
      <w:r>
        <w:t>за това</w:t>
      </w:r>
      <w:r w:rsidRPr="002719CC">
        <w:rPr>
          <w:lang w:val="en-US"/>
        </w:rPr>
        <w:t xml:space="preserve"> е, </w:t>
      </w:r>
      <w:proofErr w:type="spellStart"/>
      <w:r w:rsidRPr="002719CC">
        <w:rPr>
          <w:lang w:val="en-US"/>
        </w:rPr>
        <w:t>че</w:t>
      </w:r>
      <w:proofErr w:type="spellEnd"/>
      <w:r w:rsidRPr="002719CC">
        <w:rPr>
          <w:lang w:val="en-US"/>
        </w:rPr>
        <w:t xml:space="preserve"> </w:t>
      </w:r>
      <w:proofErr w:type="spellStart"/>
      <w:r w:rsidRPr="002719CC">
        <w:rPr>
          <w:lang w:val="en-US"/>
        </w:rPr>
        <w:t>има</w:t>
      </w:r>
      <w:proofErr w:type="spellEnd"/>
      <w:r w:rsidRPr="002719CC">
        <w:rPr>
          <w:lang w:val="en-US"/>
        </w:rPr>
        <w:t xml:space="preserve"> </w:t>
      </w:r>
      <w:proofErr w:type="spellStart"/>
      <w:r w:rsidRPr="002719CC">
        <w:rPr>
          <w:lang w:val="en-US"/>
        </w:rPr>
        <w:t>много</w:t>
      </w:r>
      <w:proofErr w:type="spellEnd"/>
      <w:r w:rsidRPr="002719CC">
        <w:rPr>
          <w:lang w:val="en-US"/>
        </w:rPr>
        <w:t xml:space="preserve"> </w:t>
      </w:r>
      <w:proofErr w:type="spellStart"/>
      <w:r w:rsidRPr="002719CC">
        <w:rPr>
          <w:lang w:val="en-US"/>
        </w:rPr>
        <w:t>предимства</w:t>
      </w:r>
      <w:proofErr w:type="spellEnd"/>
      <w:r w:rsidRPr="002719CC">
        <w:rPr>
          <w:lang w:val="en-US"/>
        </w:rPr>
        <w:t xml:space="preserve">, </w:t>
      </w:r>
      <w:proofErr w:type="spellStart"/>
      <w:r w:rsidRPr="002719CC">
        <w:rPr>
          <w:lang w:val="en-US"/>
        </w:rPr>
        <w:t>които</w:t>
      </w:r>
      <w:proofErr w:type="spellEnd"/>
      <w:r w:rsidRPr="002719CC">
        <w:rPr>
          <w:lang w:val="en-US"/>
        </w:rPr>
        <w:t xml:space="preserve"> </w:t>
      </w:r>
      <w:proofErr w:type="spellStart"/>
      <w:r w:rsidRPr="002719CC">
        <w:rPr>
          <w:lang w:val="en-US"/>
        </w:rPr>
        <w:t>помагат</w:t>
      </w:r>
      <w:proofErr w:type="spellEnd"/>
      <w:r w:rsidRPr="002719CC">
        <w:rPr>
          <w:lang w:val="en-US"/>
        </w:rPr>
        <w:t xml:space="preserve"> </w:t>
      </w:r>
      <w:proofErr w:type="spellStart"/>
      <w:r w:rsidRPr="002719CC">
        <w:rPr>
          <w:lang w:val="en-US"/>
        </w:rPr>
        <w:t>на</w:t>
      </w:r>
      <w:proofErr w:type="spellEnd"/>
      <w:r w:rsidRPr="002719CC">
        <w:rPr>
          <w:lang w:val="en-US"/>
        </w:rPr>
        <w:t xml:space="preserve"> </w:t>
      </w:r>
      <w:proofErr w:type="spellStart"/>
      <w:r w:rsidRPr="002719CC">
        <w:rPr>
          <w:lang w:val="en-US"/>
        </w:rPr>
        <w:t>програмистите</w:t>
      </w:r>
      <w:proofErr w:type="spellEnd"/>
      <w:r w:rsidRPr="002719CC">
        <w:rPr>
          <w:lang w:val="en-US"/>
        </w:rPr>
        <w:t xml:space="preserve"> </w:t>
      </w:r>
      <w:proofErr w:type="spellStart"/>
      <w:r w:rsidRPr="002719CC">
        <w:rPr>
          <w:lang w:val="en-US"/>
        </w:rPr>
        <w:t>да</w:t>
      </w:r>
      <w:proofErr w:type="spellEnd"/>
      <w:r w:rsidRPr="002719CC">
        <w:rPr>
          <w:lang w:val="en-US"/>
        </w:rPr>
        <w:t xml:space="preserve"> </w:t>
      </w:r>
      <w:proofErr w:type="spellStart"/>
      <w:r w:rsidRPr="002719CC">
        <w:rPr>
          <w:lang w:val="en-US"/>
        </w:rPr>
        <w:t>решават</w:t>
      </w:r>
      <w:proofErr w:type="spellEnd"/>
      <w:r w:rsidRPr="002719CC">
        <w:rPr>
          <w:lang w:val="en-US"/>
        </w:rPr>
        <w:t xml:space="preserve"> </w:t>
      </w:r>
      <w:proofErr w:type="spellStart"/>
      <w:r w:rsidRPr="002719CC">
        <w:rPr>
          <w:lang w:val="en-US"/>
        </w:rPr>
        <w:t>сложни</w:t>
      </w:r>
      <w:proofErr w:type="spellEnd"/>
      <w:r w:rsidRPr="002719CC">
        <w:rPr>
          <w:lang w:val="en-US"/>
        </w:rPr>
        <w:t xml:space="preserve"> </w:t>
      </w:r>
      <w:proofErr w:type="spellStart"/>
      <w:r w:rsidRPr="002719CC">
        <w:rPr>
          <w:lang w:val="en-US"/>
        </w:rPr>
        <w:t>проблеми</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реалния</w:t>
      </w:r>
      <w:proofErr w:type="spellEnd"/>
      <w:r w:rsidRPr="002719CC">
        <w:rPr>
          <w:lang w:val="en-US"/>
        </w:rPr>
        <w:t xml:space="preserve"> </w:t>
      </w:r>
      <w:proofErr w:type="spellStart"/>
      <w:r w:rsidRPr="002719CC">
        <w:rPr>
          <w:lang w:val="en-US"/>
        </w:rPr>
        <w:t>свят</w:t>
      </w:r>
      <w:proofErr w:type="spellEnd"/>
      <w:r w:rsidRPr="002719CC">
        <w:rPr>
          <w:lang w:val="en-US"/>
        </w:rPr>
        <w:t>.</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w:t>
      </w:r>
      <w:r w:rsidR="00D018DC">
        <w:t xml:space="preserve">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w:t>
      </w:r>
      <w:proofErr w:type="spellStart"/>
      <w:r w:rsidR="00677BA5">
        <w:t>многонишков</w:t>
      </w:r>
      <w:proofErr w:type="spellEnd"/>
      <w:r w:rsidR="00677BA5">
        <w:t xml:space="preserve"> с </w:t>
      </w:r>
      <w:r w:rsidR="00677BA5" w:rsidRPr="00677BA5">
        <w:t>ефективна стратегия за разпределение на паметта</w:t>
      </w:r>
      <w:r w:rsidR="00677BA5">
        <w:t>.</w:t>
      </w:r>
    </w:p>
    <w:p w14:paraId="7026FB0E" w14:textId="53BD416F" w:rsidR="007219B8" w:rsidRDefault="00677BA5" w:rsidP="00C32DDE">
      <w:pPr>
        <w:pStyle w:val="disbody"/>
        <w:rPr>
          <w:lang w:val="en-US"/>
        </w:rPr>
      </w:pPr>
      <w:r>
        <w:t>Н</w:t>
      </w:r>
      <w:proofErr w:type="spellStart"/>
      <w:r w:rsidR="002719CC" w:rsidRPr="002719CC">
        <w:rPr>
          <w:lang w:val="en-US"/>
        </w:rPr>
        <w:t>едостатъците</w:t>
      </w:r>
      <w:proofErr w:type="spellEnd"/>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24EAD853" w14:textId="640DDCC4" w:rsidR="00245B37" w:rsidRDefault="00245B37">
      <w:pPr>
        <w:widowControl/>
        <w:spacing w:after="160" w:line="259" w:lineRule="auto"/>
        <w:ind w:firstLine="0"/>
        <w:jc w:val="left"/>
        <w:rPr>
          <w:sz w:val="28"/>
        </w:rPr>
      </w:pPr>
      <w:r>
        <w:br w:type="page"/>
      </w: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r w:rsidRPr="00A322B1">
        <w:t xml:space="preserve">Различните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за съхранение на данните. </w:t>
      </w:r>
      <w:proofErr w:type="spellStart"/>
      <w:r w:rsidRPr="00A322B1">
        <w:t>Azure</w:t>
      </w:r>
      <w:proofErr w:type="spellEnd"/>
      <w:r w:rsidRPr="00A322B1">
        <w:t xml:space="preserv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xml:space="preserve">, силно </w:t>
      </w:r>
      <w:r w:rsidRPr="00A322B1">
        <w:lastRenderedPageBreak/>
        <w:t>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proofErr w:type="spellStart"/>
      <w:r w:rsidRPr="00A322B1">
        <w:rPr>
          <w:b/>
          <w:bCs/>
        </w:rPr>
        <w:t>Docker</w:t>
      </w:r>
      <w:proofErr w:type="spellEnd"/>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w:t>
      </w:r>
      <w:proofErr w:type="spellStart"/>
      <w:r w:rsidRPr="00A322B1">
        <w:t>Docker</w:t>
      </w:r>
      <w:proofErr w:type="spellEnd"/>
      <w:r w:rsidRPr="00A322B1">
        <w:t xml:space="preserve"> контейнерите могат да работят върху </w:t>
      </w:r>
      <w:proofErr w:type="spellStart"/>
      <w:r w:rsidRPr="00A322B1">
        <w:lastRenderedPageBreak/>
        <w:t>Linux</w:t>
      </w:r>
      <w:proofErr w:type="spellEnd"/>
      <w:r w:rsidRPr="00A322B1">
        <w:t xml:space="preserve">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xml:space="preserve">. Виртуални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w:t>
      </w:r>
      <w:r w:rsidRPr="00A322B1">
        <w:lastRenderedPageBreak/>
        <w:t>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w:t>
      </w:r>
      <w:r w:rsidRPr="00D61C29">
        <w:rPr>
          <w:color w:val="222222"/>
          <w:szCs w:val="28"/>
          <w:shd w:val="clear" w:color="auto" w:fill="FFFFFF"/>
        </w:rPr>
        <w:lastRenderedPageBreak/>
        <w:t xml:space="preserve">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1C8A4BB6" w14:textId="77777777" w:rsidR="004C6711" w:rsidRDefault="004C6711">
      <w:pPr>
        <w:widowControl/>
        <w:spacing w:after="160" w:line="259" w:lineRule="auto"/>
        <w:ind w:firstLine="0"/>
        <w:jc w:val="left"/>
        <w:rPr>
          <w:b/>
          <w:bCs/>
          <w:i/>
          <w:iCs/>
        </w:rPr>
      </w:pPr>
      <w:r>
        <w:rPr>
          <w:b/>
          <w:bCs/>
          <w:i/>
          <w:iCs/>
        </w:rPr>
        <w:br w:type="page"/>
      </w:r>
    </w:p>
    <w:p w14:paraId="18ADDD34" w14:textId="77777777" w:rsidR="00A20D52" w:rsidRPr="00783879" w:rsidRDefault="00A20D52" w:rsidP="00A20D52">
      <w:pPr>
        <w:ind w:firstLine="0"/>
        <w:jc w:val="center"/>
        <w:rPr>
          <w:b/>
          <w:bCs/>
          <w:i/>
          <w:iCs/>
        </w:rPr>
      </w:pP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8EDD" w14:textId="77777777" w:rsidR="001D2917" w:rsidRDefault="001D2917" w:rsidP="00B558EE">
      <w:pPr>
        <w:spacing w:line="240" w:lineRule="auto"/>
      </w:pPr>
      <w:r>
        <w:separator/>
      </w:r>
    </w:p>
  </w:endnote>
  <w:endnote w:type="continuationSeparator" w:id="0">
    <w:p w14:paraId="4DE597B6" w14:textId="77777777" w:rsidR="001D2917" w:rsidRDefault="001D2917"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577D" w14:textId="77777777" w:rsidR="001D2917" w:rsidRDefault="001D2917" w:rsidP="00B558EE">
      <w:pPr>
        <w:spacing w:line="240" w:lineRule="auto"/>
      </w:pPr>
      <w:r>
        <w:separator/>
      </w:r>
    </w:p>
  </w:footnote>
  <w:footnote w:type="continuationSeparator" w:id="0">
    <w:p w14:paraId="341F81D9" w14:textId="77777777" w:rsidR="001D2917" w:rsidRDefault="001D2917"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A66D3"/>
    <w:rsid w:val="002B273D"/>
    <w:rsid w:val="002E7684"/>
    <w:rsid w:val="00302A59"/>
    <w:rsid w:val="00307575"/>
    <w:rsid w:val="00311E0C"/>
    <w:rsid w:val="00313BF3"/>
    <w:rsid w:val="00315DC7"/>
    <w:rsid w:val="0032584D"/>
    <w:rsid w:val="00340531"/>
    <w:rsid w:val="003604ED"/>
    <w:rsid w:val="003709CF"/>
    <w:rsid w:val="0037712A"/>
    <w:rsid w:val="003C40C3"/>
    <w:rsid w:val="003D2CB5"/>
    <w:rsid w:val="003D69DC"/>
    <w:rsid w:val="003F245C"/>
    <w:rsid w:val="0041217A"/>
    <w:rsid w:val="00440C51"/>
    <w:rsid w:val="00441C93"/>
    <w:rsid w:val="0044217F"/>
    <w:rsid w:val="00444E49"/>
    <w:rsid w:val="0048589D"/>
    <w:rsid w:val="004A04A8"/>
    <w:rsid w:val="004A4B9C"/>
    <w:rsid w:val="004B140D"/>
    <w:rsid w:val="004B7E41"/>
    <w:rsid w:val="004C36C3"/>
    <w:rsid w:val="004C6711"/>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4E6E"/>
    <w:rsid w:val="00F12350"/>
    <w:rsid w:val="00F129F4"/>
    <w:rsid w:val="00F21B75"/>
    <w:rsid w:val="00F234BE"/>
    <w:rsid w:val="00F275FD"/>
    <w:rsid w:val="00F34365"/>
    <w:rsid w:val="00F67401"/>
    <w:rsid w:val="00F67E57"/>
    <w:rsid w:val="00F7682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14</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243</cp:revision>
  <dcterms:created xsi:type="dcterms:W3CDTF">2022-08-27T05:10:00Z</dcterms:created>
  <dcterms:modified xsi:type="dcterms:W3CDTF">2022-11-25T14:37:00Z</dcterms:modified>
</cp:coreProperties>
</file>