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4EECA4AF" w:rsidR="00A54BF7" w:rsidRDefault="00DA1E9F" w:rsidP="00B558EE">
      <w:pPr>
        <w:pStyle w:val="disbody"/>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r>
        <w:t>Основни бизнес процеси в компанията</w:t>
      </w:r>
    </w:p>
    <w:p w14:paraId="197D8AF6" w14:textId="0B25D637" w:rsidR="003D69DC" w:rsidRDefault="001167F8" w:rsidP="003D2CB5">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CA8BF6" w:rsidR="00893CFE" w:rsidRDefault="00893CFE" w:rsidP="00893CFE">
      <w:pPr>
        <w:pStyle w:val="Heading3"/>
      </w:pPr>
      <w:r>
        <w:lastRenderedPageBreak/>
        <w:t xml:space="preserve">3.1.2. </w:t>
      </w:r>
      <w:r w:rsidR="00F67E57">
        <w:rPr>
          <w:lang w:val="bg-BG"/>
        </w:rPr>
        <w:t>С</w:t>
      </w:r>
      <w:r w:rsidR="00F67E57" w:rsidRPr="00F67E57">
        <w:t>тимулиране на продажби</w:t>
      </w:r>
      <w:r w:rsidR="00F67E57">
        <w:rPr>
          <w:lang w:val="bg-BG"/>
        </w:rPr>
        <w:t>те</w:t>
      </w:r>
      <w:r w:rsidR="00F67E57" w:rsidRPr="00F67E57">
        <w:t xml:space="preserve"> чрез цифрови технологии</w:t>
      </w:r>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о-бърз</w:t>
      </w:r>
      <w:r w:rsidR="0096255A">
        <w:t>о и</w:t>
      </w:r>
      <w:r w:rsidR="0096255A" w:rsidRPr="0096255A">
        <w:rPr>
          <w:lang w:val="en-US"/>
        </w:rPr>
        <w:t xml:space="preserve"> рентабилен</w:t>
      </w:r>
      <w:r w:rsidR="0096255A">
        <w:t xml:space="preserve">о </w:t>
      </w:r>
      <w:r w:rsidR="0096255A" w:rsidRPr="0096255A">
        <w:rPr>
          <w:lang w:val="en-US"/>
        </w:rPr>
        <w:t xml:space="preserve">планиране </w:t>
      </w:r>
      <w:r w:rsidR="0096255A">
        <w:t>в</w:t>
      </w:r>
      <w:r w:rsidR="0096255A" w:rsidRPr="0096255A">
        <w:rPr>
          <w:lang w:val="en-US"/>
        </w:rPr>
        <w:t xml:space="preserve"> завод</w:t>
      </w:r>
      <w:r w:rsidR="00847C79">
        <w:t>ите</w:t>
      </w:r>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r w:rsidR="00847C79" w:rsidRPr="00847C79">
        <w:rPr>
          <w:lang w:val="en-US"/>
        </w:rPr>
        <w:t>Услуги</w:t>
      </w:r>
      <w:r w:rsidR="00340531">
        <w:t>т</w:t>
      </w:r>
      <w:r w:rsidR="00847C79">
        <w:rPr>
          <w:lang w:val="en-US"/>
        </w:rPr>
        <w:t>e</w:t>
      </w:r>
      <w:r w:rsidR="00847C79" w:rsidRPr="00847C79">
        <w:rPr>
          <w:lang w:val="en-US"/>
        </w:rPr>
        <w:t xml:space="preserve"> с добавена стойност, правят клиентите по-логистично интегрирани и по-добре оборудвани</w:t>
      </w:r>
      <w:r w:rsidR="00846B45">
        <w:rPr>
          <w:lang w:val="en-US"/>
        </w:rPr>
        <w:t xml:space="preserve"> </w:t>
      </w:r>
      <w:r w:rsidR="00846B45">
        <w:t>за</w:t>
      </w:r>
      <w:r w:rsidR="00847C79" w:rsidRPr="00847C79">
        <w:rPr>
          <w:lang w:val="en-US"/>
        </w:rPr>
        <w:t xml:space="preserve"> да посрещнат предизвикателствата, свързани с устойчивостта</w:t>
      </w:r>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r w:rsidRPr="005D438A">
        <w:t>von Achten</w:t>
      </w:r>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r>
        <w:t>Stack Overflow</w:t>
      </w:r>
      <w:r w:rsidR="00D127A0">
        <w:rPr>
          <w:lang w:val="en-US"/>
        </w:rPr>
        <w:t xml:space="preserve">, </w:t>
      </w:r>
      <w:r>
        <w:t xml:space="preserve">Популярност </w:t>
      </w:r>
      <w:r w:rsidR="00C925BB">
        <w:t>според</w:t>
      </w:r>
      <w:r w:rsidRPr="00856576">
        <w:t xml:space="preserve"> </w:t>
      </w:r>
      <w:r>
        <w:t>Google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Зависим от флатформа/инфраструктура;</w:t>
      </w:r>
    </w:p>
    <w:p w14:paraId="0F691CFD" w14:textId="1FFAF038" w:rsidR="00D66520" w:rsidRDefault="00D66520" w:rsidP="00977EA6">
      <w:pPr>
        <w:pStyle w:val="disbody"/>
      </w:pPr>
      <w:r>
        <w:t>•   Обюност;</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0498858B" w14:textId="1DD2E8F3" w:rsidR="00D100C7" w:rsidRDefault="00D100C7" w:rsidP="00D100C7">
      <w:pPr>
        <w:pStyle w:val="Heading3"/>
        <w:rPr>
          <w:lang w:val="bg-BG"/>
        </w:rPr>
      </w:pPr>
      <w:r>
        <w:t xml:space="preserve">3.4.1 </w:t>
      </w:r>
      <w:r>
        <w:rPr>
          <w:lang w:val="bg-BG"/>
        </w:rPr>
        <w:t>Х</w:t>
      </w:r>
      <w:r w:rsidRPr="00A322B1">
        <w:t>ранилищата за данни</w:t>
      </w:r>
      <w:r>
        <w:rPr>
          <w:lang w:val="bg-BG"/>
        </w:rPr>
        <w:t xml:space="preserve"> в подсистемите</w:t>
      </w:r>
    </w:p>
    <w:p w14:paraId="2AF42BA3" w14:textId="641CCEBB" w:rsidR="00D100C7" w:rsidRPr="00A322B1" w:rsidRDefault="00D100C7" w:rsidP="00D100C7">
      <w:pPr>
        <w:pStyle w:val="disbody"/>
      </w:pPr>
      <w:r w:rsidRPr="00A322B1">
        <w:t>Различните back-end услуги, използвани от</w:t>
      </w:r>
      <w:r>
        <w:t xml:space="preserve"> системата</w:t>
      </w:r>
      <w:r w:rsidRPr="00A322B1">
        <w:t xml:space="preserve">, имат различни изисквания за съхранение на данните. Azure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r w:rsidRPr="00A322B1">
        <w:t xml:space="preserve">Azure SQL Database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r w:rsidRPr="00A322B1">
        <w:t xml:space="preserve">Azure Cosmos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r w:rsidRPr="00A322B1">
        <w:t>Azure Blob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t xml:space="preserve"> </w:t>
      </w:r>
      <w:r>
        <w:t>Д</w:t>
      </w:r>
      <w:r w:rsidRPr="00A322B1">
        <w:t xml:space="preserve">опълнение, Azure предоставя </w:t>
      </w:r>
      <w:r w:rsidRPr="00A322B1">
        <w:rPr>
          <w:color w:val="222222"/>
          <w:shd w:val="clear" w:color="auto" w:fill="FFFFFF"/>
        </w:rPr>
        <w:t>услуги </w:t>
      </w:r>
      <w:r w:rsidRPr="00A322B1">
        <w:t>за</w:t>
      </w:r>
      <w:r>
        <w:t xml:space="preserve"> </w:t>
      </w:r>
      <w:r w:rsidRPr="00A322B1">
        <w:t xml:space="preserve">бази данни MySQL, PostgreSQL и MariaDB като универсално достъпни, мащабируеми, силно </w:t>
      </w:r>
      <w:r w:rsidRPr="00A322B1">
        <w:lastRenderedPageBreak/>
        <w:t>защитени и напълно управлявани.</w:t>
      </w:r>
    </w:p>
    <w:p w14:paraId="3C241267" w14:textId="77777777" w:rsidR="00D100C7" w:rsidRPr="00A322B1" w:rsidRDefault="00D100C7" w:rsidP="00D100C7">
      <w:pPr>
        <w:pStyle w:val="disbody"/>
      </w:pPr>
      <w:r w:rsidRPr="00A322B1">
        <w:t>Azure предоставя две хранилища за данни, които са много подходящи за съхранение на големи количества с цел анализ: Data Warehouse &amp;  Data Lake.</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r w:rsidRPr="00482299">
        <w:t>Софтуерното внедряване и поддръжка в облачна среда</w:t>
      </w:r>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r w:rsidRPr="00A322B1">
        <w:rPr>
          <w:b/>
          <w:bCs/>
        </w:rPr>
        <w:t>Docker</w:t>
      </w:r>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t>Също така</w:t>
      </w:r>
      <w:r w:rsidRPr="00A322B1">
        <w:t xml:space="preserve"> е компания, която популяризира и развива тази технология. Docker контейнерите могат да работят върху </w:t>
      </w:r>
      <w:r w:rsidRPr="00A322B1">
        <w:lastRenderedPageBreak/>
        <w:t>Linux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Docker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Виртуални машини и Docker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Hyper-V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Hypervisor и всички необходими библиотеки. Слоевете в Docker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w:t>
      </w:r>
      <w:r w:rsidRPr="00A322B1">
        <w:lastRenderedPageBreak/>
        <w:t>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При стартиране на приложения в Azure eдно от първите решения, които трябва бъдат вземети,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 xml:space="preserve">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w:t>
      </w:r>
      <w:r w:rsidRPr="00D61C29">
        <w:rPr>
          <w:color w:val="222222"/>
          <w:szCs w:val="28"/>
          <w:shd w:val="clear" w:color="auto" w:fill="FFFFFF"/>
        </w:rPr>
        <w:lastRenderedPageBreak/>
        <w:t>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F73D" w14:textId="77777777" w:rsidR="000C37EE" w:rsidRDefault="000C37EE" w:rsidP="00B558EE">
      <w:pPr>
        <w:spacing w:line="240" w:lineRule="auto"/>
      </w:pPr>
      <w:r>
        <w:separator/>
      </w:r>
    </w:p>
  </w:endnote>
  <w:endnote w:type="continuationSeparator" w:id="0">
    <w:p w14:paraId="443CEA91" w14:textId="77777777" w:rsidR="000C37EE" w:rsidRDefault="000C37EE"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0A26" w14:textId="77777777" w:rsidR="000C37EE" w:rsidRDefault="000C37EE" w:rsidP="00B558EE">
      <w:pPr>
        <w:spacing w:line="240" w:lineRule="auto"/>
      </w:pPr>
      <w:r>
        <w:separator/>
      </w:r>
    </w:p>
  </w:footnote>
  <w:footnote w:type="continuationSeparator" w:id="0">
    <w:p w14:paraId="6F089C22" w14:textId="77777777" w:rsidR="000C37EE" w:rsidRDefault="000C37EE"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1D93"/>
    <w:rsid w:val="00026CAF"/>
    <w:rsid w:val="00037EE7"/>
    <w:rsid w:val="00050B9F"/>
    <w:rsid w:val="00057011"/>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01CD"/>
    <w:rsid w:val="001D2976"/>
    <w:rsid w:val="001E4A50"/>
    <w:rsid w:val="001E7566"/>
    <w:rsid w:val="001E7CFE"/>
    <w:rsid w:val="001F343A"/>
    <w:rsid w:val="00211126"/>
    <w:rsid w:val="00217695"/>
    <w:rsid w:val="00220619"/>
    <w:rsid w:val="0023398F"/>
    <w:rsid w:val="002359CD"/>
    <w:rsid w:val="002510BF"/>
    <w:rsid w:val="00254DE7"/>
    <w:rsid w:val="002A66D3"/>
    <w:rsid w:val="002B273D"/>
    <w:rsid w:val="002E7684"/>
    <w:rsid w:val="00302A59"/>
    <w:rsid w:val="00311E0C"/>
    <w:rsid w:val="00313BF3"/>
    <w:rsid w:val="00315DC7"/>
    <w:rsid w:val="0032584D"/>
    <w:rsid w:val="00340531"/>
    <w:rsid w:val="003604ED"/>
    <w:rsid w:val="003C40C3"/>
    <w:rsid w:val="003D2CB5"/>
    <w:rsid w:val="003D69DC"/>
    <w:rsid w:val="003F245C"/>
    <w:rsid w:val="0041217A"/>
    <w:rsid w:val="00441C93"/>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B77F0"/>
    <w:rsid w:val="006C023F"/>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46B45"/>
    <w:rsid w:val="00847C79"/>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C1472"/>
    <w:rsid w:val="00AE5718"/>
    <w:rsid w:val="00B07707"/>
    <w:rsid w:val="00B123F2"/>
    <w:rsid w:val="00B33149"/>
    <w:rsid w:val="00B43FE4"/>
    <w:rsid w:val="00B45C25"/>
    <w:rsid w:val="00B558EE"/>
    <w:rsid w:val="00B6481F"/>
    <w:rsid w:val="00B7787A"/>
    <w:rsid w:val="00B8784B"/>
    <w:rsid w:val="00BA1EA0"/>
    <w:rsid w:val="00BA71D0"/>
    <w:rsid w:val="00BC6218"/>
    <w:rsid w:val="00BD0C73"/>
    <w:rsid w:val="00C25495"/>
    <w:rsid w:val="00C339CF"/>
    <w:rsid w:val="00C3410E"/>
    <w:rsid w:val="00C5738A"/>
    <w:rsid w:val="00C63DC4"/>
    <w:rsid w:val="00C83407"/>
    <w:rsid w:val="00C925BB"/>
    <w:rsid w:val="00C9482D"/>
    <w:rsid w:val="00CD766E"/>
    <w:rsid w:val="00CE394A"/>
    <w:rsid w:val="00CE4068"/>
    <w:rsid w:val="00CE5B45"/>
    <w:rsid w:val="00CF1602"/>
    <w:rsid w:val="00D0294E"/>
    <w:rsid w:val="00D100C7"/>
    <w:rsid w:val="00D127A0"/>
    <w:rsid w:val="00D15506"/>
    <w:rsid w:val="00D200A7"/>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B172E"/>
    <w:rsid w:val="00EB4AAA"/>
    <w:rsid w:val="00EC2A05"/>
    <w:rsid w:val="00ED3178"/>
    <w:rsid w:val="00ED40B8"/>
    <w:rsid w:val="00ED6BC9"/>
    <w:rsid w:val="00EE4E6E"/>
    <w:rsid w:val="00F12350"/>
    <w:rsid w:val="00F129F4"/>
    <w:rsid w:val="00F21B75"/>
    <w:rsid w:val="00F234BE"/>
    <w:rsid w:val="00F34365"/>
    <w:rsid w:val="00F67401"/>
    <w:rsid w:val="00F67E57"/>
    <w:rsid w:val="00F7682E"/>
    <w:rsid w:val="00F83A60"/>
    <w:rsid w:val="00F948CE"/>
    <w:rsid w:val="00FA3749"/>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219</cp:revision>
  <dcterms:created xsi:type="dcterms:W3CDTF">2022-08-27T05:10:00Z</dcterms:created>
  <dcterms:modified xsi:type="dcterms:W3CDTF">2022-10-31T09:03:00Z</dcterms:modified>
</cp:coreProperties>
</file>