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0D785" w14:textId="19482700" w:rsidR="00B558EE" w:rsidRPr="00B7787A" w:rsidRDefault="00B558EE" w:rsidP="00B7787A">
      <w:pPr>
        <w:pStyle w:val="Heading1"/>
      </w:pPr>
      <w:bookmarkStart w:id="0" w:name="_Toc112392438"/>
      <w:r w:rsidRPr="00084B24">
        <w:rPr>
          <w:lang w:val="bg-BG"/>
        </w:rPr>
        <w:t xml:space="preserve">Глава </w:t>
      </w:r>
      <w:r>
        <w:rPr>
          <w:lang w:val="bg-BG"/>
        </w:rPr>
        <w:t>3</w:t>
      </w:r>
      <w:r w:rsidRPr="00084B24">
        <w:rPr>
          <w:lang w:val="bg-BG"/>
        </w:rPr>
        <w:t>.</w:t>
      </w:r>
      <w:r w:rsidR="00B7787A">
        <w:t xml:space="preserve"> Изграждане на облачната система за производствено предприятие</w:t>
      </w:r>
      <w:bookmarkEnd w:id="0"/>
      <w:r w:rsidR="00B7787A">
        <w:rPr>
          <w:lang w:val="bg-BG"/>
        </w:rPr>
        <w:t xml:space="preserve"> </w:t>
      </w:r>
      <w:r w:rsidR="00B7787A">
        <w:t>HeidelbergCement</w:t>
      </w:r>
      <w:r w:rsidR="00B7787A">
        <w:rPr>
          <w:lang w:val="bg-BG"/>
        </w:rPr>
        <w:t xml:space="preserve"> </w:t>
      </w:r>
      <w:r w:rsidR="00B7787A">
        <w:t>AG</w:t>
      </w:r>
    </w:p>
    <w:p w14:paraId="0E33113E" w14:textId="0163E98E" w:rsidR="00DA1E9F" w:rsidRPr="00DA1E9F" w:rsidRDefault="00B558EE" w:rsidP="00DA1E9F">
      <w:pPr>
        <w:pStyle w:val="Heading2"/>
        <w:rPr>
          <w:lang w:val="bg-BG"/>
        </w:rPr>
      </w:pPr>
      <w:bookmarkStart w:id="1" w:name="_Toc112392439"/>
      <w:r w:rsidRPr="00084B24">
        <w:rPr>
          <w:lang w:val="bg-BG"/>
        </w:rPr>
        <w:t xml:space="preserve">3.1. </w:t>
      </w:r>
      <w:bookmarkEnd w:id="1"/>
      <w:r w:rsidR="00026CAF" w:rsidRPr="00026CAF">
        <w:rPr>
          <w:lang w:val="bg-BG"/>
        </w:rPr>
        <w:t>Обща характеристика на дейността на компанията HeidelbergCement</w:t>
      </w:r>
    </w:p>
    <w:p w14:paraId="342F668A" w14:textId="160DA032" w:rsidR="00B558EE" w:rsidRPr="0077012E" w:rsidRDefault="00DA1E9F" w:rsidP="00B558EE">
      <w:pPr>
        <w:pStyle w:val="disbody"/>
        <w:rPr>
          <w:lang w:val="en-US"/>
        </w:rPr>
      </w:pPr>
      <w:bookmarkStart w:id="2" w:name="_Toc214084082"/>
      <w:r w:rsidRPr="00DA1E9F">
        <w:t>HeidelbergCement е немска мултинационална компания за строителни материали със седалище в Хайделберг, Германия. След придобиване на 45% акционерно участие в Italcementi, HeidelbergCement става производител номер едно на строителни инертни материали, номер 2 в цимент и номер 3 бетон в световен мащаб. В Forbes Global 2000 за 2020 г. HeidelbergCement бе класирана като 678-ата най-голяма публична компания в света. Дейността на фирмата е в около 60 страни с 57 000 служители, работещи в 3 000 производствени обекта. HeidelbergCement управлява 139 циментови завода с годишен циментов капацитет от 176 милиона тона, повече от 1500 места за производство на готов бетон и над 600 кариери за инертни материали.</w:t>
      </w:r>
    </w:p>
    <w:p w14:paraId="680ECCBD" w14:textId="77777777" w:rsidR="00617B12" w:rsidRDefault="00617B12" w:rsidP="00617B12">
      <w:pPr>
        <w:pStyle w:val="Heading3"/>
        <w:tabs>
          <w:tab w:val="left" w:pos="7970"/>
        </w:tabs>
      </w:pPr>
      <w:r>
        <w:t>3.1.1.</w:t>
      </w:r>
      <w:r w:rsidRPr="00617B12">
        <w:t xml:space="preserve"> </w:t>
      </w:r>
      <w:r>
        <w:t>Основни бизнес процеси в компанията</w:t>
      </w:r>
    </w:p>
    <w:p w14:paraId="197D8AF6" w14:textId="2D954D80" w:rsidR="00B558EE" w:rsidRPr="003D2CB5" w:rsidRDefault="001167F8" w:rsidP="003D2CB5">
      <w:pPr>
        <w:pStyle w:val="disbody"/>
        <w:rPr>
          <w:lang w:val="en-US"/>
        </w:rPr>
      </w:pPr>
      <w:r>
        <w:t>П</w:t>
      </w:r>
      <w:r w:rsidRPr="001167F8">
        <w:rPr>
          <w:lang w:val="en-US"/>
        </w:rPr>
        <w:t>родукти</w:t>
      </w:r>
      <w:r>
        <w:t>те на компанията</w:t>
      </w:r>
      <w:r w:rsidRPr="001167F8">
        <w:rPr>
          <w:lang w:val="en-US"/>
        </w:rPr>
        <w:t xml:space="preserve"> се използват за изграждане на къщи, инфраструктура</w:t>
      </w:r>
      <w:r w:rsidR="003D2CB5">
        <w:t>,</w:t>
      </w:r>
      <w:r w:rsidRPr="001167F8">
        <w:rPr>
          <w:lang w:val="en-US"/>
        </w:rPr>
        <w:t xml:space="preserve">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r w:rsidR="003D2CB5">
        <w:t xml:space="preserve"> </w:t>
      </w:r>
      <w:r w:rsidRPr="001167F8">
        <w:rPr>
          <w:lang w:val="en-US"/>
        </w:rPr>
        <w:t>Основната дейност включва производство и дистрибуция на цимент, инертни материали, готови бетонови смеси и асфалт.</w:t>
      </w:r>
      <w:r w:rsidR="00617B12">
        <w:tab/>
      </w:r>
    </w:p>
    <w:p w14:paraId="54A99926" w14:textId="10EF51F5" w:rsidR="00893CFE" w:rsidRDefault="00893CFE" w:rsidP="00893CFE">
      <w:pPr>
        <w:pStyle w:val="Heading3"/>
      </w:pPr>
      <w:r>
        <w:t>3.1.2. Промяна на индустрията към дигитализация</w:t>
      </w:r>
    </w:p>
    <w:p w14:paraId="0A542E3E" w14:textId="0C9EC942" w:rsidR="00893CFE" w:rsidRPr="005D438A" w:rsidRDefault="00893CFE" w:rsidP="00893CFE">
      <w:pPr>
        <w:rPr>
          <w:lang w:val="bg-BG"/>
        </w:rPr>
      </w:pPr>
      <w:r w:rsidRPr="005D438A">
        <w:t>Дигитализацията е един от стълбовете на трансформацията</w:t>
      </w:r>
      <w:r>
        <w:rPr>
          <w:lang w:val="bg-BG"/>
        </w:rPr>
        <w:t>. Тя</w:t>
      </w:r>
      <w:r w:rsidRPr="005D438A">
        <w:t xml:space="preserve"> преминава през всички бизнес линии и операции. </w:t>
      </w:r>
      <w:r>
        <w:rPr>
          <w:lang w:val="bg-BG"/>
        </w:rPr>
        <w:t>Д</w:t>
      </w:r>
      <w:r w:rsidRPr="005D438A">
        <w:t>игитални продукти</w:t>
      </w:r>
      <w:r>
        <w:rPr>
          <w:lang w:val="bg-BG"/>
        </w:rPr>
        <w:t>, насочени към</w:t>
      </w:r>
      <w:r w:rsidRPr="005D438A">
        <w:t xml:space="preserve"> клиенти</w:t>
      </w:r>
      <w:r>
        <w:rPr>
          <w:lang w:val="bg-BG"/>
        </w:rPr>
        <w:t>те</w:t>
      </w:r>
      <w:r w:rsidRPr="005D438A">
        <w:t xml:space="preserve">, </w:t>
      </w:r>
      <w:r>
        <w:rPr>
          <w:lang w:val="bg-BG"/>
        </w:rPr>
        <w:t xml:space="preserve">целят да </w:t>
      </w:r>
      <w:r w:rsidRPr="005D438A">
        <w:t xml:space="preserve">помогнат </w:t>
      </w:r>
      <w:r>
        <w:rPr>
          <w:lang w:val="bg-BG"/>
        </w:rPr>
        <w:t>з</w:t>
      </w:r>
      <w:r w:rsidRPr="005D438A">
        <w:t>а успе</w:t>
      </w:r>
      <w:r w:rsidR="00BA1EA0">
        <w:rPr>
          <w:lang w:val="bg-BG"/>
        </w:rPr>
        <w:t>х</w:t>
      </w:r>
      <w:r w:rsidRPr="005D438A">
        <w:t xml:space="preserve"> в основния бизнес.</w:t>
      </w:r>
      <w:r>
        <w:rPr>
          <w:lang w:val="bg-BG"/>
        </w:rPr>
        <w:t xml:space="preserve"> (</w:t>
      </w:r>
      <w:r w:rsidRPr="005D438A">
        <w:rPr>
          <w:lang w:val="bg-BG"/>
        </w:rPr>
        <w:t>von Achten</w:t>
      </w:r>
      <w:r>
        <w:rPr>
          <w:lang w:val="bg-BG"/>
        </w:rPr>
        <w:t>, 2022)</w:t>
      </w:r>
    </w:p>
    <w:p w14:paraId="4827CD97" w14:textId="4FDA3F01" w:rsidR="00893CFE" w:rsidRPr="00893CFE" w:rsidRDefault="00893CFE" w:rsidP="00893CFE">
      <w:pPr>
        <w:pStyle w:val="disbody"/>
        <w:rPr>
          <w:lang w:val="en-US"/>
        </w:rPr>
      </w:pPr>
      <w:r w:rsidRPr="00CB394C">
        <w:lastRenderedPageBreak/>
        <w:t xml:space="preserve">HeidelbergCement се фокусира върху промяната на индустрията на тежките строителни материали към дигитализация. Това </w:t>
      </w:r>
      <w:r w:rsidR="00E9699F">
        <w:t>ще подпринесе за</w:t>
      </w:r>
      <w:r w:rsidRPr="00CB394C">
        <w:t xml:space="preserve"> безопасност и устойчивост</w:t>
      </w:r>
      <w:r w:rsidR="00E9699F">
        <w:t xml:space="preserve"> </w:t>
      </w:r>
      <w:r w:rsidR="00612EE1">
        <w:t>към</w:t>
      </w:r>
      <w:r w:rsidR="00E9699F" w:rsidRPr="00CB394C">
        <w:t xml:space="preserve"> работниците</w:t>
      </w:r>
      <w:r w:rsidRPr="00CB394C">
        <w:t>.</w:t>
      </w:r>
    </w:p>
    <w:p w14:paraId="0048B625" w14:textId="6308FAF0" w:rsidR="00B558EE" w:rsidRDefault="00B558EE" w:rsidP="00B558EE">
      <w:pPr>
        <w:pStyle w:val="Heading2"/>
        <w:rPr>
          <w:lang w:val="bg-BG"/>
        </w:rPr>
      </w:pPr>
      <w:bookmarkStart w:id="3" w:name="_Toc112392440"/>
      <w:r w:rsidRPr="00084B24">
        <w:rPr>
          <w:lang w:val="bg-BG"/>
        </w:rPr>
        <w:t>3.</w:t>
      </w:r>
      <w:r>
        <w:rPr>
          <w:lang w:val="bg-BG"/>
        </w:rPr>
        <w:t>2</w:t>
      </w:r>
      <w:r w:rsidRPr="00084B24">
        <w:rPr>
          <w:lang w:val="bg-BG"/>
        </w:rPr>
        <w:t xml:space="preserve">. </w:t>
      </w:r>
      <w:r w:rsidR="00E50E40" w:rsidRPr="00E50E40">
        <w:rPr>
          <w:lang w:val="bg-BG"/>
        </w:rPr>
        <w:t>Избор на технологични средства за разработка и операции</w:t>
      </w:r>
      <w:bookmarkEnd w:id="3"/>
    </w:p>
    <w:p w14:paraId="27D4E285" w14:textId="77777777" w:rsidR="004D0796" w:rsidRDefault="004D0796" w:rsidP="004D0796">
      <w:r>
        <w:t>Т</w:t>
      </w:r>
      <w:r>
        <w:rPr>
          <w:lang w:val="bg-BG"/>
        </w:rPr>
        <w:t>ази подточка, ще се опише едно от най-важните</w:t>
      </w:r>
      <w:r>
        <w:t xml:space="preserve"> решени</w:t>
      </w:r>
      <w:r>
        <w:rPr>
          <w:lang w:val="bg-BG"/>
        </w:rPr>
        <w:t>я,</w:t>
      </w:r>
      <w:r>
        <w:t xml:space="preserve"> </w:t>
      </w:r>
      <w:r>
        <w:rPr>
          <w:lang w:val="bg-BG"/>
        </w:rPr>
        <w:t>н</w:t>
      </w:r>
      <w:r>
        <w:t>ай-вече защото е почти необратимо</w:t>
      </w:r>
      <w:r>
        <w:rPr>
          <w:lang w:val="bg-BG"/>
        </w:rPr>
        <w:t xml:space="preserve">. </w:t>
      </w:r>
      <w:r>
        <w:t>Основни съображения</w:t>
      </w:r>
      <w:r>
        <w:rPr>
          <w:lang w:val="bg-BG"/>
        </w:rPr>
        <w:t xml:space="preserve"> за</w:t>
      </w:r>
      <w:r>
        <w:t xml:space="preserve"> изпълнение на задачата:</w:t>
      </w:r>
    </w:p>
    <w:p w14:paraId="2D02DD83" w14:textId="77777777" w:rsidR="004D0796" w:rsidRDefault="004D0796" w:rsidP="004D0796">
      <w:pPr>
        <w:widowControl/>
        <w:numPr>
          <w:ilvl w:val="1"/>
          <w:numId w:val="42"/>
        </w:numPr>
      </w:pPr>
      <w:r>
        <w:rPr>
          <w:lang w:val="bg-BG"/>
        </w:rPr>
        <w:t>Общност</w:t>
      </w:r>
      <w:r w:rsidRPr="00856576">
        <w:t xml:space="preserve"> – </w:t>
      </w:r>
      <w:r>
        <w:t>Stack Overflow</w:t>
      </w:r>
      <w:r>
        <w:rPr>
          <w:lang w:val="bg-BG"/>
        </w:rPr>
        <w:t>;</w:t>
      </w:r>
    </w:p>
    <w:p w14:paraId="61F8B238" w14:textId="77777777" w:rsidR="004D0796" w:rsidRPr="00856576" w:rsidRDefault="004D0796" w:rsidP="004D0796">
      <w:pPr>
        <w:widowControl/>
        <w:numPr>
          <w:ilvl w:val="1"/>
          <w:numId w:val="42"/>
        </w:numPr>
      </w:pPr>
      <w:r>
        <w:t xml:space="preserve">Популярност </w:t>
      </w:r>
      <w:r w:rsidRPr="00856576">
        <w:t xml:space="preserve">– </w:t>
      </w:r>
      <w:r>
        <w:t>Google Тенденции</w:t>
      </w:r>
      <w:r>
        <w:rPr>
          <w:lang w:val="bg-BG"/>
        </w:rPr>
        <w:t>;</w:t>
      </w:r>
    </w:p>
    <w:p w14:paraId="1CDA0110" w14:textId="77777777" w:rsidR="004D0796" w:rsidRDefault="004D0796" w:rsidP="004D0796">
      <w:pPr>
        <w:widowControl/>
        <w:numPr>
          <w:ilvl w:val="1"/>
          <w:numId w:val="42"/>
        </w:numPr>
      </w:pPr>
      <w:r>
        <w:t xml:space="preserve">Краен срок </w:t>
      </w:r>
      <w:r w:rsidRPr="00856576">
        <w:t xml:space="preserve">– </w:t>
      </w:r>
      <w:r>
        <w:t>напредналите технологии отнемат повече време</w:t>
      </w:r>
      <w:r>
        <w:rPr>
          <w:lang w:val="bg-BG"/>
        </w:rPr>
        <w:t>;</w:t>
      </w:r>
    </w:p>
    <w:p w14:paraId="726779CF" w14:textId="77777777" w:rsidR="004D0796" w:rsidRPr="004545DF" w:rsidRDefault="004D0796" w:rsidP="004D0796">
      <w:pPr>
        <w:widowControl/>
        <w:numPr>
          <w:ilvl w:val="1"/>
          <w:numId w:val="42"/>
        </w:numPr>
      </w:pPr>
      <w:r>
        <w:t>Поддръжка –</w:t>
      </w:r>
      <w:r w:rsidRPr="004545DF">
        <w:rPr>
          <w:lang w:val="bg-BG"/>
        </w:rPr>
        <w:t xml:space="preserve"> </w:t>
      </w:r>
      <w:r>
        <w:t>развив</w:t>
      </w:r>
      <w:r w:rsidRPr="004545DF">
        <w:rPr>
          <w:lang w:val="bg-BG"/>
        </w:rPr>
        <w:t>и</w:t>
      </w:r>
      <w:r>
        <w:t>т</w:t>
      </w:r>
      <w:r w:rsidRPr="004545DF">
        <w:rPr>
          <w:lang w:val="bg-BG"/>
        </w:rPr>
        <w:t xml:space="preserve">ие </w:t>
      </w:r>
      <w:r>
        <w:t xml:space="preserve"> с нови инструменти</w:t>
      </w:r>
      <w:r w:rsidRPr="004545DF">
        <w:rPr>
          <w:lang w:val="bg-BG"/>
        </w:rPr>
        <w:t>;</w:t>
      </w:r>
    </w:p>
    <w:p w14:paraId="06B8E07B" w14:textId="77777777" w:rsidR="004D0796" w:rsidRPr="005778A3" w:rsidRDefault="004D0796" w:rsidP="004D0796">
      <w:pPr>
        <w:widowControl/>
        <w:numPr>
          <w:ilvl w:val="1"/>
          <w:numId w:val="42"/>
        </w:numPr>
      </w:pPr>
      <w:r>
        <w:t>Продукти – използва</w:t>
      </w:r>
      <w:r>
        <w:rPr>
          <w:lang w:val="bg-BG"/>
        </w:rPr>
        <w:t>не</w:t>
      </w:r>
      <w:r>
        <w:t xml:space="preserve"> </w:t>
      </w:r>
      <w:r>
        <w:rPr>
          <w:lang w:val="bg-BG"/>
        </w:rPr>
        <w:t>на</w:t>
      </w:r>
      <w:r>
        <w:t xml:space="preserve"> съществуващи инструменти</w:t>
      </w:r>
      <w:r>
        <w:rPr>
          <w:lang w:val="bg-BG"/>
        </w:rPr>
        <w:t>;</w:t>
      </w:r>
    </w:p>
    <w:p w14:paraId="7D887FE8" w14:textId="77777777" w:rsidR="004D0796" w:rsidRDefault="00AC1472" w:rsidP="004D0796">
      <w:hyperlink r:id="rId7" w:history="1">
        <w:r w:rsidR="004D0796" w:rsidRPr="00914637">
          <w:rPr>
            <w:rStyle w:val="Hyperlink"/>
          </w:rPr>
          <w:t>https://www.fgdc.gov/initiatives/50states/newspbp/EconomicJustification_ROI-CBA-Tutorial_v2_052809_FinalVersa.pdf</w:t>
        </w:r>
      </w:hyperlink>
    </w:p>
    <w:p w14:paraId="789FF471" w14:textId="77777777" w:rsidR="004D0796" w:rsidRDefault="004D0796" w:rsidP="004D0796">
      <w:r>
        <w:rPr>
          <w:lang w:val="bg-BG"/>
        </w:rPr>
        <w:t xml:space="preserve">Сравенение на </w:t>
      </w:r>
      <w:r w:rsidRPr="00CF7A1B">
        <w:t>Back-end и сервизни технологии</w:t>
      </w:r>
    </w:p>
    <w:p w14:paraId="2B719B59" w14:textId="77777777" w:rsidR="004D0796" w:rsidRDefault="004D0796" w:rsidP="004D0796">
      <w:r w:rsidRPr="00CF7A1B">
        <w:rPr>
          <w:noProof/>
        </w:rPr>
        <w:drawing>
          <wp:inline distT="0" distB="0" distL="0" distR="0" wp14:anchorId="269AF551" wp14:editId="21C1F713">
            <wp:extent cx="5731510" cy="2804795"/>
            <wp:effectExtent l="190500" t="190500" r="193040" b="186055"/>
            <wp:docPr id="2"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8"/>
                    <a:stretch>
                      <a:fillRect/>
                    </a:stretch>
                  </pic:blipFill>
                  <pic:spPr>
                    <a:xfrm>
                      <a:off x="0" y="0"/>
                      <a:ext cx="5731510" cy="2804795"/>
                    </a:xfrm>
                    <a:prstGeom prst="rect">
                      <a:avLst/>
                    </a:prstGeom>
                    <a:ln>
                      <a:noFill/>
                    </a:ln>
                    <a:effectLst>
                      <a:outerShdw blurRad="190500" algn="tl" rotWithShape="0">
                        <a:srgbClr val="000000">
                          <a:alpha val="70000"/>
                        </a:srgbClr>
                      </a:outerShdw>
                    </a:effectLst>
                  </pic:spPr>
                </pic:pic>
              </a:graphicData>
            </a:graphic>
          </wp:inline>
        </w:drawing>
      </w:r>
    </w:p>
    <w:p w14:paraId="40616865" w14:textId="77777777" w:rsidR="004D0796" w:rsidRDefault="004D0796" w:rsidP="004D0796">
      <w:pPr>
        <w:rPr>
          <w:lang w:val="bg-BG"/>
        </w:rPr>
      </w:pPr>
    </w:p>
    <w:p w14:paraId="73EEB3F8" w14:textId="77777777" w:rsidR="004D0796" w:rsidRDefault="004D0796" w:rsidP="004D0796">
      <w:pPr>
        <w:rPr>
          <w:lang w:val="bg-BG"/>
        </w:rPr>
      </w:pPr>
      <w:r>
        <w:rPr>
          <w:lang w:val="bg-BG"/>
        </w:rPr>
        <w:t xml:space="preserve">Сравнение на </w:t>
      </w:r>
      <w:r w:rsidRPr="00433218">
        <w:rPr>
          <w:lang w:val="bg-BG"/>
        </w:rPr>
        <w:t>Mobile technologies</w:t>
      </w:r>
    </w:p>
    <w:p w14:paraId="277B23A9" w14:textId="77777777" w:rsidR="004D0796" w:rsidRDefault="004D0796" w:rsidP="004D0796">
      <w:pPr>
        <w:rPr>
          <w:lang w:val="bg-BG"/>
        </w:rPr>
      </w:pPr>
      <w:r w:rsidRPr="00433218">
        <w:rPr>
          <w:noProof/>
        </w:rPr>
        <w:lastRenderedPageBreak/>
        <w:drawing>
          <wp:inline distT="0" distB="0" distL="0" distR="0" wp14:anchorId="293054CB" wp14:editId="3E31AEC3">
            <wp:extent cx="5731510" cy="2733040"/>
            <wp:effectExtent l="190500" t="190500" r="193040" b="181610"/>
            <wp:docPr id="6"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9"/>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inline>
        </w:drawing>
      </w:r>
    </w:p>
    <w:p w14:paraId="6A8FC065" w14:textId="3A13D9E5" w:rsidR="004D0796" w:rsidRPr="004D0796" w:rsidRDefault="004D0796" w:rsidP="004D0796">
      <w:pPr>
        <w:pStyle w:val="disbody"/>
      </w:pPr>
      <w:r>
        <w:rPr>
          <w:lang w:val="en-US"/>
        </w:rPr>
        <w:t xml:space="preserve">TODO: </w:t>
      </w:r>
      <w:r w:rsidRPr="00433218">
        <w:t>database technologies</w:t>
      </w:r>
    </w:p>
    <w:p w14:paraId="5751EF3B" w14:textId="2AF137DE" w:rsidR="00EB4AAA" w:rsidRDefault="00EB4AAA" w:rsidP="00B558EE">
      <w:pPr>
        <w:pStyle w:val="disbody"/>
      </w:pPr>
    </w:p>
    <w:p w14:paraId="02F8FF1E" w14:textId="77777777" w:rsidR="00EB4AAA" w:rsidRDefault="00EB4AAA">
      <w:pPr>
        <w:widowControl/>
        <w:spacing w:after="160" w:line="259" w:lineRule="auto"/>
        <w:ind w:firstLine="0"/>
        <w:jc w:val="left"/>
        <w:rPr>
          <w:sz w:val="28"/>
          <w:lang w:val="bg-BG"/>
        </w:rPr>
      </w:pPr>
      <w:r>
        <w:br w:type="page"/>
      </w:r>
    </w:p>
    <w:p w14:paraId="7D5392E1" w14:textId="7A0C6C87" w:rsidR="00B558EE" w:rsidRDefault="00B558EE" w:rsidP="00EB4AAA">
      <w:pPr>
        <w:pStyle w:val="Heading2"/>
      </w:pPr>
      <w:bookmarkStart w:id="4" w:name="_Toc112392443"/>
      <w:r w:rsidRPr="00084B24">
        <w:rPr>
          <w:lang w:val="bg-BG"/>
        </w:rPr>
        <w:lastRenderedPageBreak/>
        <w:t>3.</w:t>
      </w:r>
      <w:r>
        <w:rPr>
          <w:lang w:val="bg-BG"/>
        </w:rPr>
        <w:t>3</w:t>
      </w:r>
      <w:r w:rsidRPr="00084B24">
        <w:rPr>
          <w:lang w:val="bg-BG"/>
        </w:rPr>
        <w:t xml:space="preserve">. </w:t>
      </w:r>
      <w:r w:rsidR="00EB4AAA">
        <w:t>Приложение на избраните технологии за изграждане на инфраструктурата в облачно базирана среда</w:t>
      </w:r>
      <w:bookmarkEnd w:id="4"/>
    </w:p>
    <w:p w14:paraId="49AC614B" w14:textId="2E149B16" w:rsidR="009C47D6" w:rsidRDefault="009C47D6" w:rsidP="009C47D6">
      <w:pPr>
        <w:pStyle w:val="disbody"/>
      </w:pPr>
      <w:r w:rsidRPr="00A322B1">
        <w:t>По примери и указания от</w:t>
      </w:r>
      <w:r>
        <w:t xml:space="preserve"> глава 2,</w:t>
      </w:r>
      <w:r w:rsidR="00ED40B8">
        <w:t xml:space="preserve"> тази подточка разглежда</w:t>
      </w:r>
      <w:r w:rsidR="00ED40B8" w:rsidRPr="00ED40B8">
        <w:t xml:space="preserve"> осъществяването на опростен във функционално отношение, </w:t>
      </w:r>
      <w:r w:rsidRPr="00A322B1">
        <w:t>облачен продукт, демонстриращ използването на .NET, Docker, Kubernetes в облачната среда на Microsoft Azure.</w:t>
      </w:r>
    </w:p>
    <w:p w14:paraId="678E5F8D" w14:textId="30E4534A" w:rsidR="00B123F2" w:rsidRPr="00B123F2" w:rsidRDefault="00B123F2" w:rsidP="00B123F2">
      <w:pPr>
        <w:pStyle w:val="Heading3"/>
        <w:rPr>
          <w:lang w:val="bg-BG"/>
        </w:rPr>
      </w:pPr>
      <w:r>
        <w:rPr>
          <w:lang w:val="bg-BG"/>
        </w:rPr>
        <w:t>3.3.1. Монолитен подход за изграждане</w:t>
      </w:r>
    </w:p>
    <w:p w14:paraId="4F374436" w14:textId="1BF05A5B" w:rsidR="00B123F2" w:rsidRDefault="00B123F2" w:rsidP="00B123F2">
      <w:pPr>
        <w:pStyle w:val="disbody"/>
      </w:pPr>
      <w:bookmarkStart w:id="5" w:name="_Toc112392448"/>
      <w:bookmarkEnd w:id="2"/>
      <w:r w:rsidRPr="00B123F2">
        <w:t>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сървър.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 -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В тази архитектура, цялата логика на приложението се съдържа в един проект, компилиран и внедрен като самостоятелна единица. Шаблонът на нов ASP.NET Core проект, независимо дали е създаден във Visual Studio или от командния ред, започва като прост монолит „всичко в едно“. Той съдържа цялото поведение на приложението, включително логика за визуализация, бизнес и достъп до данни. Разделянето на логиката се постига чрез използването на папки.</w:t>
      </w:r>
    </w:p>
    <w:p w14:paraId="6EC71EA3" w14:textId="50613831" w:rsidR="00B123F2" w:rsidRDefault="00B123F2" w:rsidP="00B123F2">
      <w:pPr>
        <w:pStyle w:val="disbody"/>
      </w:pPr>
    </w:p>
    <w:p w14:paraId="3CB59255" w14:textId="77777777" w:rsidR="00B123F2" w:rsidRDefault="00B123F2">
      <w:pPr>
        <w:widowControl/>
        <w:spacing w:after="160" w:line="259" w:lineRule="auto"/>
        <w:ind w:firstLine="0"/>
        <w:jc w:val="left"/>
        <w:rPr>
          <w:sz w:val="28"/>
          <w:lang w:val="bg-BG"/>
        </w:rPr>
      </w:pPr>
      <w:r>
        <w:br w:type="page"/>
      </w:r>
    </w:p>
    <w:p w14:paraId="1100AB0D" w14:textId="214297FB" w:rsidR="00B123F2" w:rsidRPr="00843522" w:rsidRDefault="00B123F2" w:rsidP="007F493B">
      <w:pPr>
        <w:pStyle w:val="disbody"/>
        <w:rPr>
          <w:noProof/>
        </w:rPr>
      </w:pPr>
      <w:r w:rsidRPr="00A322B1">
        <w:rPr>
          <w:noProof/>
        </w:rPr>
        <w:lastRenderedPageBreak/>
        <w:t xml:space="preserve">На фиг. </w:t>
      </w:r>
      <w:r>
        <w:rPr>
          <w:noProof/>
        </w:rPr>
        <w:t>2</w:t>
      </w:r>
      <w:r w:rsidRPr="00A322B1">
        <w:rPr>
          <w:noProof/>
        </w:rPr>
        <w:t xml:space="preserve"> </w:t>
      </w:r>
      <w:r>
        <w:rPr>
          <w:noProof/>
        </w:rPr>
        <w:t>е показан</w:t>
      </w:r>
      <w:r w:rsidRPr="00A322B1">
        <w:rPr>
          <w:noProof/>
        </w:rPr>
        <w:t xml:space="preserve"> примерен дизайн на монолитно приложение.</w:t>
      </w:r>
      <w:r w:rsidR="007F493B">
        <w:rPr>
          <w:noProof/>
        </w:rPr>
        <w:t xml:space="preserve"> </w:t>
      </w:r>
      <w:r w:rsidR="007F493B" w:rsidRPr="00A322B1">
        <w:rPr>
          <w:szCs w:val="28"/>
        </w:rPr>
        <w:t xml:space="preserve">Модулите, отговарящи за първоначалните изисквания на приложението са </w:t>
      </w:r>
      <w:r w:rsidR="007F493B">
        <w:rPr>
          <w:szCs w:val="28"/>
        </w:rPr>
        <w:t>разгледани в 2ра глава.</w:t>
      </w:r>
    </w:p>
    <w:p w14:paraId="61AED8D4" w14:textId="77777777" w:rsidR="00B123F2" w:rsidRDefault="00B123F2" w:rsidP="00B123F2">
      <w:pPr>
        <w:ind w:firstLine="0"/>
        <w:jc w:val="center"/>
        <w:rPr>
          <w:b/>
          <w:bCs/>
          <w:i/>
          <w:iCs/>
        </w:rPr>
      </w:pPr>
      <w:r>
        <w:rPr>
          <w:noProof/>
        </w:rPr>
        <w:drawing>
          <wp:inline distT="0" distB="0" distL="0" distR="0" wp14:anchorId="01D73D04" wp14:editId="394C72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0"/>
                    <a:stretch>
                      <a:fillRect/>
                    </a:stretch>
                  </pic:blipFill>
                  <pic:spPr>
                    <a:xfrm>
                      <a:off x="0" y="0"/>
                      <a:ext cx="6025902" cy="2385305"/>
                    </a:xfrm>
                    <a:prstGeom prst="rect">
                      <a:avLst/>
                    </a:prstGeom>
                  </pic:spPr>
                </pic:pic>
              </a:graphicData>
            </a:graphic>
          </wp:inline>
        </w:drawing>
      </w:r>
    </w:p>
    <w:p w14:paraId="0BC12552" w14:textId="55DE2BF5" w:rsidR="00B123F2" w:rsidRDefault="00B123F2" w:rsidP="00B123F2">
      <w:pPr>
        <w:jc w:val="center"/>
        <w:rPr>
          <w:b/>
          <w:bCs/>
          <w:i/>
          <w:iCs/>
        </w:rPr>
      </w:pPr>
      <w:r w:rsidRPr="00F20E64">
        <w:rPr>
          <w:b/>
          <w:bCs/>
          <w:i/>
          <w:iCs/>
        </w:rPr>
        <w:t xml:space="preserve">Фиг. </w:t>
      </w:r>
      <w:r>
        <w:rPr>
          <w:b/>
          <w:bCs/>
          <w:i/>
          <w:iCs/>
        </w:rPr>
        <w:t>2</w:t>
      </w:r>
      <w:r w:rsidRPr="00F20E64">
        <w:rPr>
          <w:b/>
          <w:bCs/>
          <w:i/>
          <w:iCs/>
        </w:rPr>
        <w:t>. Традиционен монолитен дизайн</w:t>
      </w:r>
    </w:p>
    <w:p w14:paraId="0202B27B" w14:textId="6D012733" w:rsidR="00CE5B45" w:rsidRDefault="004B140D" w:rsidP="007E3F09">
      <w:pPr>
        <w:pStyle w:val="disbody"/>
      </w:pPr>
      <w:r w:rsidRPr="00A322B1">
        <w:t>Бизнес логиката е разпръсната между моделите и класовете на услуги без ясна индикация. Тази липса на организация на ниво проект често води до т.н</w:t>
      </w:r>
      <w:r>
        <w:t>ар. „спагети код</w:t>
      </w:r>
      <w:r w:rsidRPr="0032584D">
        <w:rPr>
          <w:color w:val="FF0000"/>
        </w:rPr>
        <w:t>“.</w:t>
      </w:r>
      <w:r w:rsidR="00CE5B45" w:rsidRPr="0032584D">
        <w:rPr>
          <w:color w:val="FF0000"/>
        </w:rPr>
        <w:t xml:space="preserve"> За да се справят с тези проблеми</w:t>
      </w:r>
      <w:r w:rsidR="00CE5B45" w:rsidRPr="00A322B1">
        <w:t>, приложенията често се развиват в много-проектни решения, където всеки проект отговаря на определен слой на приложението. 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 една реализация.</w:t>
      </w:r>
    </w:p>
    <w:p w14:paraId="2B34C96A" w14:textId="77777777" w:rsidR="0048589D" w:rsidRPr="0048589D" w:rsidRDefault="0048589D" w:rsidP="0048589D">
      <w:pPr>
        <w:pStyle w:val="disbody"/>
        <w:rPr>
          <w:szCs w:val="28"/>
        </w:rPr>
      </w:pPr>
      <w:r w:rsidRPr="00A322B1">
        <w:rPr>
          <w:szCs w:val="28"/>
        </w:rPr>
        <w:t>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w:t>
      </w:r>
      <w:r>
        <w:rPr>
          <w:szCs w:val="28"/>
        </w:rPr>
        <w:t xml:space="preserve"> </w:t>
      </w:r>
      <w:r w:rsidRPr="0048589D">
        <w:rPr>
          <w:szCs w:val="28"/>
        </w:rPr>
        <w:t>Много успешни приложения, които съществуват днес, са създадени като монолити. С течение на времето, обаче, се наблюдават някои слаби точки като:</w:t>
      </w:r>
    </w:p>
    <w:p w14:paraId="231FC399" w14:textId="33392798" w:rsidR="0048589D" w:rsidRPr="0048589D" w:rsidRDefault="0048589D" w:rsidP="0048589D">
      <w:pPr>
        <w:pStyle w:val="disbody"/>
        <w:rPr>
          <w:szCs w:val="28"/>
        </w:rPr>
      </w:pPr>
      <w:r w:rsidRPr="0048589D">
        <w:rPr>
          <w:szCs w:val="28"/>
        </w:rPr>
        <w:t>• Новите промени могат да имат нежелани и „скъпи“ странични ефекти</w:t>
      </w:r>
      <w:r>
        <w:rPr>
          <w:szCs w:val="28"/>
        </w:rPr>
        <w:t>;</w:t>
      </w:r>
    </w:p>
    <w:p w14:paraId="149F8121" w14:textId="29FA6355" w:rsidR="0048589D" w:rsidRPr="0048589D" w:rsidRDefault="0048589D" w:rsidP="0048589D">
      <w:pPr>
        <w:pStyle w:val="disbody"/>
        <w:rPr>
          <w:szCs w:val="28"/>
        </w:rPr>
      </w:pPr>
      <w:r w:rsidRPr="0048589D">
        <w:rPr>
          <w:szCs w:val="28"/>
        </w:rPr>
        <w:t>• Новите функции стават трудни, отнемащи време за прилагане</w:t>
      </w:r>
      <w:r>
        <w:rPr>
          <w:szCs w:val="28"/>
        </w:rPr>
        <w:t>;</w:t>
      </w:r>
    </w:p>
    <w:p w14:paraId="46297979" w14:textId="35BECB6B" w:rsidR="0048589D" w:rsidRPr="0048589D" w:rsidRDefault="0048589D" w:rsidP="0048589D">
      <w:pPr>
        <w:pStyle w:val="disbody"/>
        <w:rPr>
          <w:szCs w:val="28"/>
        </w:rPr>
      </w:pPr>
      <w:r w:rsidRPr="0048589D">
        <w:rPr>
          <w:szCs w:val="28"/>
        </w:rPr>
        <w:t>• Всяка версия изисква пълно обновяване на цялото приложение</w:t>
      </w:r>
      <w:r w:rsidR="0097323F">
        <w:rPr>
          <w:szCs w:val="28"/>
        </w:rPr>
        <w:t>;</w:t>
      </w:r>
    </w:p>
    <w:p w14:paraId="6049B940" w14:textId="73A63020" w:rsidR="007E3F09" w:rsidRDefault="0048589D" w:rsidP="0048589D">
      <w:pPr>
        <w:pStyle w:val="disbody"/>
        <w:rPr>
          <w:szCs w:val="28"/>
        </w:rPr>
      </w:pPr>
      <w:r w:rsidRPr="0048589D">
        <w:rPr>
          <w:szCs w:val="28"/>
        </w:rPr>
        <w:lastRenderedPageBreak/>
        <w:t>• Един нестабилен компонент може да срине цялата система</w:t>
      </w:r>
      <w:r w:rsidR="0064540A">
        <w:rPr>
          <w:szCs w:val="28"/>
        </w:rPr>
        <w:t>;</w:t>
      </w:r>
    </w:p>
    <w:p w14:paraId="49912B0B" w14:textId="4DFBACC3" w:rsidR="005A336F" w:rsidRDefault="00F34365" w:rsidP="00F34365">
      <w:pPr>
        <w:pStyle w:val="Heading3"/>
        <w:rPr>
          <w:lang w:val="bg-BG"/>
        </w:rPr>
      </w:pPr>
      <w:r>
        <w:rPr>
          <w:lang w:val="bg-BG"/>
        </w:rPr>
        <w:t>3.2.2. Подход за изграждане,</w:t>
      </w:r>
      <w:r w:rsidRPr="00F34365">
        <w:rPr>
          <w:lang w:val="bg-BG"/>
        </w:rPr>
        <w:t xml:space="preserve"> </w:t>
      </w:r>
      <w:r w:rsidR="006F2A96">
        <w:rPr>
          <w:lang w:val="bg-BG"/>
        </w:rPr>
        <w:t>о</w:t>
      </w:r>
      <w:r w:rsidRPr="00F34365">
        <w:rPr>
          <w:lang w:val="bg-BG"/>
        </w:rPr>
        <w:t xml:space="preserve">риентиран към </w:t>
      </w:r>
      <w:r w:rsidR="006F2A96">
        <w:rPr>
          <w:lang w:val="bg-BG"/>
        </w:rPr>
        <w:t>м</w:t>
      </w:r>
      <w:r w:rsidRPr="00F34365">
        <w:rPr>
          <w:lang w:val="bg-BG"/>
        </w:rPr>
        <w:t>икросървисн</w:t>
      </w:r>
    </w:p>
    <w:p w14:paraId="5DA40117" w14:textId="77777777" w:rsidR="003C40C3" w:rsidRDefault="00D51BFF" w:rsidP="003C40C3">
      <w:pPr>
        <w:pStyle w:val="disbody"/>
        <w:rPr>
          <w:noProof/>
        </w:rPr>
      </w:pPr>
      <w:r w:rsidRPr="00A322B1">
        <w:rPr>
          <w:noProof/>
        </w:rPr>
        <w:t>За да реши горе описаните, но и много други, проблеми, следва да разгледаме ориентирания към услуги</w:t>
      </w:r>
      <w:r>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Pr>
          <w:noProof/>
        </w:rPr>
        <w:t>, разгледани в подглава 2.4.</w:t>
      </w:r>
      <w:r w:rsidR="00684BF1">
        <w:rPr>
          <w:noProof/>
        </w:rPr>
        <w:t xml:space="preserve"> </w:t>
      </w:r>
      <w:r w:rsidR="003C40C3">
        <w:rPr>
          <w:noProof/>
        </w:rPr>
        <w:t>Всеки микросервис притежава специфична бизнес способност, трябва да бъде разработван автономно и да може да се разгръща независимо. Предимства на това архитектурно решение са:</w:t>
      </w:r>
    </w:p>
    <w:p w14:paraId="77CAB46E" w14:textId="77777777" w:rsidR="003C40C3" w:rsidRDefault="003C40C3" w:rsidP="003C40C3">
      <w:pPr>
        <w:pStyle w:val="disbody"/>
        <w:rPr>
          <w:noProof/>
        </w:rPr>
      </w:pPr>
      <w:r>
        <w:rPr>
          <w:noProof/>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3678E170" w14:textId="77777777" w:rsidR="003C40C3" w:rsidRDefault="003C40C3" w:rsidP="003C40C3">
      <w:pPr>
        <w:pStyle w:val="disbody"/>
        <w:rPr>
          <w:noProof/>
        </w:rPr>
      </w:pPr>
      <w:r>
        <w:rPr>
          <w:noProof/>
        </w:rPr>
        <w:t>•  Работата може да бъде дистрибутирана между отделни екипи.</w:t>
      </w:r>
    </w:p>
    <w:p w14:paraId="566D5ABB" w14:textId="77777777" w:rsidR="003C40C3" w:rsidRDefault="003C40C3" w:rsidP="003C40C3">
      <w:pPr>
        <w:pStyle w:val="disbody"/>
        <w:rPr>
          <w:noProof/>
        </w:rPr>
      </w:pPr>
      <w:r>
        <w:rPr>
          <w:noProof/>
        </w:rPr>
        <w:t>•  Проблемите са по-изолирани.</w:t>
      </w:r>
    </w:p>
    <w:p w14:paraId="474928F3" w14:textId="7FF5227A" w:rsidR="000D7409" w:rsidRDefault="003C40C3" w:rsidP="001B0D71">
      <w:pPr>
        <w:pStyle w:val="disbody"/>
        <w:rPr>
          <w:noProof/>
        </w:rPr>
      </w:pPr>
      <w:r>
        <w:rPr>
          <w:noProof/>
        </w:rPr>
        <w:t>•  Позволява използването на различни технологии.</w:t>
      </w:r>
    </w:p>
    <w:p w14:paraId="7A38A00C" w14:textId="7E700A44" w:rsidR="006804AB" w:rsidRDefault="006804AB" w:rsidP="001B0D71">
      <w:pPr>
        <w:pStyle w:val="disbody"/>
        <w:rPr>
          <w:noProof/>
        </w:rPr>
      </w:pPr>
      <w:r w:rsidRPr="006804AB">
        <w:rPr>
          <w:noProof/>
        </w:rPr>
        <w:t xml:space="preserve">На фиг. 2 е показан примерен дизайн на </w:t>
      </w:r>
      <w:r>
        <w:rPr>
          <w:noProof/>
        </w:rPr>
        <w:t>микросървизно</w:t>
      </w:r>
      <w:r w:rsidRPr="006804AB">
        <w:rPr>
          <w:noProof/>
        </w:rPr>
        <w:t xml:space="preserve"> приложение. </w:t>
      </w:r>
      <w:r w:rsidR="002510BF">
        <w:rPr>
          <w:noProof/>
        </w:rPr>
        <w:t>Всяка услуга</w:t>
      </w:r>
      <w:r w:rsidRPr="006804AB">
        <w:rPr>
          <w:noProof/>
        </w:rPr>
        <w:t>, отговаря</w:t>
      </w:r>
      <w:r w:rsidR="002510BF">
        <w:rPr>
          <w:noProof/>
        </w:rPr>
        <w:t xml:space="preserve"> на </w:t>
      </w:r>
      <w:r w:rsidRPr="006804AB">
        <w:rPr>
          <w:noProof/>
        </w:rPr>
        <w:t>изисквания разгледани в 2ра глава.</w:t>
      </w:r>
    </w:p>
    <w:p w14:paraId="2BA3FAA6" w14:textId="77777777" w:rsidR="006804AB" w:rsidRPr="00FF7B00" w:rsidRDefault="006804AB" w:rsidP="006804AB">
      <w:pPr>
        <w:ind w:firstLine="0"/>
      </w:pPr>
      <w:r>
        <w:rPr>
          <w:noProof/>
        </w:rPr>
        <w:lastRenderedPageBreak/>
        <w:drawing>
          <wp:inline distT="0" distB="0" distL="0" distR="0" wp14:anchorId="67FC9868" wp14:editId="6FAFB722">
            <wp:extent cx="5719445" cy="3096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9445" cy="3096895"/>
                    </a:xfrm>
                    <a:prstGeom prst="rect">
                      <a:avLst/>
                    </a:prstGeom>
                    <a:noFill/>
                    <a:ln>
                      <a:noFill/>
                    </a:ln>
                  </pic:spPr>
                </pic:pic>
              </a:graphicData>
            </a:graphic>
          </wp:inline>
        </w:drawing>
      </w:r>
    </w:p>
    <w:p w14:paraId="4CD37A03" w14:textId="77777777" w:rsidR="006804AB" w:rsidRPr="009A0968" w:rsidRDefault="006804AB" w:rsidP="006804AB">
      <w:pPr>
        <w:jc w:val="center"/>
        <w:rPr>
          <w:b/>
          <w:bCs/>
          <w:i/>
          <w:iCs/>
          <w:lang w:val="bg-BG"/>
        </w:rPr>
      </w:pPr>
      <w:r w:rsidRPr="00F20E64">
        <w:rPr>
          <w:b/>
          <w:bCs/>
          <w:i/>
          <w:iCs/>
        </w:rPr>
        <w:t xml:space="preserve">Фиг. </w:t>
      </w:r>
      <w:r>
        <w:rPr>
          <w:b/>
          <w:bCs/>
          <w:i/>
          <w:iCs/>
          <w:lang w:val="bg-BG"/>
        </w:rPr>
        <w:t>2.2</w:t>
      </w:r>
      <w:r w:rsidRPr="00F20E64">
        <w:rPr>
          <w:b/>
          <w:bCs/>
          <w:i/>
          <w:iCs/>
        </w:rPr>
        <w:t xml:space="preserve">. </w:t>
      </w:r>
      <w:r>
        <w:rPr>
          <w:i/>
          <w:iCs/>
          <w:lang w:val="bg-BG"/>
        </w:rPr>
        <w:t>Диаграма от високо ниво на системата.</w:t>
      </w:r>
    </w:p>
    <w:p w14:paraId="4EB8DE6C" w14:textId="1899A319" w:rsidR="001B0D71" w:rsidRDefault="001B0D71" w:rsidP="001B0D71">
      <w:pPr>
        <w:pStyle w:val="Heading3"/>
      </w:pPr>
      <w:r>
        <w:rPr>
          <w:noProof/>
        </w:rPr>
        <w:t xml:space="preserve">3.2.3. </w:t>
      </w:r>
      <w:r w:rsidRPr="00482299">
        <w:t>Софтуерното внедряване и поддръжка в облачна среда</w:t>
      </w:r>
    </w:p>
    <w:p w14:paraId="5F5E5EB0" w14:textId="77777777" w:rsidR="00D61C29" w:rsidRPr="00D61C29" w:rsidRDefault="00D61C29" w:rsidP="00D61C29">
      <w:pPr>
        <w:pStyle w:val="disbody"/>
        <w:rPr>
          <w:color w:val="222222"/>
          <w:szCs w:val="28"/>
          <w:shd w:val="clear" w:color="auto" w:fill="FFFFFF"/>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lastRenderedPageBreak/>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 xml:space="preserve">. </w:t>
      </w:r>
      <w:r w:rsidRPr="00A322B1">
        <w:rPr>
          <w:color w:val="222222"/>
          <w:szCs w:val="28"/>
          <w:shd w:val="clear" w:color="auto" w:fill="FFFFFF"/>
        </w:rPr>
        <w:t>Azure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w:t>
      </w:r>
      <w:r>
        <w:rPr>
          <w:color w:val="222222"/>
          <w:szCs w:val="28"/>
          <w:shd w:val="clear" w:color="auto" w:fill="FFFFFF"/>
        </w:rPr>
        <w:t xml:space="preserve"> атаки. </w:t>
      </w:r>
      <w:r w:rsidRPr="00D61C29">
        <w:rPr>
          <w:color w:val="222222"/>
          <w:szCs w:val="28"/>
          <w:shd w:val="clear" w:color="auto" w:fill="FFFFFF"/>
        </w:rPr>
        <w:t xml:space="preserve">При стартиране на приложения в Azure eдно от първите решения, които трябва бъдат вземети, са планираните за </w:t>
      </w:r>
      <w:r w:rsidRPr="00D61C29">
        <w:rPr>
          <w:color w:val="222222"/>
          <w:szCs w:val="28"/>
          <w:shd w:val="clear" w:color="auto" w:fill="FFFFFF"/>
        </w:rPr>
        <w:lastRenderedPageBreak/>
        <w:t>използване услуги:</w:t>
      </w:r>
    </w:p>
    <w:p w14:paraId="0CC5E2EF" w14:textId="77777777" w:rsidR="00D61C29" w:rsidRPr="00D61C29" w:rsidRDefault="00D61C29" w:rsidP="00D61C29">
      <w:pPr>
        <w:pStyle w:val="disbody"/>
        <w:rPr>
          <w:color w:val="222222"/>
          <w:szCs w:val="28"/>
          <w:shd w:val="clear" w:color="auto" w:fill="FFFFFF"/>
        </w:rPr>
      </w:pPr>
      <w:r w:rsidRPr="00D61C29">
        <w:rPr>
          <w:color w:val="222222"/>
          <w:szCs w:val="28"/>
          <w:shd w:val="clear" w:color="auto" w:fill="FFFFFF"/>
        </w:rPr>
        <w:t>•</w:t>
      </w:r>
      <w:r w:rsidRPr="00D61C29">
        <w:rPr>
          <w:color w:val="222222"/>
          <w:szCs w:val="28"/>
          <w:shd w:val="clear" w:color="auto" w:fill="FFFFFF"/>
        </w:rPr>
        <w:tab/>
        <w:t>Azure App Services  -   eдин от най-лесните и мощни начини за хостване на приложения. Той е предпочитан при монолитната архитектура.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приложението ще бъде достъпно в интернет, без да е необходимо да се настройва име на домейн или да се конфигурира DNS. Работи много добре с контейнери.</w:t>
      </w:r>
    </w:p>
    <w:p w14:paraId="1B829ABC" w14:textId="77777777" w:rsidR="00A20D52" w:rsidRDefault="00D61C29" w:rsidP="00D61C29">
      <w:pPr>
        <w:pStyle w:val="disbody"/>
        <w:rPr>
          <w:szCs w:val="28"/>
        </w:rPr>
      </w:pPr>
      <w:r w:rsidRPr="00D61C29">
        <w:rPr>
          <w:color w:val="222222"/>
          <w:szCs w:val="28"/>
          <w:shd w:val="clear" w:color="auto" w:fill="FFFFFF"/>
        </w:rPr>
        <w:t>•</w:t>
      </w:r>
      <w:r w:rsidRPr="00D61C29">
        <w:rPr>
          <w:color w:val="222222"/>
          <w:szCs w:val="28"/>
          <w:shd w:val="clear" w:color="auto" w:fill="FFFFFF"/>
        </w:rPr>
        <w:tab/>
        <w:t xml:space="preserve">Azure Virtual Machines - позволява преместване на съществуващи </w:t>
      </w:r>
      <w:r w:rsidR="00A20D52" w:rsidRPr="00A322B1">
        <w:rPr>
          <w:szCs w:val="28"/>
        </w:rPr>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 Услугата е подходяща за мигриране на т.нар. „наследена система“, която да бъде използва като подсистема или източник на данни</w:t>
      </w:r>
      <w:r w:rsidR="00A20D52">
        <w:rPr>
          <w:szCs w:val="28"/>
        </w:rPr>
        <w:t xml:space="preserve">. </w:t>
      </w:r>
    </w:p>
    <w:p w14:paraId="7DC5A1AF" w14:textId="77777777" w:rsidR="00A20D52" w:rsidRDefault="00A20D52" w:rsidP="00A20D52">
      <w:pPr>
        <w:pStyle w:val="disbody"/>
      </w:pPr>
      <w:r>
        <w:t>Следната таблица представя услугите и техните най-чести случаи на употреба:</w:t>
      </w:r>
    </w:p>
    <w:p w14:paraId="21D8B25C" w14:textId="77777777" w:rsidR="00A20D52" w:rsidRDefault="00A20D52" w:rsidP="00A20D52">
      <w:pPr>
        <w:ind w:firstLine="0"/>
        <w:jc w:val="center"/>
        <w:rPr>
          <w:szCs w:val="28"/>
        </w:rPr>
      </w:pPr>
      <w:r>
        <w:rPr>
          <w:noProof/>
        </w:rPr>
        <w:lastRenderedPageBreak/>
        <w:drawing>
          <wp:inline distT="0" distB="0" distL="0" distR="0" wp14:anchorId="3F2B9292" wp14:editId="05A2C987">
            <wp:extent cx="4777740" cy="2880995"/>
            <wp:effectExtent l="0" t="0" r="381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2"/>
                    <a:stretch>
                      <a:fillRect/>
                    </a:stretch>
                  </pic:blipFill>
                  <pic:spPr>
                    <a:xfrm>
                      <a:off x="0" y="0"/>
                      <a:ext cx="4777740" cy="2880995"/>
                    </a:xfrm>
                    <a:prstGeom prst="rect">
                      <a:avLst/>
                    </a:prstGeom>
                  </pic:spPr>
                </pic:pic>
              </a:graphicData>
            </a:graphic>
          </wp:inline>
        </w:drawing>
      </w:r>
    </w:p>
    <w:p w14:paraId="113F2999" w14:textId="77777777" w:rsidR="00A20D52" w:rsidRPr="00783879" w:rsidRDefault="00A20D52" w:rsidP="00A20D52">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 Представя кои услуги на Azure са подходящи за различните типове.</w:t>
      </w:r>
    </w:p>
    <w:p w14:paraId="458837EB" w14:textId="3ADBCBF8" w:rsidR="009F7AFE" w:rsidRDefault="00B123F2" w:rsidP="00E1266F">
      <w:pPr>
        <w:pStyle w:val="disbody"/>
      </w:pPr>
      <w:r>
        <w:br w:type="page"/>
      </w:r>
    </w:p>
    <w:p w14:paraId="1D2CB4A0" w14:textId="0BE83031" w:rsidR="00E1266F" w:rsidRPr="00095722" w:rsidRDefault="00E1266F" w:rsidP="00E1266F">
      <w:pPr>
        <w:pStyle w:val="Heading2"/>
        <w:rPr>
          <w:lang w:val="bg-BG"/>
        </w:rPr>
      </w:pPr>
      <w:r>
        <w:lastRenderedPageBreak/>
        <w:t>3.</w:t>
      </w:r>
      <w:r w:rsidR="00134E8C">
        <w:rPr>
          <w:lang w:val="bg-BG"/>
        </w:rPr>
        <w:t>4</w:t>
      </w:r>
      <w:r>
        <w:t xml:space="preserve">. </w:t>
      </w:r>
      <w:r w:rsidR="00095722">
        <w:t xml:space="preserve"> </w:t>
      </w:r>
      <w:r w:rsidR="00095722">
        <w:rPr>
          <w:lang w:val="bg-BG"/>
        </w:rPr>
        <w:t xml:space="preserve">Бизнес </w:t>
      </w:r>
      <w:r w:rsidR="00095722" w:rsidRPr="00095722">
        <w:t>методология</w:t>
      </w:r>
      <w:r w:rsidR="00095722">
        <w:rPr>
          <w:lang w:val="bg-BG"/>
        </w:rPr>
        <w:t xml:space="preserve"> за </w:t>
      </w:r>
      <w:r w:rsidR="00B33149">
        <w:rPr>
          <w:lang w:val="bg-BG"/>
        </w:rPr>
        <w:t>изграждане и развитие</w:t>
      </w:r>
    </w:p>
    <w:p w14:paraId="69DD1D60" w14:textId="3ED1DD68" w:rsidR="00E1266F" w:rsidRDefault="00A70875" w:rsidP="005B64C6">
      <w:pPr>
        <w:pStyle w:val="disbody"/>
      </w:pPr>
      <w:r w:rsidRPr="00A70875">
        <w:t>Методик</w:t>
      </w:r>
      <w:r>
        <w:t>а</w:t>
      </w:r>
      <w:r w:rsidRPr="00A70875">
        <w:t xml:space="preserve"> за </w:t>
      </w:r>
      <w:r w:rsidR="008A1CB3">
        <w:t>„</w:t>
      </w:r>
      <w:r w:rsidRPr="00A70875">
        <w:t>икономично</w:t>
      </w:r>
      <w:r w:rsidR="008A1CB3">
        <w:t>“</w:t>
      </w:r>
      <w:r w:rsidRPr="00A70875">
        <w:t xml:space="preserve"> стартиране</w:t>
      </w:r>
      <w:r>
        <w:t xml:space="preserve"> (</w:t>
      </w:r>
      <w:r>
        <w:rPr>
          <w:lang w:val="en-US"/>
        </w:rPr>
        <w:t xml:space="preserve">lean startup) </w:t>
      </w:r>
      <w:r>
        <w:t>дава възможност</w:t>
      </w:r>
      <w:r w:rsidRPr="00A70875">
        <w:t xml:space="preserve"> </w:t>
      </w:r>
      <w:r>
        <w:t xml:space="preserve">на </w:t>
      </w:r>
      <w:r w:rsidRPr="00A70875">
        <w:t>екип или компания да въведат нови продукти или услуги на пазара</w:t>
      </w:r>
      <w:r w:rsidR="00744861">
        <w:t xml:space="preserve">, в </w:t>
      </w:r>
      <w:r w:rsidR="00744861" w:rsidRPr="00744861">
        <w:t>условия на несигурност</w:t>
      </w:r>
      <w:r w:rsidRPr="00A70875">
        <w:t>.</w:t>
      </w:r>
      <w:r w:rsidR="008A1CB3">
        <w:t xml:space="preserve"> Тази методика се свързва с бързина и скорост на развитие. </w:t>
      </w:r>
      <w:r w:rsidR="005B64C6">
        <w:t>Целта е създаване на процъфтяващ и променящ света бизнес. Това наричаме „визия“. За да я постигнат, компании използват стратегия, която включва бизнес модел, продуктова карта, гледна точка за партньори и конкуренти и идеи за клиенти. Продуктът е крайният резултат от тази стратегия</w:t>
      </w:r>
      <w:r w:rsidR="00E108EC">
        <w:t>.</w:t>
      </w:r>
      <w:r w:rsidR="001D2976">
        <w:t xml:space="preserve"> Следната фигура илюстрира :</w:t>
      </w:r>
    </w:p>
    <w:p w14:paraId="1427BA6C" w14:textId="3F4089FA" w:rsidR="001D2976" w:rsidRDefault="001D2976" w:rsidP="005B64C6">
      <w:pPr>
        <w:pStyle w:val="disbody"/>
      </w:pPr>
      <w:r>
        <w:rPr>
          <w:noProof/>
        </w:rPr>
        <w:drawing>
          <wp:inline distT="0" distB="0" distL="0" distR="0" wp14:anchorId="4B6AAE21" wp14:editId="56A6F7F0">
            <wp:extent cx="451485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850" cy="3476625"/>
                    </a:xfrm>
                    <a:prstGeom prst="rect">
                      <a:avLst/>
                    </a:prstGeom>
                  </pic:spPr>
                </pic:pic>
              </a:graphicData>
            </a:graphic>
          </wp:inline>
        </w:drawing>
      </w:r>
    </w:p>
    <w:p w14:paraId="5C91B22E" w14:textId="2127D0A1" w:rsidR="001D2976" w:rsidRPr="00783879" w:rsidRDefault="001D2976" w:rsidP="001D2976">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 Представя кои услуги на Azure са подходящи за различните типове.</w:t>
      </w:r>
    </w:p>
    <w:p w14:paraId="28ED5ABC" w14:textId="50FF6305" w:rsidR="001E7566" w:rsidRDefault="000C0833" w:rsidP="001E7566">
      <w:pPr>
        <w:pStyle w:val="disbody"/>
      </w:pPr>
      <w:r>
        <w:t>В</w:t>
      </w:r>
      <w:r w:rsidRPr="000C0833">
        <w:rPr>
          <w:lang w:val="en-US"/>
        </w:rPr>
        <w:t>секи продукт, вс</w:t>
      </w:r>
      <w:r>
        <w:t>я</w:t>
      </w:r>
      <w:r w:rsidRPr="000C0833">
        <w:rPr>
          <w:lang w:val="en-US"/>
        </w:rPr>
        <w:t>к</w:t>
      </w:r>
      <w:r>
        <w:t>а</w:t>
      </w:r>
      <w:r w:rsidRPr="000C0833">
        <w:rPr>
          <w:lang w:val="en-US"/>
        </w:rPr>
        <w:t xml:space="preserve"> маркетинг</w:t>
      </w:r>
      <w:r>
        <w:t xml:space="preserve"> </w:t>
      </w:r>
      <w:r w:rsidRPr="000C0833">
        <w:rPr>
          <w:lang w:val="en-US"/>
        </w:rPr>
        <w:t xml:space="preserve">кампания – всичко, което стартирането прави, се </w:t>
      </w:r>
      <w:r>
        <w:t>приема</w:t>
      </w:r>
      <w:r w:rsidRPr="000C0833">
        <w:rPr>
          <w:lang w:val="en-US"/>
        </w:rPr>
        <w:t xml:space="preserve"> като</w:t>
      </w:r>
      <w:r>
        <w:t xml:space="preserve"> </w:t>
      </w:r>
      <w:r w:rsidRPr="000C0833">
        <w:rPr>
          <w:lang w:val="en-US"/>
        </w:rPr>
        <w:t>експеримент, предназначен да постигне валидирано</w:t>
      </w:r>
      <w:r w:rsidR="004C36C3">
        <w:t xml:space="preserve"> знание</w:t>
      </w:r>
      <w:r w:rsidRPr="000C0833">
        <w:rPr>
          <w:lang w:val="en-US"/>
        </w:rPr>
        <w:t xml:space="preserve">. </w:t>
      </w:r>
      <w:r w:rsidR="001E7566">
        <w:t>Създават се предложения или хипотези, които трябва да се валидират. Някои от тях са:</w:t>
      </w:r>
    </w:p>
    <w:p w14:paraId="34BEA52E" w14:textId="1FE52559" w:rsidR="001E7566" w:rsidRDefault="001E7566" w:rsidP="001E7566">
      <w:pPr>
        <w:pStyle w:val="disbody"/>
      </w:pPr>
      <w:r>
        <w:t>•</w:t>
      </w:r>
      <w:r>
        <w:t xml:space="preserve">   </w:t>
      </w:r>
      <w:r>
        <w:t xml:space="preserve">Клиентите са готови да отделят време, за да научат </w:t>
      </w:r>
      <w:r>
        <w:t>къде и кога ще пристигне доставката;</w:t>
      </w:r>
    </w:p>
    <w:p w14:paraId="643FADF4" w14:textId="6FB0345C" w:rsidR="001E7566" w:rsidRDefault="001E7566" w:rsidP="001E7566">
      <w:pPr>
        <w:pStyle w:val="disbody"/>
      </w:pPr>
      <w:r>
        <w:t xml:space="preserve">• Обясняване на предимствата </w:t>
      </w:r>
      <w:r>
        <w:t xml:space="preserve">клиентите да могат да регистрират </w:t>
      </w:r>
      <w:r>
        <w:lastRenderedPageBreak/>
        <w:t>поръчки през дигитална платформа;</w:t>
      </w:r>
    </w:p>
    <w:p w14:paraId="55D594D2" w14:textId="09B8A7E8" w:rsidR="001E7566" w:rsidRDefault="001E7566" w:rsidP="001E7566">
      <w:pPr>
        <w:pStyle w:val="disbody"/>
      </w:pPr>
      <w:r>
        <w:t xml:space="preserve">Създава се </w:t>
      </w:r>
      <w:r w:rsidRPr="001E7566">
        <w:t>шаблон за стратегическо управление</w:t>
      </w:r>
      <w:r>
        <w:t xml:space="preserve">, под формата на </w:t>
      </w:r>
      <w:r w:rsidRPr="001E7566">
        <w:t>бизнес модел</w:t>
      </w:r>
      <w:r>
        <w:t>:</w:t>
      </w:r>
    </w:p>
    <w:p w14:paraId="0C0E25AF" w14:textId="6157E838" w:rsidR="001E7566" w:rsidRDefault="001E7566" w:rsidP="001E7566">
      <w:pPr>
        <w:pStyle w:val="disbody"/>
        <w:rPr>
          <w:noProof/>
        </w:rPr>
      </w:pPr>
      <w:r w:rsidRPr="001E7566">
        <w:rPr>
          <w:noProof/>
        </w:rPr>
        <w:drawing>
          <wp:inline distT="0" distB="0" distL="0" distR="0" wp14:anchorId="04749CD1" wp14:editId="01ACD544">
            <wp:extent cx="5731510" cy="3822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0607DC69" w14:textId="51AF1619" w:rsidR="001E7566" w:rsidRPr="00783879" w:rsidRDefault="001E7566" w:rsidP="001E7566">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w:t>
      </w:r>
    </w:p>
    <w:p w14:paraId="35F2C5B5" w14:textId="0EBDBFC6" w:rsidR="00A5660C" w:rsidRDefault="00A5660C">
      <w:pPr>
        <w:widowControl/>
        <w:spacing w:after="160" w:line="259" w:lineRule="auto"/>
        <w:ind w:firstLine="0"/>
        <w:jc w:val="left"/>
        <w:rPr>
          <w:sz w:val="28"/>
          <w:lang w:val="bg-BG"/>
        </w:rPr>
      </w:pPr>
    </w:p>
    <w:p w14:paraId="6FDA1DC7" w14:textId="52B33715" w:rsidR="001E7566" w:rsidRDefault="00A5660C">
      <w:pPr>
        <w:widowControl/>
        <w:spacing w:after="160" w:line="259" w:lineRule="auto"/>
        <w:ind w:firstLine="0"/>
        <w:jc w:val="left"/>
        <w:rPr>
          <w:sz w:val="28"/>
          <w:lang w:val="bg-BG"/>
        </w:rPr>
      </w:pPr>
      <w:r>
        <w:rPr>
          <w:sz w:val="28"/>
          <w:lang w:val="bg-BG"/>
        </w:rPr>
        <w:br w:type="page"/>
      </w:r>
    </w:p>
    <w:p w14:paraId="4DC6EE9B" w14:textId="13DA728E" w:rsidR="001E4A50" w:rsidRDefault="001E4A50" w:rsidP="00A5660C">
      <w:pPr>
        <w:pStyle w:val="disbody"/>
      </w:pPr>
      <w:r>
        <w:lastRenderedPageBreak/>
        <w:t xml:space="preserve">Надграден вариант на този </w:t>
      </w:r>
      <w:r w:rsidR="0044217F">
        <w:t>модел е Lean Canvas:</w:t>
      </w:r>
    </w:p>
    <w:p w14:paraId="3E696F41" w14:textId="6E8A026A" w:rsidR="00A5660C" w:rsidRDefault="00A5660C">
      <w:pPr>
        <w:widowControl/>
        <w:spacing w:after="160" w:line="259" w:lineRule="auto"/>
        <w:ind w:firstLine="0"/>
        <w:jc w:val="left"/>
        <w:rPr>
          <w:sz w:val="28"/>
        </w:rPr>
      </w:pPr>
      <w:r>
        <w:rPr>
          <w:noProof/>
        </w:rPr>
        <w:drawing>
          <wp:inline distT="0" distB="0" distL="0" distR="0" wp14:anchorId="3F8B90F3" wp14:editId="54219D5C">
            <wp:extent cx="5731510" cy="3202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02940"/>
                    </a:xfrm>
                    <a:prstGeom prst="rect">
                      <a:avLst/>
                    </a:prstGeom>
                  </pic:spPr>
                </pic:pic>
              </a:graphicData>
            </a:graphic>
          </wp:inline>
        </w:drawing>
      </w:r>
    </w:p>
    <w:p w14:paraId="7AB1D8E3" w14:textId="77777777" w:rsidR="00A5660C" w:rsidRPr="00783879" w:rsidRDefault="00A5660C" w:rsidP="00A5660C">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w:t>
      </w:r>
    </w:p>
    <w:p w14:paraId="0EF3EA5A" w14:textId="26A4CBC1" w:rsidR="00A5660C" w:rsidRDefault="00A5660C" w:rsidP="00E10B37">
      <w:pPr>
        <w:pStyle w:val="disbody"/>
      </w:pPr>
      <w:r>
        <w:t>Следващата стъпка е да се изгради дърво на хипотезите</w:t>
      </w:r>
      <w:r w:rsidR="00211126">
        <w:t>. Добра хипотеза, често притежава следните елементи:</w:t>
      </w:r>
      <w:r w:rsidR="00211126" w:rsidRPr="00211126">
        <w:t xml:space="preserve"> 1.Кой? 2.Ще направи какво? 3. Как се измерва? (очакван брой) 4.Защо?</w:t>
      </w:r>
      <w:r w:rsidR="00ED3178">
        <w:t xml:space="preserve"> </w:t>
      </w:r>
    </w:p>
    <w:p w14:paraId="1B296915" w14:textId="035A63C6" w:rsidR="00ED3178" w:rsidRDefault="00ED3178" w:rsidP="00E10B37">
      <w:pPr>
        <w:pStyle w:val="disbody"/>
      </w:pPr>
      <w:r>
        <w:t>Поставените тук хипотези са:</w:t>
      </w:r>
    </w:p>
    <w:p w14:paraId="0F3748DF" w14:textId="6C9D0A90" w:rsidR="00A5660C" w:rsidRPr="00A5660C" w:rsidRDefault="00A5660C" w:rsidP="00A5660C">
      <w:pPr>
        <w:pStyle w:val="disbody"/>
      </w:pPr>
      <w:r>
        <w:t xml:space="preserve">•   </w:t>
      </w:r>
      <w:r w:rsidRPr="00A5660C">
        <w:t>[целевият пазар] ще [направи това действие/използва това решение] поради [тази причина].</w:t>
      </w:r>
    </w:p>
    <w:p w14:paraId="4C817C46" w14:textId="6CA84C3D" w:rsidR="00D200A7" w:rsidRDefault="00FA3749" w:rsidP="00FA3749">
      <w:pPr>
        <w:pStyle w:val="disbody"/>
      </w:pPr>
      <w:r>
        <w:t>Инструменти за валидирането са и</w:t>
      </w:r>
      <w:r>
        <w:t>нтервюта с клиенти</w:t>
      </w:r>
      <w:r>
        <w:t>, ф</w:t>
      </w:r>
      <w:r>
        <w:t>окус групи</w:t>
      </w:r>
      <w:r>
        <w:t>, т</w:t>
      </w:r>
      <w:r>
        <w:t>ества</w:t>
      </w:r>
      <w:r>
        <w:t>не на</w:t>
      </w:r>
      <w:r>
        <w:t xml:space="preserve"> пазара</w:t>
      </w:r>
      <w:r>
        <w:t>, преглед на място.</w:t>
      </w:r>
      <w:r w:rsidR="00C9482D">
        <w:t xml:space="preserve"> </w:t>
      </w:r>
      <w:r w:rsidR="0062381F">
        <w:t>Част от п</w:t>
      </w:r>
      <w:r w:rsidR="00C9482D">
        <w:t>роучва</w:t>
      </w:r>
      <w:r w:rsidR="0062381F">
        <w:t xml:space="preserve">нето на този етап е </w:t>
      </w:r>
      <w:r w:rsidR="00C9482D">
        <w:t>дали това</w:t>
      </w:r>
      <w:r w:rsidR="0062381F">
        <w:t xml:space="preserve"> решение се предлага</w:t>
      </w:r>
      <w:r w:rsidR="0062381F" w:rsidRPr="0062381F">
        <w:t xml:space="preserve"> в други страни</w:t>
      </w:r>
      <w:r w:rsidR="0062381F">
        <w:t>.</w:t>
      </w:r>
      <w:r w:rsidR="0062381F" w:rsidRPr="0062381F">
        <w:t xml:space="preserve"> </w:t>
      </w:r>
      <w:r w:rsidR="0062381F">
        <w:t>Също така к</w:t>
      </w:r>
      <w:r w:rsidR="0062381F" w:rsidRPr="0062381F">
        <w:t>акво е текущото решение</w:t>
      </w:r>
      <w:r w:rsidR="0062381F">
        <w:t>, к</w:t>
      </w:r>
      <w:r w:rsidR="0062381F" w:rsidRPr="0062381F">
        <w:t>олко души имат този проблем и т.н.</w:t>
      </w:r>
    </w:p>
    <w:p w14:paraId="2A12052C" w14:textId="452D8BE2" w:rsidR="00A5660C" w:rsidRPr="00D200A7" w:rsidRDefault="00D200A7" w:rsidP="00D200A7">
      <w:pPr>
        <w:widowControl/>
        <w:spacing w:after="160" w:line="259" w:lineRule="auto"/>
        <w:ind w:firstLine="0"/>
        <w:jc w:val="left"/>
        <w:rPr>
          <w:sz w:val="28"/>
          <w:lang w:val="bg-BG"/>
        </w:rPr>
      </w:pPr>
      <w:r>
        <w:br w:type="page"/>
      </w:r>
    </w:p>
    <w:p w14:paraId="6F814668" w14:textId="0883176C" w:rsidR="00D200A7" w:rsidRDefault="00D200A7" w:rsidP="00D200A7">
      <w:pPr>
        <w:pStyle w:val="disbody"/>
      </w:pPr>
      <w:r>
        <w:lastRenderedPageBreak/>
        <w:t>Нека разгледаме традиционния подход:</w:t>
      </w:r>
    </w:p>
    <w:p w14:paraId="5FA5B66E" w14:textId="7F5C2448" w:rsidR="00D200A7" w:rsidRDefault="00D200A7" w:rsidP="00D200A7">
      <w:pPr>
        <w:pStyle w:val="disbody"/>
      </w:pPr>
      <w:r w:rsidRPr="00D200A7">
        <w:rPr>
          <w:noProof/>
        </w:rPr>
        <w:drawing>
          <wp:inline distT="0" distB="0" distL="0" distR="0" wp14:anchorId="0E738C51" wp14:editId="2B7A2A11">
            <wp:extent cx="5731510" cy="6711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711950"/>
                    </a:xfrm>
                    <a:prstGeom prst="rect">
                      <a:avLst/>
                    </a:prstGeom>
                    <a:noFill/>
                    <a:ln>
                      <a:noFill/>
                    </a:ln>
                  </pic:spPr>
                </pic:pic>
              </a:graphicData>
            </a:graphic>
          </wp:inline>
        </w:drawing>
      </w:r>
    </w:p>
    <w:p w14:paraId="758DD9AB" w14:textId="77777777" w:rsidR="00D200A7" w:rsidRPr="00783879" w:rsidRDefault="00D200A7" w:rsidP="00D200A7">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w:t>
      </w:r>
    </w:p>
    <w:p w14:paraId="1602CBD0" w14:textId="6FBB6BE1" w:rsidR="00B123F2" w:rsidRPr="004D75FE" w:rsidRDefault="004D75FE" w:rsidP="00B123F2">
      <w:pPr>
        <w:pStyle w:val="disbody"/>
        <w:rPr>
          <w:lang w:val="en-US"/>
        </w:rPr>
      </w:pPr>
      <w:r>
        <w:t xml:space="preserve">+ ТОДО: Сравнение между </w:t>
      </w:r>
      <w:r w:rsidRPr="004D75FE">
        <w:t>Традиционен</w:t>
      </w:r>
      <w:r>
        <w:t xml:space="preserve"> и </w:t>
      </w:r>
      <w:r>
        <w:rPr>
          <w:lang w:val="en-US"/>
        </w:rPr>
        <w:t>Lean</w:t>
      </w:r>
    </w:p>
    <w:p w14:paraId="73E9C966" w14:textId="77777777" w:rsidR="00B558EE" w:rsidRPr="00084B24" w:rsidRDefault="00B558EE" w:rsidP="00B558EE">
      <w:pPr>
        <w:pStyle w:val="Heading1"/>
        <w:rPr>
          <w:lang w:val="bg-BG"/>
        </w:rPr>
      </w:pPr>
      <w:r w:rsidRPr="00084B24">
        <w:rPr>
          <w:lang w:val="bg-BG"/>
        </w:rPr>
        <w:lastRenderedPageBreak/>
        <w:t>Използвана литература</w:t>
      </w:r>
      <w:bookmarkEnd w:id="5"/>
    </w:p>
    <w:p w14:paraId="24939D3B" w14:textId="43F9D099" w:rsidR="004B7E41" w:rsidRDefault="00AC1472" w:rsidP="00893EFB">
      <w:pPr>
        <w:pStyle w:val="disliteratura"/>
      </w:pPr>
      <w:hyperlink r:id="rId17" w:history="1">
        <w:r w:rsidR="001167F8" w:rsidRPr="00BB036B">
          <w:rPr>
            <w:rStyle w:val="Hyperlink"/>
          </w:rPr>
          <w:t>https://www.forbes.com/companies/heidelbergcement/</w:t>
        </w:r>
      </w:hyperlink>
    </w:p>
    <w:p w14:paraId="22608ADD" w14:textId="317C9200" w:rsidR="001167F8" w:rsidRDefault="00AC1472" w:rsidP="00893EFB">
      <w:pPr>
        <w:pStyle w:val="disliteratura"/>
      </w:pPr>
      <w:hyperlink r:id="rId18" w:history="1">
        <w:r w:rsidR="001167F8" w:rsidRPr="00BB036B">
          <w:rPr>
            <w:rStyle w:val="Hyperlink"/>
          </w:rPr>
          <w:t>https://www.forbes.com/lists/global2000/?sh=1939f7c65ac0</w:t>
        </w:r>
      </w:hyperlink>
    </w:p>
    <w:p w14:paraId="60B66B53" w14:textId="77777777" w:rsidR="001167F8" w:rsidRPr="00893EFB" w:rsidRDefault="001167F8" w:rsidP="00893EFB">
      <w:pPr>
        <w:pStyle w:val="disliteratura"/>
      </w:pPr>
    </w:p>
    <w:sectPr w:rsidR="001167F8" w:rsidRPr="00893E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2E93D" w14:textId="77777777" w:rsidR="00AC1472" w:rsidRDefault="00AC1472" w:rsidP="00B558EE">
      <w:pPr>
        <w:spacing w:line="240" w:lineRule="auto"/>
      </w:pPr>
      <w:r>
        <w:separator/>
      </w:r>
    </w:p>
  </w:endnote>
  <w:endnote w:type="continuationSeparator" w:id="0">
    <w:p w14:paraId="7CA96F44" w14:textId="77777777" w:rsidR="00AC1472" w:rsidRDefault="00AC1472" w:rsidP="00B55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31CAB" w14:textId="77777777" w:rsidR="00AC1472" w:rsidRDefault="00AC1472" w:rsidP="00B558EE">
      <w:pPr>
        <w:spacing w:line="240" w:lineRule="auto"/>
      </w:pPr>
      <w:r>
        <w:separator/>
      </w:r>
    </w:p>
  </w:footnote>
  <w:footnote w:type="continuationSeparator" w:id="0">
    <w:p w14:paraId="4322DBFD" w14:textId="77777777" w:rsidR="00AC1472" w:rsidRDefault="00AC1472" w:rsidP="00B558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3F4DF5"/>
    <w:multiLevelType w:val="hybridMultilevel"/>
    <w:tmpl w:val="D706B17E"/>
    <w:lvl w:ilvl="0" w:tplc="B6D80AC6">
      <w:start w:val="1"/>
      <w:numFmt w:val="bullet"/>
      <w:lvlText w:val="•"/>
      <w:lvlJc w:val="left"/>
      <w:pPr>
        <w:tabs>
          <w:tab w:val="num" w:pos="720"/>
        </w:tabs>
        <w:ind w:left="720" w:hanging="360"/>
      </w:pPr>
      <w:rPr>
        <w:rFonts w:ascii="Arial" w:hAnsi="Arial" w:hint="default"/>
      </w:rPr>
    </w:lvl>
    <w:lvl w:ilvl="1" w:tplc="A94C44B4">
      <w:start w:val="1"/>
      <w:numFmt w:val="bullet"/>
      <w:lvlText w:val="•"/>
      <w:lvlJc w:val="left"/>
      <w:pPr>
        <w:tabs>
          <w:tab w:val="num" w:pos="1440"/>
        </w:tabs>
        <w:ind w:left="1440" w:hanging="360"/>
      </w:pPr>
      <w:rPr>
        <w:rFonts w:ascii="Arial" w:hAnsi="Arial" w:hint="default"/>
      </w:rPr>
    </w:lvl>
    <w:lvl w:ilvl="2" w:tplc="2026A8FE" w:tentative="1">
      <w:start w:val="1"/>
      <w:numFmt w:val="bullet"/>
      <w:lvlText w:val="•"/>
      <w:lvlJc w:val="left"/>
      <w:pPr>
        <w:tabs>
          <w:tab w:val="num" w:pos="2160"/>
        </w:tabs>
        <w:ind w:left="2160" w:hanging="360"/>
      </w:pPr>
      <w:rPr>
        <w:rFonts w:ascii="Arial" w:hAnsi="Arial" w:hint="default"/>
      </w:rPr>
    </w:lvl>
    <w:lvl w:ilvl="3" w:tplc="87369B64" w:tentative="1">
      <w:start w:val="1"/>
      <w:numFmt w:val="bullet"/>
      <w:lvlText w:val="•"/>
      <w:lvlJc w:val="left"/>
      <w:pPr>
        <w:tabs>
          <w:tab w:val="num" w:pos="2880"/>
        </w:tabs>
        <w:ind w:left="2880" w:hanging="360"/>
      </w:pPr>
      <w:rPr>
        <w:rFonts w:ascii="Arial" w:hAnsi="Arial" w:hint="default"/>
      </w:rPr>
    </w:lvl>
    <w:lvl w:ilvl="4" w:tplc="BABC6BAA" w:tentative="1">
      <w:start w:val="1"/>
      <w:numFmt w:val="bullet"/>
      <w:lvlText w:val="•"/>
      <w:lvlJc w:val="left"/>
      <w:pPr>
        <w:tabs>
          <w:tab w:val="num" w:pos="3600"/>
        </w:tabs>
        <w:ind w:left="3600" w:hanging="360"/>
      </w:pPr>
      <w:rPr>
        <w:rFonts w:ascii="Arial" w:hAnsi="Arial" w:hint="default"/>
      </w:rPr>
    </w:lvl>
    <w:lvl w:ilvl="5" w:tplc="C8B8B55A" w:tentative="1">
      <w:start w:val="1"/>
      <w:numFmt w:val="bullet"/>
      <w:lvlText w:val="•"/>
      <w:lvlJc w:val="left"/>
      <w:pPr>
        <w:tabs>
          <w:tab w:val="num" w:pos="4320"/>
        </w:tabs>
        <w:ind w:left="4320" w:hanging="360"/>
      </w:pPr>
      <w:rPr>
        <w:rFonts w:ascii="Arial" w:hAnsi="Arial" w:hint="default"/>
      </w:rPr>
    </w:lvl>
    <w:lvl w:ilvl="6" w:tplc="C862EF20" w:tentative="1">
      <w:start w:val="1"/>
      <w:numFmt w:val="bullet"/>
      <w:lvlText w:val="•"/>
      <w:lvlJc w:val="left"/>
      <w:pPr>
        <w:tabs>
          <w:tab w:val="num" w:pos="5040"/>
        </w:tabs>
        <w:ind w:left="5040" w:hanging="360"/>
      </w:pPr>
      <w:rPr>
        <w:rFonts w:ascii="Arial" w:hAnsi="Arial" w:hint="default"/>
      </w:rPr>
    </w:lvl>
    <w:lvl w:ilvl="7" w:tplc="4D2ABCDC" w:tentative="1">
      <w:start w:val="1"/>
      <w:numFmt w:val="bullet"/>
      <w:lvlText w:val="•"/>
      <w:lvlJc w:val="left"/>
      <w:pPr>
        <w:tabs>
          <w:tab w:val="num" w:pos="5760"/>
        </w:tabs>
        <w:ind w:left="5760" w:hanging="360"/>
      </w:pPr>
      <w:rPr>
        <w:rFonts w:ascii="Arial" w:hAnsi="Arial" w:hint="default"/>
      </w:rPr>
    </w:lvl>
    <w:lvl w:ilvl="8" w:tplc="E736976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9"/>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7"/>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EE7"/>
    <w:rsid w:val="00026CAF"/>
    <w:rsid w:val="00037EE7"/>
    <w:rsid w:val="00057011"/>
    <w:rsid w:val="00095722"/>
    <w:rsid w:val="000C0833"/>
    <w:rsid w:val="000D7409"/>
    <w:rsid w:val="000E50DB"/>
    <w:rsid w:val="001167F8"/>
    <w:rsid w:val="00134E8C"/>
    <w:rsid w:val="00154B32"/>
    <w:rsid w:val="001B0D71"/>
    <w:rsid w:val="001B603D"/>
    <w:rsid w:val="001D2976"/>
    <w:rsid w:val="001E4A50"/>
    <w:rsid w:val="001E7566"/>
    <w:rsid w:val="001F343A"/>
    <w:rsid w:val="00211126"/>
    <w:rsid w:val="002510BF"/>
    <w:rsid w:val="002B273D"/>
    <w:rsid w:val="00302A59"/>
    <w:rsid w:val="0032584D"/>
    <w:rsid w:val="003C40C3"/>
    <w:rsid w:val="003D2CB5"/>
    <w:rsid w:val="0041217A"/>
    <w:rsid w:val="0044217F"/>
    <w:rsid w:val="0048589D"/>
    <w:rsid w:val="004B140D"/>
    <w:rsid w:val="004B7E41"/>
    <w:rsid w:val="004C36C3"/>
    <w:rsid w:val="004D0796"/>
    <w:rsid w:val="004D75FE"/>
    <w:rsid w:val="00526799"/>
    <w:rsid w:val="005716FA"/>
    <w:rsid w:val="005A336F"/>
    <w:rsid w:val="005B64C6"/>
    <w:rsid w:val="00612EE1"/>
    <w:rsid w:val="00617559"/>
    <w:rsid w:val="00617B12"/>
    <w:rsid w:val="0062381F"/>
    <w:rsid w:val="0063719B"/>
    <w:rsid w:val="0064540A"/>
    <w:rsid w:val="006804AB"/>
    <w:rsid w:val="00684BF1"/>
    <w:rsid w:val="006E0562"/>
    <w:rsid w:val="006F2A96"/>
    <w:rsid w:val="00744861"/>
    <w:rsid w:val="0077012E"/>
    <w:rsid w:val="007E3F09"/>
    <w:rsid w:val="007F493B"/>
    <w:rsid w:val="008032E4"/>
    <w:rsid w:val="00893CFE"/>
    <w:rsid w:val="00893EFB"/>
    <w:rsid w:val="008A1CB3"/>
    <w:rsid w:val="0097323F"/>
    <w:rsid w:val="009C47D6"/>
    <w:rsid w:val="009D3BC2"/>
    <w:rsid w:val="009D5935"/>
    <w:rsid w:val="009F7AFE"/>
    <w:rsid w:val="00A20D52"/>
    <w:rsid w:val="00A5660C"/>
    <w:rsid w:val="00A70875"/>
    <w:rsid w:val="00A81359"/>
    <w:rsid w:val="00AC1472"/>
    <w:rsid w:val="00B123F2"/>
    <w:rsid w:val="00B33149"/>
    <w:rsid w:val="00B558EE"/>
    <w:rsid w:val="00B7787A"/>
    <w:rsid w:val="00BA1EA0"/>
    <w:rsid w:val="00C5738A"/>
    <w:rsid w:val="00C9482D"/>
    <w:rsid w:val="00CD766E"/>
    <w:rsid w:val="00CE5B45"/>
    <w:rsid w:val="00CF1602"/>
    <w:rsid w:val="00D200A7"/>
    <w:rsid w:val="00D51BFF"/>
    <w:rsid w:val="00D61C29"/>
    <w:rsid w:val="00D67888"/>
    <w:rsid w:val="00DA1E9F"/>
    <w:rsid w:val="00DB2618"/>
    <w:rsid w:val="00E108EC"/>
    <w:rsid w:val="00E10B37"/>
    <w:rsid w:val="00E1217C"/>
    <w:rsid w:val="00E1266F"/>
    <w:rsid w:val="00E50E40"/>
    <w:rsid w:val="00E9699F"/>
    <w:rsid w:val="00EB4AAA"/>
    <w:rsid w:val="00ED3178"/>
    <w:rsid w:val="00ED40B8"/>
    <w:rsid w:val="00ED6BC9"/>
    <w:rsid w:val="00F234BE"/>
    <w:rsid w:val="00F34365"/>
    <w:rsid w:val="00FA374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77D0211C-F947-4D0B-BEDD-5D48D9B81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0A7"/>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B558EE"/>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B558EE"/>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B558EE"/>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B558EE"/>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558EE"/>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B558EE"/>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58EE"/>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B558EE"/>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B558EE"/>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B558EE"/>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B558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B558EE"/>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B558EE"/>
    <w:pPr>
      <w:tabs>
        <w:tab w:val="center" w:pos="4703"/>
        <w:tab w:val="right" w:pos="9406"/>
      </w:tabs>
    </w:pPr>
  </w:style>
  <w:style w:type="character" w:customStyle="1" w:styleId="HeaderChar">
    <w:name w:val="Header Char"/>
    <w:basedOn w:val="DefaultParagraphFont"/>
    <w:link w:val="Header"/>
    <w:uiPriority w:val="99"/>
    <w:rsid w:val="00B558EE"/>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B558EE"/>
    <w:pPr>
      <w:tabs>
        <w:tab w:val="center" w:pos="4703"/>
        <w:tab w:val="right" w:pos="9406"/>
      </w:tabs>
    </w:pPr>
  </w:style>
  <w:style w:type="character" w:customStyle="1" w:styleId="FooterChar">
    <w:name w:val="Footer Char"/>
    <w:basedOn w:val="DefaultParagraphFont"/>
    <w:link w:val="Footer"/>
    <w:uiPriority w:val="99"/>
    <w:rsid w:val="00B558EE"/>
    <w:rPr>
      <w:rFonts w:ascii="Times New Roman" w:eastAsia="Calibri" w:hAnsi="Times New Roman" w:cs="Times New Roman"/>
      <w:sz w:val="26"/>
      <w:szCs w:val="24"/>
      <w:lang w:val="en-US"/>
    </w:rPr>
  </w:style>
  <w:style w:type="paragraph" w:styleId="BodyText">
    <w:name w:val="Body Text"/>
    <w:aliases w:val=" Char"/>
    <w:basedOn w:val="Normal"/>
    <w:link w:val="BodyTextChar"/>
    <w:rsid w:val="00B558EE"/>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B558EE"/>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B558EE"/>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B558EE"/>
    <w:rPr>
      <w:rFonts w:ascii="Arial" w:eastAsia="Times New Roman" w:hAnsi="Arial" w:cs="Times New Roman"/>
      <w:sz w:val="24"/>
      <w:szCs w:val="24"/>
      <w:lang w:val="bg-BG" w:eastAsia="bg-BG"/>
    </w:rPr>
  </w:style>
  <w:style w:type="paragraph" w:customStyle="1" w:styleId="Reference">
    <w:name w:val="Reference"/>
    <w:basedOn w:val="Normal"/>
    <w:rsid w:val="00B558EE"/>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B558EE"/>
    <w:pPr>
      <w:spacing w:after="120"/>
      <w:ind w:left="283"/>
    </w:pPr>
  </w:style>
  <w:style w:type="character" w:customStyle="1" w:styleId="BodyTextIndentChar">
    <w:name w:val="Body Text Indent Char"/>
    <w:basedOn w:val="DefaultParagraphFont"/>
    <w:link w:val="BodyTextIndent"/>
    <w:uiPriority w:val="99"/>
    <w:semiHidden/>
    <w:rsid w:val="00B558EE"/>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B558EE"/>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B558EE"/>
    <w:pPr>
      <w:ind w:firstLine="567"/>
    </w:pPr>
    <w:rPr>
      <w:rFonts w:cs="Arial"/>
    </w:rPr>
  </w:style>
  <w:style w:type="paragraph" w:customStyle="1" w:styleId="ruhead1">
    <w:name w:val="ru_head1"/>
    <w:basedOn w:val="Heading1"/>
    <w:link w:val="ruhead1Char"/>
    <w:rsid w:val="00B558EE"/>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B558EE"/>
    <w:rPr>
      <w:rFonts w:ascii="Arial" w:eastAsia="Times New Roman" w:hAnsi="Arial" w:cs="Arial"/>
      <w:sz w:val="24"/>
      <w:szCs w:val="24"/>
      <w:lang w:val="bg-BG" w:eastAsia="bg-BG"/>
    </w:rPr>
  </w:style>
  <w:style w:type="character" w:customStyle="1" w:styleId="ruhead1Char">
    <w:name w:val="ru_head1 Char"/>
    <w:link w:val="ruhead1"/>
    <w:rsid w:val="00B558EE"/>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B558EE"/>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B558EE"/>
    <w:rPr>
      <w:rFonts w:ascii="Times New Roman" w:eastAsia="Times New Roman" w:hAnsi="Times New Roman" w:cs="Times New Roman"/>
      <w:szCs w:val="20"/>
      <w:lang w:val="bg-BG" w:eastAsia="bg-BG"/>
    </w:rPr>
  </w:style>
  <w:style w:type="character" w:styleId="FootnoteReference">
    <w:name w:val="footnote reference"/>
    <w:semiHidden/>
    <w:unhideWhenUsed/>
    <w:rsid w:val="00B558EE"/>
    <w:rPr>
      <w:vertAlign w:val="superscript"/>
    </w:rPr>
  </w:style>
  <w:style w:type="paragraph" w:styleId="NormalWeb">
    <w:name w:val="Normal (Web)"/>
    <w:basedOn w:val="Normal"/>
    <w:unhideWhenUsed/>
    <w:rsid w:val="00B558EE"/>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558EE"/>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B558EE"/>
    <w:rPr>
      <w:rFonts w:ascii="Calibri" w:eastAsia="Calibri" w:hAnsi="Calibri" w:cs="Times New Roman"/>
      <w:sz w:val="28"/>
      <w:lang w:val="bg-BG"/>
    </w:rPr>
  </w:style>
  <w:style w:type="paragraph" w:styleId="ListParagraph">
    <w:name w:val="List Paragraph"/>
    <w:basedOn w:val="Normal"/>
    <w:uiPriority w:val="34"/>
    <w:qFormat/>
    <w:rsid w:val="00B558EE"/>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558E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B558EE"/>
  </w:style>
  <w:style w:type="paragraph" w:styleId="NoSpacing">
    <w:name w:val="No Spacing"/>
    <w:uiPriority w:val="1"/>
    <w:rsid w:val="00B558EE"/>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B558EE"/>
    <w:rPr>
      <w:color w:val="0000FF"/>
      <w:u w:val="single"/>
    </w:rPr>
  </w:style>
  <w:style w:type="paragraph" w:styleId="BalloonText">
    <w:name w:val="Balloon Text"/>
    <w:basedOn w:val="Normal"/>
    <w:link w:val="BalloonTextChar"/>
    <w:uiPriority w:val="99"/>
    <w:semiHidden/>
    <w:unhideWhenUsed/>
    <w:rsid w:val="00B558E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8EE"/>
    <w:rPr>
      <w:rFonts w:ascii="Tahoma" w:eastAsia="Calibri" w:hAnsi="Tahoma" w:cs="Tahoma"/>
      <w:sz w:val="16"/>
      <w:szCs w:val="16"/>
      <w:lang w:val="en-US"/>
    </w:rPr>
  </w:style>
  <w:style w:type="paragraph" w:customStyle="1" w:styleId="disfigtitle">
    <w:name w:val="dis_fig_title"/>
    <w:basedOn w:val="Normal"/>
    <w:link w:val="disfigtitleChar"/>
    <w:qFormat/>
    <w:rsid w:val="00B558EE"/>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558EE"/>
    <w:pPr>
      <w:ind w:firstLine="851"/>
    </w:pPr>
    <w:rPr>
      <w:sz w:val="28"/>
      <w:lang w:val="bg-BG"/>
    </w:rPr>
  </w:style>
  <w:style w:type="character" w:customStyle="1" w:styleId="disfigtitleChar">
    <w:name w:val="dis_fig_title Char"/>
    <w:link w:val="disfigtitle"/>
    <w:rsid w:val="00B558EE"/>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B558EE"/>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558EE"/>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B558EE"/>
    <w:pPr>
      <w:keepNext/>
      <w:keepLines w:val="0"/>
      <w:ind w:left="0" w:right="0"/>
    </w:pPr>
    <w:rPr>
      <w:i w:val="0"/>
    </w:rPr>
  </w:style>
  <w:style w:type="character" w:customStyle="1" w:styleId="distabletitleChar">
    <w:name w:val="dis_table_title Char"/>
    <w:link w:val="distabletitle"/>
    <w:rsid w:val="00B558EE"/>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B558EE"/>
    <w:rPr>
      <w:sz w:val="20"/>
      <w:szCs w:val="20"/>
    </w:rPr>
  </w:style>
  <w:style w:type="character" w:customStyle="1" w:styleId="EndnoteTextChar">
    <w:name w:val="Endnote Text Char"/>
    <w:basedOn w:val="DefaultParagraphFont"/>
    <w:link w:val="EndnoteText"/>
    <w:semiHidden/>
    <w:rsid w:val="00B558EE"/>
    <w:rPr>
      <w:rFonts w:ascii="Times New Roman" w:eastAsia="Calibri" w:hAnsi="Times New Roman" w:cs="Times New Roman"/>
      <w:sz w:val="20"/>
      <w:szCs w:val="20"/>
      <w:lang w:val="en-US"/>
    </w:rPr>
  </w:style>
  <w:style w:type="character" w:customStyle="1" w:styleId="disfigimgChar">
    <w:name w:val="dis_fig_img Char"/>
    <w:link w:val="disfigimg"/>
    <w:rsid w:val="00B558EE"/>
    <w:rPr>
      <w:rFonts w:ascii="Times New Roman" w:eastAsia="Calibri" w:hAnsi="Times New Roman" w:cs="Times New Roman"/>
      <w:sz w:val="28"/>
      <w:szCs w:val="24"/>
      <w:lang w:val="bg-BG"/>
    </w:rPr>
  </w:style>
  <w:style w:type="character" w:styleId="EndnoteReference">
    <w:name w:val="endnote reference"/>
    <w:semiHidden/>
    <w:unhideWhenUsed/>
    <w:rsid w:val="00B558EE"/>
    <w:rPr>
      <w:vertAlign w:val="superscript"/>
    </w:rPr>
  </w:style>
  <w:style w:type="paragraph" w:customStyle="1" w:styleId="body">
    <w:name w:val="body"/>
    <w:basedOn w:val="Normal"/>
    <w:rsid w:val="00B558EE"/>
    <w:pPr>
      <w:ind w:firstLine="709"/>
    </w:pPr>
    <w:rPr>
      <w:rFonts w:eastAsia="Times New Roman"/>
      <w:sz w:val="24"/>
    </w:rPr>
  </w:style>
  <w:style w:type="paragraph" w:customStyle="1" w:styleId="disliteratura">
    <w:name w:val="dis_literatura"/>
    <w:basedOn w:val="disbody"/>
    <w:link w:val="disliteraturaChar"/>
    <w:qFormat/>
    <w:rsid w:val="00B558EE"/>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B558EE"/>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B558EE"/>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B558EE"/>
    <w:pPr>
      <w:tabs>
        <w:tab w:val="right" w:leader="dot" w:pos="9061"/>
      </w:tabs>
      <w:ind w:firstLine="0"/>
    </w:pPr>
    <w:rPr>
      <w:b/>
      <w:noProof/>
      <w:lang w:val="bg-BG"/>
    </w:rPr>
  </w:style>
  <w:style w:type="paragraph" w:styleId="TOC2">
    <w:name w:val="toc 2"/>
    <w:basedOn w:val="Normal"/>
    <w:next w:val="Normal"/>
    <w:autoRedefine/>
    <w:uiPriority w:val="39"/>
    <w:unhideWhenUsed/>
    <w:rsid w:val="00B558EE"/>
    <w:pPr>
      <w:tabs>
        <w:tab w:val="right" w:leader="dot" w:pos="9061"/>
      </w:tabs>
      <w:ind w:left="260" w:firstLine="24"/>
    </w:pPr>
  </w:style>
  <w:style w:type="paragraph" w:styleId="TOC3">
    <w:name w:val="toc 3"/>
    <w:basedOn w:val="Normal"/>
    <w:next w:val="Normal"/>
    <w:autoRedefine/>
    <w:uiPriority w:val="39"/>
    <w:unhideWhenUsed/>
    <w:rsid w:val="00B558EE"/>
    <w:pPr>
      <w:tabs>
        <w:tab w:val="right" w:leader="dot" w:pos="9061"/>
      </w:tabs>
      <w:ind w:left="520" w:firstLine="47"/>
    </w:pPr>
  </w:style>
  <w:style w:type="character" w:styleId="PageNumber">
    <w:name w:val="page number"/>
    <w:rsid w:val="00B558EE"/>
  </w:style>
  <w:style w:type="character" w:styleId="Strong">
    <w:name w:val="Strong"/>
    <w:qFormat/>
    <w:rsid w:val="00B558EE"/>
    <w:rPr>
      <w:b/>
      <w:bCs/>
    </w:rPr>
  </w:style>
  <w:style w:type="paragraph" w:styleId="TOC4">
    <w:name w:val="toc 4"/>
    <w:basedOn w:val="Normal"/>
    <w:next w:val="Normal"/>
    <w:autoRedefine/>
    <w:semiHidden/>
    <w:rsid w:val="00B558EE"/>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B558EE"/>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B558EE"/>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B558EE"/>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B558EE"/>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B558EE"/>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B558EE"/>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B558EE"/>
  </w:style>
  <w:style w:type="paragraph" w:customStyle="1" w:styleId="BodyFigura">
    <w:name w:val="Body Figura"/>
    <w:basedOn w:val="BodyText"/>
    <w:rsid w:val="00B558EE"/>
    <w:pPr>
      <w:widowControl/>
      <w:spacing w:after="180" w:line="360" w:lineRule="auto"/>
      <w:jc w:val="center"/>
    </w:pPr>
    <w:rPr>
      <w:color w:val="auto"/>
      <w:lang w:val="bg-BG" w:eastAsia="en-US"/>
    </w:rPr>
  </w:style>
  <w:style w:type="paragraph" w:customStyle="1" w:styleId="BodyTablica">
    <w:name w:val="Body Tablica"/>
    <w:basedOn w:val="BodyText"/>
    <w:rsid w:val="00B558EE"/>
    <w:pPr>
      <w:keepNext/>
      <w:widowControl/>
      <w:spacing w:before="120"/>
      <w:jc w:val="right"/>
    </w:pPr>
    <w:rPr>
      <w:color w:val="auto"/>
      <w:lang w:val="bg-BG" w:eastAsia="en-US"/>
    </w:rPr>
  </w:style>
  <w:style w:type="paragraph" w:customStyle="1" w:styleId="BodyPoints">
    <w:name w:val="Body Points"/>
    <w:basedOn w:val="BodyText"/>
    <w:rsid w:val="00B558EE"/>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B558EE"/>
    <w:pPr>
      <w:widowControl/>
      <w:jc w:val="both"/>
    </w:pPr>
    <w:rPr>
      <w:color w:val="auto"/>
      <w:sz w:val="20"/>
      <w:szCs w:val="20"/>
      <w:lang w:val="bg-BG" w:eastAsia="en-US"/>
    </w:rPr>
  </w:style>
  <w:style w:type="paragraph" w:styleId="DocumentMap">
    <w:name w:val="Document Map"/>
    <w:basedOn w:val="Normal"/>
    <w:link w:val="DocumentMapChar"/>
    <w:semiHidden/>
    <w:rsid w:val="00B558EE"/>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B558EE"/>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B558EE"/>
    <w:pPr>
      <w:jc w:val="center"/>
    </w:pPr>
  </w:style>
  <w:style w:type="paragraph" w:styleId="BodyText3">
    <w:name w:val="Body Text 3"/>
    <w:basedOn w:val="Normal"/>
    <w:link w:val="BodyText3Char"/>
    <w:rsid w:val="00B558EE"/>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B558EE"/>
    <w:rPr>
      <w:rFonts w:ascii="Times New Roman" w:eastAsia="Times New Roman" w:hAnsi="Times New Roman" w:cs="Times New Roman"/>
      <w:sz w:val="16"/>
      <w:szCs w:val="16"/>
      <w:lang w:val="en-US"/>
    </w:rPr>
  </w:style>
  <w:style w:type="paragraph" w:customStyle="1" w:styleId="BodyLiteratura">
    <w:name w:val="Body Literatura"/>
    <w:basedOn w:val="BodyText"/>
    <w:rsid w:val="00B558EE"/>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B558EE"/>
    <w:pPr>
      <w:widowControl/>
      <w:spacing w:before="0" w:after="240" w:line="240" w:lineRule="auto"/>
      <w:jc w:val="left"/>
    </w:pPr>
    <w:rPr>
      <w:rFonts w:cs="Arial"/>
      <w:sz w:val="28"/>
      <w:szCs w:val="28"/>
      <w:lang w:val="bg-BG"/>
    </w:rPr>
  </w:style>
  <w:style w:type="paragraph" w:customStyle="1" w:styleId="a">
    <w:name w:val="Приложение"/>
    <w:basedOn w:val="BodyText"/>
    <w:rsid w:val="00B558EE"/>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B558EE"/>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B558EE"/>
    <w:rPr>
      <w:color w:val="954F72"/>
      <w:u w:val="single"/>
    </w:rPr>
  </w:style>
  <w:style w:type="paragraph" w:customStyle="1" w:styleId="fig">
    <w:name w:val="!fig"/>
    <w:basedOn w:val="Normal"/>
    <w:link w:val="figChar"/>
    <w:qFormat/>
    <w:rsid w:val="00B558EE"/>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B558EE"/>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B558EE"/>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B558EE"/>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B558EE"/>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B558EE"/>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B558EE"/>
    <w:rPr>
      <w:color w:val="605E5C"/>
      <w:shd w:val="clear" w:color="auto" w:fill="E1DFDD"/>
    </w:rPr>
  </w:style>
  <w:style w:type="paragraph" w:customStyle="1" w:styleId="bookbody">
    <w:name w:val="book_body"/>
    <w:basedOn w:val="Normal"/>
    <w:link w:val="bookbodyChar1"/>
    <w:qFormat/>
    <w:rsid w:val="00B558EE"/>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B558EE"/>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B558EE"/>
    <w:rPr>
      <w:sz w:val="16"/>
      <w:szCs w:val="16"/>
    </w:rPr>
  </w:style>
  <w:style w:type="paragraph" w:styleId="CommentText">
    <w:name w:val="annotation text"/>
    <w:basedOn w:val="Normal"/>
    <w:link w:val="CommentTextChar"/>
    <w:uiPriority w:val="99"/>
    <w:semiHidden/>
    <w:unhideWhenUsed/>
    <w:rsid w:val="00B558EE"/>
    <w:pPr>
      <w:spacing w:line="240" w:lineRule="auto"/>
    </w:pPr>
    <w:rPr>
      <w:sz w:val="20"/>
      <w:szCs w:val="20"/>
    </w:rPr>
  </w:style>
  <w:style w:type="character" w:customStyle="1" w:styleId="CommentTextChar">
    <w:name w:val="Comment Text Char"/>
    <w:basedOn w:val="DefaultParagraphFont"/>
    <w:link w:val="CommentText"/>
    <w:uiPriority w:val="99"/>
    <w:semiHidden/>
    <w:rsid w:val="00B558EE"/>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558EE"/>
    <w:rPr>
      <w:b/>
      <w:bCs/>
    </w:rPr>
  </w:style>
  <w:style w:type="character" w:customStyle="1" w:styleId="CommentSubjectChar">
    <w:name w:val="Comment Subject Char"/>
    <w:basedOn w:val="CommentTextChar"/>
    <w:link w:val="CommentSubject"/>
    <w:uiPriority w:val="99"/>
    <w:semiHidden/>
    <w:rsid w:val="00B558EE"/>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B55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777884">
      <w:bodyDiv w:val="1"/>
      <w:marLeft w:val="0"/>
      <w:marRight w:val="0"/>
      <w:marTop w:val="0"/>
      <w:marBottom w:val="0"/>
      <w:divBdr>
        <w:top w:val="none" w:sz="0" w:space="0" w:color="auto"/>
        <w:left w:val="none" w:sz="0" w:space="0" w:color="auto"/>
        <w:bottom w:val="none" w:sz="0" w:space="0" w:color="auto"/>
        <w:right w:val="none" w:sz="0" w:space="0" w:color="auto"/>
      </w:divBdr>
      <w:divsChild>
        <w:div w:id="1421295888">
          <w:marLeft w:val="0"/>
          <w:marRight w:val="0"/>
          <w:marTop w:val="100"/>
          <w:marBottom w:val="0"/>
          <w:divBdr>
            <w:top w:val="none" w:sz="0" w:space="0" w:color="auto"/>
            <w:left w:val="none" w:sz="0" w:space="0" w:color="auto"/>
            <w:bottom w:val="none" w:sz="0" w:space="0" w:color="auto"/>
            <w:right w:val="none" w:sz="0" w:space="0" w:color="auto"/>
          </w:divBdr>
        </w:div>
        <w:div w:id="1324553478">
          <w:marLeft w:val="0"/>
          <w:marRight w:val="0"/>
          <w:marTop w:val="0"/>
          <w:marBottom w:val="0"/>
          <w:divBdr>
            <w:top w:val="none" w:sz="0" w:space="0" w:color="auto"/>
            <w:left w:val="none" w:sz="0" w:space="0" w:color="auto"/>
            <w:bottom w:val="none" w:sz="0" w:space="0" w:color="auto"/>
            <w:right w:val="none" w:sz="0" w:space="0" w:color="auto"/>
          </w:divBdr>
          <w:divsChild>
            <w:div w:id="887759483">
              <w:marLeft w:val="0"/>
              <w:marRight w:val="0"/>
              <w:marTop w:val="0"/>
              <w:marBottom w:val="0"/>
              <w:divBdr>
                <w:top w:val="none" w:sz="0" w:space="0" w:color="auto"/>
                <w:left w:val="none" w:sz="0" w:space="0" w:color="auto"/>
                <w:bottom w:val="none" w:sz="0" w:space="0" w:color="auto"/>
                <w:right w:val="none" w:sz="0" w:space="0" w:color="auto"/>
              </w:divBdr>
              <w:divsChild>
                <w:div w:id="894392895">
                  <w:marLeft w:val="0"/>
                  <w:marRight w:val="0"/>
                  <w:marTop w:val="0"/>
                  <w:marBottom w:val="0"/>
                  <w:divBdr>
                    <w:top w:val="none" w:sz="0" w:space="0" w:color="auto"/>
                    <w:left w:val="none" w:sz="0" w:space="0" w:color="auto"/>
                    <w:bottom w:val="none" w:sz="0" w:space="0" w:color="auto"/>
                    <w:right w:val="none" w:sz="0" w:space="0" w:color="auto"/>
                  </w:divBdr>
                  <w:divsChild>
                    <w:div w:id="7337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98672">
          <w:marLeft w:val="0"/>
          <w:marRight w:val="0"/>
          <w:marTop w:val="0"/>
          <w:marBottom w:val="0"/>
          <w:divBdr>
            <w:top w:val="none" w:sz="0" w:space="0" w:color="auto"/>
            <w:left w:val="none" w:sz="0" w:space="0" w:color="auto"/>
            <w:bottom w:val="none" w:sz="0" w:space="0" w:color="auto"/>
            <w:right w:val="none" w:sz="0" w:space="0" w:color="auto"/>
          </w:divBdr>
          <w:divsChild>
            <w:div w:id="1055155982">
              <w:marLeft w:val="0"/>
              <w:marRight w:val="0"/>
              <w:marTop w:val="0"/>
              <w:marBottom w:val="0"/>
              <w:divBdr>
                <w:top w:val="none" w:sz="0" w:space="0" w:color="auto"/>
                <w:left w:val="none" w:sz="0" w:space="0" w:color="auto"/>
                <w:bottom w:val="none" w:sz="0" w:space="0" w:color="auto"/>
                <w:right w:val="none" w:sz="0" w:space="0" w:color="auto"/>
              </w:divBdr>
              <w:divsChild>
                <w:div w:id="196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orbes.com/lists/global2000/?sh=1939f7c65ac0" TargetMode="External"/><Relationship Id="rId3" Type="http://schemas.openxmlformats.org/officeDocument/2006/relationships/settings" Target="settings.xml"/><Relationship Id="rId7" Type="http://schemas.openxmlformats.org/officeDocument/2006/relationships/hyperlink" Target="https://www.fgdc.gov/initiatives/50states/newspbp/EconomicJustification_ROI-CBA-Tutorial_v2_052809_FinalVersa.pdf" TargetMode="External"/><Relationship Id="rId12" Type="http://schemas.openxmlformats.org/officeDocument/2006/relationships/image" Target="media/image5.png"/><Relationship Id="rId17" Type="http://schemas.openxmlformats.org/officeDocument/2006/relationships/hyperlink" Target="https://www.forbes.com/companies/heidelbergcement/" TargetMode="Externa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15</Pages>
  <Words>1962</Words>
  <Characters>11186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79</cp:revision>
  <dcterms:created xsi:type="dcterms:W3CDTF">2022-08-27T05:10:00Z</dcterms:created>
  <dcterms:modified xsi:type="dcterms:W3CDTF">2022-08-30T06:39:00Z</dcterms:modified>
</cp:coreProperties>
</file>