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Поддръжка: Този процес включва рутинна поддръжка и ремонт на 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5BC106B7" w14:textId="17B825BB" w:rsidR="00A47B76" w:rsidRDefault="00A47B76" w:rsidP="00A47B76">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217293B9" w14:textId="0FF6CC59" w:rsidR="00CA102D" w:rsidRPr="00F00F0B" w:rsidRDefault="00F00F0B" w:rsidP="00F00F0B">
      <w:pPr>
        <w:widowControl/>
        <w:spacing w:line="240" w:lineRule="auto"/>
        <w:ind w:firstLine="0"/>
        <w:jc w:val="left"/>
        <w:rPr>
          <w:sz w:val="28"/>
          <w:lang w:val="bg-BG"/>
        </w:rPr>
      </w:pPr>
      <w:r>
        <w:br w:type="page"/>
      </w:r>
    </w:p>
    <w:p w14:paraId="3CBC5459" w14:textId="19901E08" w:rsidR="001E7D0A" w:rsidRPr="001E7D0A" w:rsidRDefault="001E7D0A" w:rsidP="001E7D0A">
      <w:pPr>
        <w:pStyle w:val="Heading3"/>
        <w:rPr>
          <w:lang w:val="bg-BG"/>
        </w:rPr>
      </w:pPr>
      <w:r>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13AB254C" w:rsidR="00EB7E7D" w:rsidRPr="006829ED" w:rsidRDefault="006829ED" w:rsidP="006829ED">
      <w:pPr>
        <w:pStyle w:val="Heading3"/>
      </w:pPr>
      <w:r>
        <w:t>3.2.2.</w:t>
      </w:r>
      <w:r>
        <w:rPr>
          <w:lang w:val="bg-BG"/>
        </w:rPr>
        <w:t xml:space="preserve"> Н</w:t>
      </w:r>
      <w:r w:rsidRPr="006829ED">
        <w:rPr>
          <w:lang w:val="bg-BG"/>
        </w:rPr>
        <w:t>иво на зрялост на архитектурата</w:t>
      </w:r>
    </w:p>
    <w:p w14:paraId="56640531" w14:textId="063B9652" w:rsidR="005A3602" w:rsidRPr="005A3D16" w:rsidRDefault="005A3D16" w:rsidP="005A3D16">
      <w:pPr>
        <w:widowControl/>
        <w:spacing w:line="240" w:lineRule="auto"/>
        <w:ind w:firstLine="0"/>
        <w:jc w:val="left"/>
        <w:rPr>
          <w:sz w:val="28"/>
        </w:rPr>
      </w:pPr>
      <w:r>
        <w:br w:type="page"/>
      </w:r>
    </w:p>
    <w:p w14:paraId="6D249ED8" w14:textId="5FCEF2A5" w:rsidR="004F6801" w:rsidRPr="004F6801" w:rsidRDefault="004F6801" w:rsidP="004F6801">
      <w:pPr>
        <w:pStyle w:val="Heading2"/>
      </w:pPr>
      <w:bookmarkStart w:id="5" w:name="_Toc139783681"/>
      <w:r>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lastRenderedPageBreak/>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lastRenderedPageBreak/>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lastRenderedPageBreak/>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lastRenderedPageBreak/>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lastRenderedPageBreak/>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lastRenderedPageBreak/>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proofErr w:type="spellStart"/>
      <w:r w:rsidRPr="008D3F7C">
        <w:rPr>
          <w:lang w:val="en-US"/>
        </w:rPr>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lastRenderedPageBreak/>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lastRenderedPageBreak/>
        <w:t>Решения за балансиране на натоварването с отворен код:</w:t>
      </w:r>
    </w:p>
    <w:p w14:paraId="68841D0D" w14:textId="785B3BCF" w:rsidR="001F213A" w:rsidRDefault="001F213A" w:rsidP="001F213A">
      <w:pPr>
        <w:pStyle w:val="disbody"/>
      </w:pPr>
      <w:proofErr w:type="spellStart"/>
      <w:r>
        <w:t>HAProxy</w:t>
      </w:r>
      <w:proofErr w:type="spellEnd"/>
      <w:r>
        <w:t>:</w:t>
      </w:r>
    </w:p>
    <w:p w14:paraId="2F5B7901" w14:textId="77777777" w:rsidR="001F213A" w:rsidRDefault="001F213A" w:rsidP="001F213A">
      <w:pPr>
        <w:pStyle w:val="disbody"/>
      </w:pPr>
      <w:r>
        <w:t xml:space="preserve">Силни страни: Възможност за персонализиране, предоставя разширени опции за </w:t>
      </w:r>
      <w:proofErr w:type="spellStart"/>
      <w:r>
        <w:t>маршрутизиране</w:t>
      </w:r>
      <w:proofErr w:type="spellEnd"/>
      <w:r>
        <w:t xml:space="preserve"> на трафика, стабилно регистриране и страхотна производителност.</w:t>
      </w:r>
    </w:p>
    <w:p w14:paraId="633DE9D0" w14:textId="77777777" w:rsidR="001F213A" w:rsidRDefault="001F213A" w:rsidP="001F213A">
      <w:pPr>
        <w:pStyle w:val="disbody"/>
      </w:pPr>
      <w:r>
        <w:t xml:space="preserve">Случаи на употреба: Големите предприятия използват </w:t>
      </w:r>
      <w:proofErr w:type="spellStart"/>
      <w:r>
        <w:t>HAProxy</w:t>
      </w:r>
      <w:proofErr w:type="spellEnd"/>
      <w:r>
        <w:t xml:space="preserve">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 xml:space="preserve">Силни страни: Освен балансиране на натоварването, той може да се използва като уеб сървър, пощенски </w:t>
      </w:r>
      <w:proofErr w:type="spellStart"/>
      <w:r>
        <w:t>прокси</w:t>
      </w:r>
      <w:proofErr w:type="spellEnd"/>
      <w:r>
        <w:t xml:space="preserve">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t xml:space="preserve">Разширения: Комерсиалната версия, NGINX </w:t>
      </w:r>
      <w:proofErr w:type="spellStart"/>
      <w:r>
        <w:t>Plus</w:t>
      </w:r>
      <w:proofErr w:type="spellEnd"/>
      <w:r>
        <w:t>,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 xml:space="preserve">Сигурност: С AWS </w:t>
      </w:r>
      <w:proofErr w:type="spellStart"/>
      <w:r>
        <w:t>Identity</w:t>
      </w:r>
      <w:proofErr w:type="spellEnd"/>
      <w:r>
        <w:t xml:space="preserve"> </w:t>
      </w:r>
      <w:proofErr w:type="spellStart"/>
      <w:r>
        <w:t>and</w:t>
      </w:r>
      <w:proofErr w:type="spellEnd"/>
      <w:r>
        <w:t xml:space="preserve"> Access </w:t>
      </w:r>
      <w:proofErr w:type="spellStart"/>
      <w:r>
        <w:t>Management</w:t>
      </w:r>
      <w:proofErr w:type="spellEnd"/>
      <w:r>
        <w:t xml:space="preserve"> (IAM) можете да зададете разрешения и правила за балансиращите натоварването.</w:t>
      </w:r>
    </w:p>
    <w:p w14:paraId="1FEB4AEA" w14:textId="396ECB5C" w:rsidR="001F213A" w:rsidRDefault="001F213A" w:rsidP="001F213A">
      <w:pPr>
        <w:pStyle w:val="disbody"/>
      </w:pPr>
      <w:r>
        <w:t xml:space="preserve">Производителност: AWS Global </w:t>
      </w:r>
      <w:proofErr w:type="spellStart"/>
      <w:r>
        <w:t>Accelerator</w:t>
      </w:r>
      <w:proofErr w:type="spellEnd"/>
      <w:r>
        <w:t xml:space="preserve">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lastRenderedPageBreak/>
        <w:t>GCP – Балансиране на натоварването в облак:</w:t>
      </w:r>
    </w:p>
    <w:p w14:paraId="3EF1BEC8" w14:textId="77777777" w:rsidR="001F213A" w:rsidRDefault="001F213A" w:rsidP="001F213A">
      <w:pPr>
        <w:pStyle w:val="disbody"/>
      </w:pPr>
      <w:r>
        <w:t xml:space="preserve">Автоматично мащабиране: балансьорите на натоварването на </w:t>
      </w:r>
      <w:proofErr w:type="spellStart"/>
      <w:r>
        <w:t>Google</w:t>
      </w:r>
      <w:proofErr w:type="spellEnd"/>
      <w:r>
        <w:t xml:space="preserv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 xml:space="preserve">Балансиране на натоварването на базата на близост: Мрежовата инфраструктура на </w:t>
      </w:r>
      <w:proofErr w:type="spellStart"/>
      <w:r>
        <w:t>Google</w:t>
      </w:r>
      <w:proofErr w:type="spellEnd"/>
      <w:r>
        <w:t xml:space="preserv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 xml:space="preserve">Microsoft </w:t>
      </w:r>
      <w:proofErr w:type="spellStart"/>
      <w:r>
        <w:t>Azure</w:t>
      </w:r>
      <w:proofErr w:type="spellEnd"/>
      <w:r>
        <w:t xml:space="preserve"> </w:t>
      </w:r>
      <w:proofErr w:type="spellStart"/>
      <w:r>
        <w:t>Load</w:t>
      </w:r>
      <w:proofErr w:type="spellEnd"/>
      <w:r>
        <w:t xml:space="preserve"> </w:t>
      </w:r>
      <w:proofErr w:type="spellStart"/>
      <w:r>
        <w:t>Balancer</w:t>
      </w:r>
      <w:proofErr w:type="spellEnd"/>
      <w:r>
        <w:t>:</w:t>
      </w:r>
    </w:p>
    <w:p w14:paraId="5A4949A8" w14:textId="77777777" w:rsidR="001F213A" w:rsidRDefault="001F213A" w:rsidP="001F213A">
      <w:pPr>
        <w:pStyle w:val="disbody"/>
      </w:pPr>
      <w:r>
        <w:t xml:space="preserve">Зони на наличност: </w:t>
      </w:r>
      <w:proofErr w:type="spellStart"/>
      <w:r>
        <w:t>Azure</w:t>
      </w:r>
      <w:proofErr w:type="spellEnd"/>
      <w:r>
        <w:t xml:space="preserve"> </w:t>
      </w:r>
      <w:proofErr w:type="spellStart"/>
      <w:r>
        <w:t>Load</w:t>
      </w:r>
      <w:proofErr w:type="spellEnd"/>
      <w:r>
        <w:t xml:space="preserve"> </w:t>
      </w:r>
      <w:proofErr w:type="spellStart"/>
      <w:r>
        <w:t>Balancer</w:t>
      </w:r>
      <w:proofErr w:type="spellEnd"/>
      <w:r>
        <w:t xml:space="preserve"> се интегрира със зони на наличност, за да осигури висока наличност.</w:t>
      </w:r>
    </w:p>
    <w:p w14:paraId="489B98E8" w14:textId="77777777" w:rsidR="001F213A" w:rsidRDefault="001F213A" w:rsidP="001F213A">
      <w:pPr>
        <w:pStyle w:val="disbody"/>
      </w:pPr>
      <w:r>
        <w:t xml:space="preserve">Диагностика: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proofErr w:type="spellStart"/>
      <w:r>
        <w:t>Amazon</w:t>
      </w:r>
      <w:proofErr w:type="spellEnd"/>
      <w:r>
        <w:t xml:space="preserve"> </w:t>
      </w:r>
      <w:proofErr w:type="spellStart"/>
      <w:r>
        <w:t>Route</w:t>
      </w:r>
      <w:proofErr w:type="spellEnd"/>
      <w:r>
        <w:t xml:space="preserve"> 53:</w:t>
      </w:r>
    </w:p>
    <w:p w14:paraId="3627B02D" w14:textId="77777777" w:rsidR="001F213A" w:rsidRDefault="001F213A" w:rsidP="001F213A">
      <w:pPr>
        <w:pStyle w:val="disbody"/>
      </w:pPr>
      <w:r>
        <w:t xml:space="preserve">Проверки на здравето: Освен DNS услугите, </w:t>
      </w:r>
      <w:proofErr w:type="spellStart"/>
      <w:r>
        <w:t>Route</w:t>
      </w:r>
      <w:proofErr w:type="spellEnd"/>
      <w:r>
        <w:t xml:space="preserv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proofErr w:type="spellStart"/>
      <w:r>
        <w:t>Геолокационно</w:t>
      </w:r>
      <w:proofErr w:type="spellEnd"/>
      <w:r>
        <w:t xml:space="preserve"> </w:t>
      </w:r>
      <w:proofErr w:type="spellStart"/>
      <w:r>
        <w:t>маршрутизиране</w:t>
      </w:r>
      <w:proofErr w:type="spellEnd"/>
      <w:r>
        <w:t xml:space="preserve">: </w:t>
      </w:r>
      <w:proofErr w:type="spellStart"/>
      <w:r>
        <w:t>Route</w:t>
      </w:r>
      <w:proofErr w:type="spellEnd"/>
      <w:r>
        <w:t xml:space="preserve"> 53 ви позволява да </w:t>
      </w:r>
      <w:proofErr w:type="spellStart"/>
      <w:r>
        <w:t>маршрутизирате</w:t>
      </w:r>
      <w:proofErr w:type="spellEnd"/>
      <w:r>
        <w:t xml:space="preserve">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Load</w:t>
      </w:r>
      <w:proofErr w:type="spellEnd"/>
      <w:r>
        <w:t xml:space="preserve"> </w:t>
      </w:r>
      <w:proofErr w:type="spellStart"/>
      <w:r>
        <w:t>Balancer</w:t>
      </w:r>
      <w:proofErr w:type="spellEnd"/>
      <w:r>
        <w:t xml:space="preserve"> &amp; </w:t>
      </w:r>
      <w:proofErr w:type="spellStart"/>
      <w:r>
        <w:t>Cloud</w:t>
      </w:r>
      <w:proofErr w:type="spellEnd"/>
      <w:r>
        <w:t xml:space="preserve"> DNS:</w:t>
      </w:r>
    </w:p>
    <w:p w14:paraId="6D58035B" w14:textId="77777777" w:rsidR="001F213A" w:rsidRDefault="001F213A" w:rsidP="001F213A">
      <w:pPr>
        <w:pStyle w:val="disbody"/>
      </w:pPr>
      <w:proofErr w:type="spellStart"/>
      <w:r>
        <w:t>Anycast</w:t>
      </w:r>
      <w:proofErr w:type="spellEnd"/>
      <w:r>
        <w:t xml:space="preserve"> IP адреси: Намалява забавянето чрез </w:t>
      </w:r>
      <w:proofErr w:type="spellStart"/>
      <w:r>
        <w:t>маршрутизиране</w:t>
      </w:r>
      <w:proofErr w:type="spellEnd"/>
      <w:r>
        <w:t xml:space="preserve"> на потребителските заявки до най-близкото глобално местоположение.</w:t>
      </w:r>
    </w:p>
    <w:p w14:paraId="6485B53D" w14:textId="77777777" w:rsidR="001F213A" w:rsidRDefault="001F213A" w:rsidP="001F213A">
      <w:pPr>
        <w:pStyle w:val="disbody"/>
      </w:pPr>
      <w:r>
        <w:t xml:space="preserve">Интегриран с GCP: Предлага тясна интеграция с други услуги на </w:t>
      </w:r>
      <w:proofErr w:type="spellStart"/>
      <w:r>
        <w:t>Google</w:t>
      </w:r>
      <w:proofErr w:type="spellEnd"/>
      <w:r>
        <w:t xml:space="preserve"> </w:t>
      </w:r>
      <w:proofErr w:type="spellStart"/>
      <w:r>
        <w:t>Cloud</w:t>
      </w:r>
      <w:proofErr w:type="spellEnd"/>
      <w:r>
        <w:t xml:space="preserve">, като </w:t>
      </w:r>
      <w:proofErr w:type="spellStart"/>
      <w:r>
        <w:t>Cloud</w:t>
      </w:r>
      <w:proofErr w:type="spellEnd"/>
      <w:r>
        <w:t xml:space="preserve"> </w:t>
      </w:r>
      <w:proofErr w:type="spellStart"/>
      <w:r>
        <w:t>Armor</w:t>
      </w:r>
      <w:proofErr w:type="spellEnd"/>
      <w:r>
        <w:t xml:space="preserve">, </w:t>
      </w:r>
      <w:proofErr w:type="spellStart"/>
      <w:r>
        <w:t>Cloud</w:t>
      </w:r>
      <w:proofErr w:type="spellEnd"/>
      <w:r>
        <w:t xml:space="preserve"> CDN и др.</w:t>
      </w:r>
    </w:p>
    <w:p w14:paraId="67E68BCE" w14:textId="550B7C5C" w:rsidR="001F213A" w:rsidRDefault="001F213A" w:rsidP="001F213A">
      <w:pPr>
        <w:pStyle w:val="disbody"/>
      </w:pPr>
      <w:proofErr w:type="spellStart"/>
      <w:r>
        <w:lastRenderedPageBreak/>
        <w:t>Azure</w:t>
      </w:r>
      <w:proofErr w:type="spellEnd"/>
      <w:r>
        <w:t xml:space="preserve"> </w:t>
      </w:r>
      <w:proofErr w:type="spellStart"/>
      <w:r>
        <w:t>Traffic</w:t>
      </w:r>
      <w:proofErr w:type="spellEnd"/>
      <w:r>
        <w:t xml:space="preserve"> </w:t>
      </w:r>
      <w:proofErr w:type="spellStart"/>
      <w:r>
        <w:t>Manager</w:t>
      </w:r>
      <w:proofErr w:type="spellEnd"/>
      <w:r>
        <w:t>:</w:t>
      </w:r>
    </w:p>
    <w:p w14:paraId="128E397A" w14:textId="77777777" w:rsidR="001F213A" w:rsidRDefault="001F213A" w:rsidP="001F213A">
      <w:pPr>
        <w:pStyle w:val="disbody"/>
      </w:pPr>
      <w:r>
        <w:t xml:space="preserve">Методи за </w:t>
      </w:r>
      <w:proofErr w:type="spellStart"/>
      <w:r>
        <w:t>маршрутизиране</w:t>
      </w:r>
      <w:proofErr w:type="spellEnd"/>
      <w:r>
        <w:t xml:space="preserve">: Предоставя множество методи за </w:t>
      </w:r>
      <w:proofErr w:type="spellStart"/>
      <w:r>
        <w:t>маршрутизиране</w:t>
      </w:r>
      <w:proofErr w:type="spellEnd"/>
      <w:r>
        <w:t>,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5"/>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1F05B81F"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Тъй като дигиталната среда продължава да се 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lastRenderedPageBreak/>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19"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0"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1"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2"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3" w:tgtFrame="_blank" w:history="1">
        <w:r>
          <w:rPr>
            <w:rStyle w:val="Hyperlink"/>
            <w:rFonts w:ascii="Arial" w:hAnsi="Arial" w:cs="Arial"/>
            <w:color w:val="1155CC"/>
          </w:rPr>
          <w:t>https://azure.microsoft.com/en-us/blog/how-azure-security-center-aids-in-detecting-good-applications-being-used-maliciously/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5250BA77" w:rsidR="00194695" w:rsidRPr="00194695"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sectPr w:rsidR="00194695" w:rsidRPr="00194695" w:rsidSect="009221D0">
      <w:headerReference w:type="default" r:id="rId24"/>
      <w:footerReference w:type="default" r:id="rId25"/>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6BE08" w14:textId="77777777" w:rsidR="00F112F3" w:rsidRDefault="00F112F3" w:rsidP="00DA5C8B">
      <w:pPr>
        <w:spacing w:line="240" w:lineRule="auto"/>
      </w:pPr>
      <w:r>
        <w:separator/>
      </w:r>
    </w:p>
  </w:endnote>
  <w:endnote w:type="continuationSeparator" w:id="0">
    <w:p w14:paraId="320BE145" w14:textId="77777777" w:rsidR="00F112F3" w:rsidRDefault="00F112F3"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45CD5" w14:textId="77777777" w:rsidR="00F112F3" w:rsidRDefault="00F112F3" w:rsidP="005719C1">
      <w:pPr>
        <w:spacing w:line="240" w:lineRule="auto"/>
        <w:ind w:firstLine="0"/>
      </w:pPr>
      <w:r>
        <w:separator/>
      </w:r>
    </w:p>
  </w:footnote>
  <w:footnote w:type="continuationSeparator" w:id="0">
    <w:p w14:paraId="56522F81" w14:textId="77777777" w:rsidR="00F112F3" w:rsidRDefault="00F112F3" w:rsidP="005719C1">
      <w:pPr>
        <w:spacing w:line="240" w:lineRule="auto"/>
        <w:ind w:firstLine="0"/>
      </w:pPr>
      <w:r>
        <w:continuationSeparator/>
      </w:r>
    </w:p>
  </w:footnote>
  <w:footnote w:type="continuationNotice" w:id="1">
    <w:p w14:paraId="40902BF1" w14:textId="77777777" w:rsidR="00F112F3" w:rsidRDefault="00F112F3"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727A"/>
    <w:rsid w:val="001923D3"/>
    <w:rsid w:val="001925D9"/>
    <w:rsid w:val="00194695"/>
    <w:rsid w:val="00194CE0"/>
    <w:rsid w:val="00197E02"/>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3560"/>
    <w:rsid w:val="00F53E8F"/>
    <w:rsid w:val="00F5726A"/>
    <w:rsid w:val="00F57FC8"/>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zure.microsoft.com/en-us/blog/how-azure-security-center-detects-a-bitcoin-mining-attac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zure.microsoft.com/en-us/blog/how-azure-security-center-helps-reveal-a-cyberattac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aids-in-detecting-good-applications-being-used-maliciously/" TargetMode="External"/><Relationship Id="rId10" Type="http://schemas.openxmlformats.org/officeDocument/2006/relationships/image" Target="media/image3.png"/><Relationship Id="rId19" Type="http://schemas.openxmlformats.org/officeDocument/2006/relationships/hyperlink" Target="https://azure.microsoft.com/en-us/blog/how-azure-security-center-unveils-suspicious-powershell-attack/?cdn=disab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detects-ddos-attack-using-cyber-threat-intelligence/"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6311</TotalTime>
  <Pages>38</Pages>
  <Words>9036</Words>
  <Characters>51511</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60427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190</cp:revision>
  <cp:lastPrinted>2021-12-02T13:00:00Z</cp:lastPrinted>
  <dcterms:created xsi:type="dcterms:W3CDTF">2022-06-23T10:23:00Z</dcterms:created>
  <dcterms:modified xsi:type="dcterms:W3CDTF">2023-08-10T05:56:00Z</dcterms:modified>
</cp:coreProperties>
</file>