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4BB1A995" w:rsidR="001F4D5E" w:rsidRPr="001F4D5E" w:rsidRDefault="001F4D5E" w:rsidP="001F4D5E">
      <w:pPr>
        <w:pStyle w:val="disbody"/>
      </w:pPr>
      <w:r w:rsidRPr="00084B24">
        <w:t xml:space="preserve">Моделът на </w:t>
      </w:r>
      <w:r>
        <w:t>софтуерна</w:t>
      </w:r>
      <w:r w:rsidRPr="00084B24">
        <w:t xml:space="preserve"> система, е разработен във втора глава. За да се апробира приложимостта на разгледаната в детайли архитектура и предлаганата в настоящото изследване система, тя следва да бъде приложена в реална работна среда. Едновременно с това, е необходимо и да се очертаят границите на различните подходи за разработка на софтуер в технологични стартиращи компании, които също имат важно значение при организацията на дейността.</w:t>
      </w:r>
      <w:r>
        <w:t xml:space="preserve"> </w:t>
      </w:r>
      <w:r w:rsidRPr="00084B24">
        <w:t xml:space="preserve">За целта е необходимо да се избере фирма </w:t>
      </w:r>
      <w:r>
        <w:t>…</w:t>
      </w:r>
      <w:r w:rsidRPr="00084B24">
        <w:t xml:space="preserve"> – обект на приложение, която е с подходящ предмет на дейност</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7BDB4895" w:rsidR="007F7553" w:rsidRDefault="00EF051A" w:rsidP="004C10B0">
      <w:pPr>
        <w:pStyle w:val="disbody"/>
        <w:rPr>
          <w:lang w:val="en-US"/>
        </w:rPr>
      </w:pPr>
      <w:bookmarkStart w:id="2" w:name="_Toc214084082"/>
      <w:r>
        <w:rPr>
          <w:lang w:val="en-US"/>
        </w:rPr>
        <w:t>Wikipedia</w:t>
      </w:r>
    </w:p>
    <w:p w14:paraId="1280C632" w14:textId="77777777" w:rsidR="00CA102D" w:rsidRDefault="00CA102D" w:rsidP="00CA102D">
      <w:pPr>
        <w:pStyle w:val="Heading3"/>
        <w:tabs>
          <w:tab w:val="left" w:pos="7970"/>
        </w:tabs>
      </w:pPr>
      <w:bookmarkStart w:id="3" w:name="_Toc139783679"/>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bookmarkEnd w:id="3"/>
      <w:proofErr w:type="spellEnd"/>
    </w:p>
    <w:p w14:paraId="71402734" w14:textId="77777777" w:rsidR="00CA102D" w:rsidRDefault="00CA102D" w:rsidP="00CA102D">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2CFB30" w14:textId="77777777" w:rsidR="00CA102D" w:rsidRDefault="00CA102D" w:rsidP="00CA102D">
      <w:pPr>
        <w:pStyle w:val="disbody"/>
      </w:pPr>
    </w:p>
    <w:p w14:paraId="69AD3FAB" w14:textId="77777777" w:rsidR="00CA102D" w:rsidRPr="002C59D2" w:rsidRDefault="00CA102D" w:rsidP="00CA102D">
      <w:pPr>
        <w:widowControl/>
        <w:spacing w:after="160" w:line="259" w:lineRule="auto"/>
        <w:ind w:firstLine="0"/>
        <w:jc w:val="left"/>
      </w:pPr>
      <w:r>
        <w:rPr>
          <w:noProof/>
        </w:rPr>
        <w:lastRenderedPageBreak/>
        <w:drawing>
          <wp:inline distT="0" distB="0" distL="0" distR="0" wp14:anchorId="04E555C7" wp14:editId="6D186771">
            <wp:extent cx="5731510" cy="415734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lastRenderedPageBreak/>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proofErr w:type="spellStart"/>
      <w:r w:rsidRPr="00F67E57">
        <w:t>тимулиране</w:t>
      </w:r>
      <w:proofErr w:type="spellEnd"/>
      <w:r w:rsidRPr="00F67E57">
        <w:t xml:space="preserve"> </w:t>
      </w:r>
      <w:proofErr w:type="spellStart"/>
      <w:r w:rsidRPr="00F67E57">
        <w:t>на</w:t>
      </w:r>
      <w:proofErr w:type="spellEnd"/>
      <w:r w:rsidRPr="00F67E57">
        <w:t xml:space="preserve"> </w:t>
      </w:r>
      <w:proofErr w:type="spellStart"/>
      <w:r w:rsidRPr="00F67E57">
        <w:t>продажби</w:t>
      </w:r>
      <w:proofErr w:type="spellEnd"/>
      <w:r>
        <w:rPr>
          <w:lang w:val="bg-BG"/>
        </w:rPr>
        <w:t>те</w:t>
      </w:r>
      <w:r w:rsidRPr="00F67E57">
        <w:t xml:space="preserve"> </w:t>
      </w:r>
      <w:proofErr w:type="spellStart"/>
      <w:r w:rsidRPr="00F67E57">
        <w:t>чрез</w:t>
      </w:r>
      <w:proofErr w:type="spellEnd"/>
      <w:r w:rsidRPr="00F67E57">
        <w:t xml:space="preserve"> </w:t>
      </w:r>
      <w:proofErr w:type="spellStart"/>
      <w:r w:rsidRPr="00F67E57">
        <w:t>цифрови</w:t>
      </w:r>
      <w:proofErr w:type="spellEnd"/>
      <w:r w:rsidRPr="00F67E57">
        <w:t xml:space="preserve"> </w:t>
      </w:r>
      <w:proofErr w:type="spellStart"/>
      <w:r w:rsidRPr="00F67E57">
        <w:t>технологии</w:t>
      </w:r>
      <w:bookmarkEnd w:id="4"/>
      <w:proofErr w:type="spellEnd"/>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w:t>
      </w:r>
      <w:proofErr w:type="spellStart"/>
      <w:r w:rsidRPr="0096255A">
        <w:rPr>
          <w:lang w:val="en-US"/>
        </w:rPr>
        <w:t>бърз</w:t>
      </w:r>
      <w:proofErr w:type="spellEnd"/>
      <w:r>
        <w:t>о и</w:t>
      </w:r>
      <w:r w:rsidRPr="0096255A">
        <w:rPr>
          <w:lang w:val="en-US"/>
        </w:rPr>
        <w:t xml:space="preserve"> </w:t>
      </w:r>
      <w:proofErr w:type="spellStart"/>
      <w:r w:rsidRPr="0096255A">
        <w:rPr>
          <w:lang w:val="en-US"/>
        </w:rPr>
        <w:t>рентабилен</w:t>
      </w:r>
      <w:proofErr w:type="spellEnd"/>
      <w:r>
        <w:t xml:space="preserve">о </w:t>
      </w:r>
      <w:proofErr w:type="spellStart"/>
      <w:r w:rsidRPr="0096255A">
        <w:rPr>
          <w:lang w:val="en-US"/>
        </w:rPr>
        <w:t>планиране</w:t>
      </w:r>
      <w:proofErr w:type="spellEnd"/>
      <w:r w:rsidRPr="0096255A">
        <w:rPr>
          <w:lang w:val="en-US"/>
        </w:rPr>
        <w:t xml:space="preserve"> </w:t>
      </w:r>
      <w:r>
        <w:t>в</w:t>
      </w:r>
      <w:r w:rsidRPr="0096255A">
        <w:rPr>
          <w:lang w:val="en-US"/>
        </w:rPr>
        <w:t xml:space="preserve"> </w:t>
      </w:r>
      <w:proofErr w:type="spellStart"/>
      <w:r w:rsidRPr="0096255A">
        <w:rPr>
          <w:lang w:val="en-US"/>
        </w:rPr>
        <w:t>завод</w:t>
      </w:r>
      <w:r>
        <w:t>ите</w:t>
      </w:r>
      <w:proofErr w:type="spellEnd"/>
      <w:r>
        <w:t xml:space="preserve">, </w:t>
      </w:r>
      <w:r w:rsidRPr="00847C79">
        <w:t>създават иновативно решение, ориентирано към потребител</w:t>
      </w:r>
      <w:r>
        <w:t>ите.</w:t>
      </w:r>
      <w:r>
        <w:rPr>
          <w:lang w:val="en-US"/>
        </w:rPr>
        <w:t xml:space="preserve"> </w:t>
      </w:r>
      <w:proofErr w:type="spellStart"/>
      <w:r w:rsidRPr="00847C79">
        <w:rPr>
          <w:lang w:val="en-US"/>
        </w:rPr>
        <w:t>Услуги</w:t>
      </w:r>
      <w:proofErr w:type="spellEnd"/>
      <w:r>
        <w:t>т</w:t>
      </w:r>
      <w:r>
        <w:rPr>
          <w:lang w:val="en-US"/>
        </w:rPr>
        <w:t>e</w:t>
      </w:r>
      <w:r w:rsidRPr="00847C79">
        <w:rPr>
          <w:lang w:val="en-US"/>
        </w:rPr>
        <w:t xml:space="preserve"> с </w:t>
      </w:r>
      <w:proofErr w:type="spellStart"/>
      <w:r w:rsidRPr="00847C79">
        <w:rPr>
          <w:lang w:val="en-US"/>
        </w:rPr>
        <w:t>добавена</w:t>
      </w:r>
      <w:proofErr w:type="spellEnd"/>
      <w:r w:rsidRPr="00847C79">
        <w:rPr>
          <w:lang w:val="en-US"/>
        </w:rPr>
        <w:t xml:space="preserve"> </w:t>
      </w:r>
      <w:proofErr w:type="spellStart"/>
      <w:r w:rsidRPr="00847C79">
        <w:rPr>
          <w:lang w:val="en-US"/>
        </w:rPr>
        <w:t>стойност</w:t>
      </w:r>
      <w:proofErr w:type="spellEnd"/>
      <w:r w:rsidRPr="00847C79">
        <w:rPr>
          <w:lang w:val="en-US"/>
        </w:rPr>
        <w:t xml:space="preserve">, </w:t>
      </w:r>
      <w:proofErr w:type="spellStart"/>
      <w:r w:rsidRPr="00847C79">
        <w:rPr>
          <w:lang w:val="en-US"/>
        </w:rPr>
        <w:t>правят</w:t>
      </w:r>
      <w:proofErr w:type="spellEnd"/>
      <w:r w:rsidRPr="00847C79">
        <w:rPr>
          <w:lang w:val="en-US"/>
        </w:rPr>
        <w:t xml:space="preserve"> </w:t>
      </w:r>
      <w:proofErr w:type="spellStart"/>
      <w:r w:rsidRPr="00847C79">
        <w:rPr>
          <w:lang w:val="en-US"/>
        </w:rPr>
        <w:t>клиентите</w:t>
      </w:r>
      <w:proofErr w:type="spellEnd"/>
      <w:r w:rsidRPr="00847C79">
        <w:rPr>
          <w:lang w:val="en-US"/>
        </w:rPr>
        <w:t xml:space="preserve"> </w:t>
      </w:r>
      <w:proofErr w:type="spellStart"/>
      <w:r w:rsidRPr="00847C79">
        <w:rPr>
          <w:lang w:val="en-US"/>
        </w:rPr>
        <w:t>по-логистично</w:t>
      </w:r>
      <w:proofErr w:type="spellEnd"/>
      <w:r w:rsidRPr="00847C79">
        <w:rPr>
          <w:lang w:val="en-US"/>
        </w:rPr>
        <w:t xml:space="preserve"> </w:t>
      </w:r>
      <w:proofErr w:type="spellStart"/>
      <w:r w:rsidRPr="00847C79">
        <w:rPr>
          <w:lang w:val="en-US"/>
        </w:rPr>
        <w:t>интегрирани</w:t>
      </w:r>
      <w:proofErr w:type="spellEnd"/>
      <w:r w:rsidRPr="00847C79">
        <w:rPr>
          <w:lang w:val="en-US"/>
        </w:rPr>
        <w:t xml:space="preserve"> и </w:t>
      </w:r>
      <w:proofErr w:type="spellStart"/>
      <w:r w:rsidRPr="00847C79">
        <w:rPr>
          <w:lang w:val="en-US"/>
        </w:rPr>
        <w:t>по-добре</w:t>
      </w:r>
      <w:proofErr w:type="spellEnd"/>
      <w:r w:rsidRPr="00847C79">
        <w:rPr>
          <w:lang w:val="en-US"/>
        </w:rPr>
        <w:t xml:space="preserve"> </w:t>
      </w:r>
      <w:proofErr w:type="spellStart"/>
      <w:r w:rsidRPr="00847C79">
        <w:rPr>
          <w:lang w:val="en-US"/>
        </w:rPr>
        <w:t>оборудвани</w:t>
      </w:r>
      <w:proofErr w:type="spellEnd"/>
      <w:r>
        <w:rPr>
          <w:lang w:val="en-US"/>
        </w:rPr>
        <w:t xml:space="preserve"> </w:t>
      </w:r>
      <w:r>
        <w:t>за</w:t>
      </w:r>
      <w:r w:rsidRPr="00847C79">
        <w:rPr>
          <w:lang w:val="en-US"/>
        </w:rPr>
        <w:t xml:space="preserve"> </w:t>
      </w:r>
      <w:proofErr w:type="spellStart"/>
      <w:r w:rsidRPr="00847C79">
        <w:rPr>
          <w:lang w:val="en-US"/>
        </w:rPr>
        <w:t>да</w:t>
      </w:r>
      <w:proofErr w:type="spellEnd"/>
      <w:r w:rsidRPr="00847C79">
        <w:rPr>
          <w:lang w:val="en-US"/>
        </w:rPr>
        <w:t xml:space="preserve"> </w:t>
      </w:r>
      <w:proofErr w:type="spellStart"/>
      <w:r w:rsidRPr="00847C79">
        <w:rPr>
          <w:lang w:val="en-US"/>
        </w:rPr>
        <w:t>посрещнат</w:t>
      </w:r>
      <w:proofErr w:type="spellEnd"/>
      <w:r w:rsidRPr="00847C79">
        <w:rPr>
          <w:lang w:val="en-US"/>
        </w:rPr>
        <w:t xml:space="preserve"> </w:t>
      </w:r>
      <w:proofErr w:type="spellStart"/>
      <w:r w:rsidRPr="00847C79">
        <w:rPr>
          <w:lang w:val="en-US"/>
        </w:rPr>
        <w:t>предизвикателствата</w:t>
      </w:r>
      <w:proofErr w:type="spellEnd"/>
      <w:r w:rsidRPr="00847C79">
        <w:rPr>
          <w:lang w:val="en-US"/>
        </w:rPr>
        <w:t xml:space="preserve">, </w:t>
      </w:r>
      <w:proofErr w:type="spellStart"/>
      <w:r w:rsidRPr="00847C79">
        <w:rPr>
          <w:lang w:val="en-US"/>
        </w:rPr>
        <w:t>свързани</w:t>
      </w:r>
      <w:proofErr w:type="spellEnd"/>
      <w:r w:rsidRPr="00847C79">
        <w:rPr>
          <w:lang w:val="en-US"/>
        </w:rPr>
        <w:t xml:space="preserve"> с </w:t>
      </w:r>
      <w:proofErr w:type="spellStart"/>
      <w:r w:rsidRPr="00847C79">
        <w:rPr>
          <w:lang w:val="en-US"/>
        </w:rPr>
        <w:t>устойчивостта</w:t>
      </w:r>
      <w:proofErr w:type="spellEnd"/>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77777777" w:rsidR="00CA102D"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267C882C" w14:textId="77777777" w:rsidR="00CA102D" w:rsidRPr="00B1292C" w:rsidRDefault="00CA102D" w:rsidP="004C10B0">
      <w:pPr>
        <w:pStyle w:val="disbody"/>
        <w:rPr>
          <w:lang w:val="en-US"/>
        </w:rPr>
      </w:pPr>
    </w:p>
    <w:p w14:paraId="10884A9C" w14:textId="60C791EB" w:rsidR="00505634" w:rsidRPr="00084B24" w:rsidRDefault="00505634" w:rsidP="00505634">
      <w:pPr>
        <w:pStyle w:val="Heading2"/>
        <w:rPr>
          <w:lang w:val="bg-BG"/>
        </w:rPr>
      </w:pPr>
      <w:bookmarkStart w:id="5" w:name="_Toc112392440"/>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5"/>
      <w:r w:rsidRPr="00084B24">
        <w:rPr>
          <w:lang w:val="bg-BG"/>
        </w:rPr>
        <w:t xml:space="preserve"> </w:t>
      </w:r>
    </w:p>
    <w:p w14:paraId="57A30907" w14:textId="02422CB6" w:rsidR="00505634" w:rsidRPr="00084B24" w:rsidRDefault="00505634" w:rsidP="00505634">
      <w:pPr>
        <w:pStyle w:val="Heading3"/>
        <w:rPr>
          <w:lang w:val="bg-BG"/>
        </w:rPr>
      </w:pPr>
      <w:bookmarkStart w:id="6" w:name="_Toc112392441"/>
      <w:r w:rsidRPr="00084B24">
        <w:rPr>
          <w:lang w:val="bg-BG"/>
        </w:rPr>
        <w:t>3.</w:t>
      </w:r>
      <w:r>
        <w:rPr>
          <w:lang w:val="bg-BG"/>
        </w:rPr>
        <w:t>2</w:t>
      </w:r>
      <w:r w:rsidRPr="00084B24">
        <w:rPr>
          <w:lang w:val="bg-BG"/>
        </w:rPr>
        <w:t>.1. План за реализация и внедряване на системата</w:t>
      </w:r>
      <w:bookmarkEnd w:id="6"/>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
      </w:r>
      <w:r w:rsidRPr="00793416">
        <w:t>. 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7" w:name="_Toc112392442"/>
      <w:r w:rsidRPr="00084B24">
        <w:rPr>
          <w:lang w:val="bg-BG"/>
        </w:rPr>
        <w:t>3.</w:t>
      </w:r>
      <w:r>
        <w:rPr>
          <w:lang w:val="bg-BG"/>
        </w:rPr>
        <w:t>2</w:t>
      </w:r>
      <w:r w:rsidRPr="00084B24">
        <w:rPr>
          <w:lang w:val="bg-BG"/>
        </w:rPr>
        <w:t>.2. Особености при експлоатация</w:t>
      </w:r>
      <w:bookmarkEnd w:id="7"/>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8"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8"/>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В тези случаи, според нас, е подходящо прилагането на опростен подход за малък екип с ниска до средна формализация (по-висока за собствен 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големи, по-сложни проекти с повече модули и документация, със срок на изпълнение от 3 до 12 месеца. Още по-големи проекти може да се се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3"/>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9" w:name="_Toc112392443"/>
      <w:r w:rsidRPr="00084B24">
        <w:rPr>
          <w:lang w:val="bg-BG"/>
        </w:rPr>
        <w:lastRenderedPageBreak/>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9"/>
    </w:p>
    <w:p w14:paraId="5D15837A" w14:textId="371F2371" w:rsidR="00134939" w:rsidRPr="00084B24" w:rsidRDefault="00134939" w:rsidP="00134939">
      <w:pPr>
        <w:pStyle w:val="Heading3"/>
        <w:rPr>
          <w:lang w:val="bg-BG"/>
        </w:rPr>
      </w:pPr>
      <w:bookmarkStart w:id="10" w:name="_Toc112392444"/>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10"/>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От голямо значение за изграждане на софтуерната система са следните етапи, които включват определяне на инструменталните средства 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тъй като в изложението се концентрираме само върху софтуерната част от една информационна система и освен това в 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за програмен достъп – уеб услуги за достъп (SOAP 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11" w:name="_Toc112392445"/>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11"/>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4"/>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йерархична организация на характеристики за програма и влагането им в множество продукти, поставяне на тежест на групи; Отчети 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12" w:name="_Toc529883403"/>
      <w:bookmarkStart w:id="13" w:name="_Toc112392446"/>
      <w:bookmarkEnd w:id="2"/>
      <w:r w:rsidRPr="00084B24">
        <w:rPr>
          <w:lang w:val="bg-BG"/>
        </w:rPr>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12"/>
      <w:bookmarkEnd w:id="13"/>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5"/>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6"/>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t xml:space="preserve">Валидиране на </w:t>
      </w:r>
      <w:r w:rsidR="001E6803">
        <w:t xml:space="preserve">бизнес </w:t>
      </w:r>
      <w:r w:rsidRPr="00084B24">
        <w:t>модела</w:t>
      </w:r>
      <w:r w:rsidR="001E6803">
        <w:rPr>
          <w:rStyle w:val="FootnoteReference"/>
        </w:rPr>
        <w:footnoteReference w:id="7"/>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изследвания за 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14" w:name="_Toc112392447"/>
      <w:r w:rsidRPr="00084B24">
        <w:rPr>
          <w:lang w:val="bg-BG"/>
        </w:rPr>
        <w:t>Заключение</w:t>
      </w:r>
      <w:bookmarkEnd w:id="14"/>
    </w:p>
    <w:p w14:paraId="068E26B4" w14:textId="11495FF9" w:rsidR="008036E6" w:rsidRPr="00084B24" w:rsidRDefault="003A6199" w:rsidP="00CA102D">
      <w:pPr>
        <w:pStyle w:val="disbody"/>
      </w:pPr>
      <w:r w:rsidRPr="00084B24">
        <w:t xml:space="preserve">Настоящият дисертационен труд разглежда въпроси, свързани с </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10"/>
      <w:footerReference w:type="default" r:id="rId1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E355" w14:textId="77777777" w:rsidR="00B3711D" w:rsidRDefault="00B3711D" w:rsidP="00DA5C8B">
      <w:pPr>
        <w:spacing w:line="240" w:lineRule="auto"/>
      </w:pPr>
      <w:r>
        <w:separator/>
      </w:r>
    </w:p>
  </w:endnote>
  <w:endnote w:type="continuationSeparator" w:id="0">
    <w:p w14:paraId="7E1204BD" w14:textId="77777777" w:rsidR="00B3711D" w:rsidRDefault="00B3711D"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C8F4" w14:textId="77777777" w:rsidR="00B3711D" w:rsidRDefault="00B3711D" w:rsidP="005719C1">
      <w:pPr>
        <w:spacing w:line="240" w:lineRule="auto"/>
        <w:ind w:firstLine="0"/>
      </w:pPr>
      <w:r>
        <w:separator/>
      </w:r>
    </w:p>
  </w:footnote>
  <w:footnote w:type="continuationSeparator" w:id="0">
    <w:p w14:paraId="026A1B2C" w14:textId="77777777" w:rsidR="00B3711D" w:rsidRDefault="00B3711D" w:rsidP="005719C1">
      <w:pPr>
        <w:spacing w:line="240" w:lineRule="auto"/>
        <w:ind w:firstLine="0"/>
      </w:pPr>
      <w:r>
        <w:continuationSeparator/>
      </w:r>
    </w:p>
  </w:footnote>
  <w:footnote w:type="continuationNotice" w:id="1">
    <w:p w14:paraId="2E3BF5A6" w14:textId="77777777" w:rsidR="00B3711D" w:rsidRDefault="00B3711D" w:rsidP="005719C1">
      <w:pPr>
        <w:spacing w:line="240" w:lineRule="auto"/>
        <w:ind w:firstLine="0"/>
      </w:pPr>
    </w:p>
  </w:footnote>
  <w:footnote w:id="2">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w:t>
      </w:r>
      <w:proofErr w:type="spellStart"/>
      <w:r w:rsidRPr="002B564A">
        <w:t>Manifesto</w:t>
      </w:r>
      <w:proofErr w:type="spellEnd"/>
      <w:r w:rsidRPr="002B564A">
        <w:t xml:space="preserve"> </w:t>
      </w:r>
      <w:proofErr w:type="spellStart"/>
      <w:r w:rsidRPr="002B564A">
        <w:t>for</w:t>
      </w:r>
      <w:proofErr w:type="spellEnd"/>
      <w:r w:rsidRPr="002B564A">
        <w:t xml:space="preserve"> </w:t>
      </w:r>
      <w:proofErr w:type="spellStart"/>
      <w:r w:rsidRPr="002B564A">
        <w:t>Agile</w:t>
      </w:r>
      <w:proofErr w:type="spellEnd"/>
      <w:r w:rsidRPr="002B564A">
        <w:t xml:space="preserve"> Software </w:t>
      </w:r>
      <w:proofErr w:type="spellStart"/>
      <w:r w:rsidRPr="002B564A">
        <w:t>Development</w:t>
      </w:r>
      <w:proofErr w:type="spellEnd"/>
      <w:r w:rsidRPr="002B564A">
        <w:t>, https://agilemanifesto.org/</w:t>
      </w:r>
    </w:p>
  </w:footnote>
  <w:footnote w:id="3">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4">
    <w:p w14:paraId="47ACD3AB" w14:textId="0AC3A680" w:rsidR="00D07812" w:rsidRDefault="00D07812">
      <w:pPr>
        <w:pStyle w:val="FootnoteText"/>
      </w:pPr>
      <w:r>
        <w:rPr>
          <w:rStyle w:val="FootnoteReference"/>
        </w:rPr>
        <w:footnoteRef/>
      </w:r>
      <w:r>
        <w:t xml:space="preserve"> </w:t>
      </w:r>
      <w:r w:rsidRPr="00D07812">
        <w:t xml:space="preserve">Project </w:t>
      </w:r>
      <w:proofErr w:type="spellStart"/>
      <w:r w:rsidRPr="00D07812">
        <w:t>Management</w:t>
      </w:r>
      <w:proofErr w:type="spellEnd"/>
      <w:r w:rsidRPr="00D07812">
        <w:t xml:space="preserve"> Institute </w:t>
      </w:r>
      <w:r>
        <w:t xml:space="preserve">подход </w:t>
      </w:r>
      <w:r w:rsidRPr="00D07812">
        <w:t>с правила за работа по проекти на база стандартен дефиниран процес</w:t>
      </w:r>
      <w:r>
        <w:t>.</w:t>
      </w:r>
    </w:p>
  </w:footnote>
  <w:footnote w:id="5">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w:t>
      </w:r>
      <w:proofErr w:type="spellStart"/>
      <w:r w:rsidRPr="002B564A">
        <w:t>Jira</w:t>
      </w:r>
      <w:proofErr w:type="spellEnd"/>
      <w:r w:rsidRPr="002B564A">
        <w:t xml:space="preserve"> (https://www.atlassian.com/jira) , </w:t>
      </w:r>
      <w:proofErr w:type="spellStart"/>
      <w:r w:rsidRPr="002B564A">
        <w:t>Basecamp</w:t>
      </w:r>
      <w:proofErr w:type="spellEnd"/>
      <w:r w:rsidRPr="002B564A">
        <w:t xml:space="preserve"> (https://basecamp.com/), </w:t>
      </w:r>
      <w:proofErr w:type="spellStart"/>
      <w:r w:rsidRPr="002B564A">
        <w:t>Zoho</w:t>
      </w:r>
      <w:proofErr w:type="spellEnd"/>
      <w:r w:rsidRPr="002B564A">
        <w:t xml:space="preserve"> (https://www.zoho.com/), </w:t>
      </w:r>
      <w:proofErr w:type="spellStart"/>
      <w:r w:rsidRPr="002B564A">
        <w:t>Trello</w:t>
      </w:r>
      <w:proofErr w:type="spellEnd"/>
      <w:r w:rsidRPr="002B564A">
        <w:t xml:space="preserve"> (https://trello.com/), </w:t>
      </w:r>
      <w:proofErr w:type="spellStart"/>
      <w:r w:rsidRPr="002B564A">
        <w:t>Asana</w:t>
      </w:r>
      <w:proofErr w:type="spellEnd"/>
      <w:r w:rsidRPr="002B564A">
        <w:t xml:space="preserve"> (https://asana.com/), </w:t>
      </w:r>
      <w:proofErr w:type="spellStart"/>
      <w:r w:rsidRPr="002B564A">
        <w:t>Podio</w:t>
      </w:r>
      <w:proofErr w:type="spellEnd"/>
      <w:r w:rsidRPr="002B564A">
        <w:t xml:space="preserve"> (https://podio.com/), </w:t>
      </w:r>
      <w:proofErr w:type="spellStart"/>
      <w:r w:rsidRPr="002B564A">
        <w:t>Todoist</w:t>
      </w:r>
      <w:proofErr w:type="spellEnd"/>
      <w:r w:rsidRPr="002B564A">
        <w:t xml:space="preserve"> (https://todoist.com/) и др. </w:t>
      </w:r>
    </w:p>
  </w:footnote>
  <w:footnote w:id="6">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7">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8"/>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7"/>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6"/>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90F7B"/>
    <w:rsid w:val="005928E8"/>
    <w:rsid w:val="00592B67"/>
    <w:rsid w:val="00594B5C"/>
    <w:rsid w:val="00594DD1"/>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051A"/>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5928</TotalTime>
  <Pages>5</Pages>
  <Words>9923</Words>
  <Characters>56564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66355</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55</cp:revision>
  <cp:lastPrinted>2021-12-02T13:00:00Z</cp:lastPrinted>
  <dcterms:created xsi:type="dcterms:W3CDTF">2022-06-23T10:23:00Z</dcterms:created>
  <dcterms:modified xsi:type="dcterms:W3CDTF">2023-07-24T12:39:00Z</dcterms:modified>
</cp:coreProperties>
</file>