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E7C88"/>
          <w:sz w:val="20"/>
          <w:szCs w:val="20"/>
        </w:rPr>
        <w:t xml:space="preserve">ADMINISTRAÇÃO FINANCEIRA</w:t>
      </w:r>
    </w:p>
    <w:p>
      <w:pPr>
        <w:pStyle w:val="Title"/>
        <w:spacing w:after="100"/>
        <w:jc w:val="center"/>
      </w:pPr>
      <w:r>
        <w:rPr>
          <w:b/>
          <w:bCs/>
          <w:color w:val="1F2A3A"/>
          <w:sz w:val="34"/>
          <w:szCs w:val="34"/>
        </w:rPr>
        <w:t xml:space="preserve">Módulo 4.0 — Análise de Crédito e Cobrança</w:t>
      </w:r>
    </w:p>
    <w:p>
      <w:pPr>
        <w:spacing w:after="400"/>
        <w:jc w:val="center"/>
      </w:pPr>
      <w:r>
        <w:rPr>
          <w:i/>
          <w:iCs/>
          <w:color w:val="4A5568"/>
          <w:sz w:val="22"/>
          <w:szCs w:val="22"/>
        </w:rPr>
        <w:t xml:space="preserve">Exercícios · 3 estudos de caso</w:t>
      </w:r>
    </w:p>
    <w:p>
      <w:pPr>
        <w:pBdr>
          <w:bottom w:val="single" w:color="999999" w:sz="4" w:space="2"/>
        </w:pBdr>
        <w:spacing w:after="260"/>
      </w:pPr>
      <w:r>
        <w:rPr>
          <w:b/>
          <w:bCs/>
          <w:color w:val="1F2A3A"/>
          <w:sz w:val="22"/>
          <w:szCs w:val="22"/>
        </w:rPr>
        <w:t xml:space="preserve">Nome do(a) aluno(a):</w:t>
      </w:r>
      <w:r>
        <w:rPr>
          <w:sz w:val="22"/>
          <w:szCs w:val="22"/>
        </w:rPr>
        <w:t xml:space="preserve">  </w:t>
      </w:r>
    </w:p>
    <w:p>
      <w:pPr>
        <w:pBdr>
          <w:bottom w:val="single" w:color="999999" w:sz="4" w:space="2"/>
        </w:pBdr>
        <w:spacing w:after="260"/>
      </w:pPr>
      <w:r>
        <w:rPr>
          <w:b/>
          <w:bCs/>
          <w:color w:val="1F2A3A"/>
          <w:sz w:val="22"/>
          <w:szCs w:val="22"/>
        </w:rPr>
        <w:t xml:space="preserve">Turma:</w:t>
      </w:r>
      <w:r>
        <w:rPr>
          <w:sz w:val="22"/>
          <w:szCs w:val="22"/>
        </w:rPr>
        <w:t xml:space="preserve">  </w:t>
      </w:r>
    </w:p>
    <w:p>
      <w:pPr>
        <w:pBdr>
          <w:bottom w:val="single" w:color="999999" w:sz="4" w:space="2"/>
        </w:pBdr>
        <w:spacing w:after="260"/>
      </w:pPr>
      <w:r>
        <w:rPr>
          <w:b/>
          <w:bCs/>
          <w:color w:val="1F2A3A"/>
          <w:sz w:val="22"/>
          <w:szCs w:val="22"/>
        </w:rPr>
        <w:t xml:space="preserve">Data:</w:t>
      </w:r>
      <w:r>
        <w:rPr>
          <w:sz w:val="22"/>
          <w:szCs w:val="22"/>
        </w:rPr>
        <w:t xml:space="preserve">  </w:t>
      </w:r>
    </w:p>
    <w:p>
      <w:pPr>
        <w:spacing w:after="300"/>
      </w:pPr>
      <w:r>
        <w:rPr>
          <w:i/>
          <w:iCs/>
          <w:color w:val="4A5568"/>
          <w:sz w:val="20"/>
          <w:szCs w:val="20"/>
        </w:rPr>
        <w:t xml:space="preserve">Instruções: preencha os campos acima, resolva as tarefas de cada estudo de caso utilizando as fórmulas indicadas e envie o arquivo preenchido ao professor.</w:t>
      </w:r>
    </w:p>
    <w:p>
      <w:pPr>
        <w:shd w:fill="E9EFE9" w:val="clear"/>
        <w:spacing w:after="120"/>
      </w:pPr>
      <w:r>
        <w:rPr>
          <w:b/>
          <w:bCs/>
          <w:color w:val="3E7A52"/>
          <w:sz w:val="16"/>
          <w:szCs w:val="16"/>
        </w:rPr>
        <w:t xml:space="preserve">ESTUDO DE CASO · CÁLCULO</w:t>
      </w:r>
    </w:p>
    <w:p>
      <w:pPr>
        <w:spacing w:after="120" w:before="200"/>
      </w:pPr>
      <w:r>
        <w:rPr>
          <w:b/>
          <w:bCs/>
          <w:color w:val="1F2A3A"/>
          <w:sz w:val="24"/>
          <w:szCs w:val="24"/>
        </w:rPr>
        <w:t xml:space="preserve">1. Empresa: Vale Verde Comércio de Materiais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A Vale Verde Comércio de Materiais trabalha com vendas majoritariamente a prazo e deseja revisar sua política de crédito e seus processos de cobrança. Utilize 360 dias como base anual.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Indicadores contábeis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Ativo Circulante (AC): R$ 520.000,00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Passivo Circulante (PC): R$ 380.000,00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Ativo Total (AT): R$ 1.700.000,00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Passivo Total (PT): R$ 1.050.000,00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Lucro Operacional (LO): R$ 210.000,00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Despesas Financeiras (DF): R$ 70.000,00</w:t>
            </w:r>
          </w:p>
        </w:tc>
      </w:tr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Contas a receber e cobrança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Vendas a Prazo (ano): R$ 1.500.000,00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Duplicatas a Receber (DR): R$ 375.000,00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Duplicatas Emitidas (DE): R$ 1.200.000,00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Duplicatas Vencidas (DV): R$ 96.000,00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Créditos Recuperados (CR): R$ 60.000,00</w:t>
            </w:r>
          </w:p>
        </w:tc>
      </w:tr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Política de crédito proposta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Carteira potencial anual: R$ 1.800.000,00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% de aprovação de crédito: 72%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% de inadimplência estimada: 4,5%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Termos de pagamento: 2/10, n/40 (35% pagam com desconto no 10º dia; 65% pagam no 40º dia)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Custo de capital: 19% a.a.</w:t>
            </w:r>
          </w:p>
        </w:tc>
      </w:tr>
    </w:tbl>
    <w:p>
      <w:pPr>
        <w:spacing w:after="100" w:before="200"/>
      </w:pPr>
      <w:r>
        <w:rPr>
          <w:b/>
          <w:bCs/>
          <w:color w:val="6E7C88"/>
          <w:sz w:val="18"/>
          <w:szCs w:val="18"/>
        </w:rPr>
        <w:t xml:space="preserve">TAREFAS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1. </w:t>
      </w:r>
      <w:r>
        <w:rPr>
          <w:sz w:val="21"/>
          <w:szCs w:val="21"/>
        </w:rPr>
        <w:t xml:space="preserve">Calcule o Índice de Liquidez Corrente (ILC). Fórmula: ILC = AC / PC.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2. </w:t>
      </w:r>
      <w:r>
        <w:rPr>
          <w:sz w:val="21"/>
          <w:szCs w:val="21"/>
        </w:rPr>
        <w:t xml:space="preserve">Calcule o Índice de Endividamento Geral (IEG). Fórmula: IEG = PT / AT.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3. </w:t>
      </w:r>
      <w:r>
        <w:rPr>
          <w:sz w:val="21"/>
          <w:szCs w:val="21"/>
        </w:rPr>
        <w:t xml:space="preserve">Calcule o Índice de Cobertura de Juros (ICJ). Fórmula: ICJ = LO / DF.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4. </w:t>
      </w:r>
      <w:r>
        <w:rPr>
          <w:sz w:val="21"/>
          <w:szCs w:val="21"/>
        </w:rPr>
        <w:t xml:space="preserve">Calcule o Prazo Médio de Recebimento (PMR) e o Giro de Contas a Receber (GCR).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5. </w:t>
      </w:r>
      <w:r>
        <w:rPr>
          <w:sz w:val="21"/>
          <w:szCs w:val="21"/>
        </w:rPr>
        <w:t xml:space="preserve">Calcule o Índice de Inadimplência (II) e a Taxa de Recuperação de Créditos (TRC).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6. </w:t>
      </w:r>
      <w:r>
        <w:rPr>
          <w:sz w:val="21"/>
          <w:szCs w:val="21"/>
        </w:rPr>
        <w:t xml:space="preserve">Calcule o Valor do Crédito Concedido (VC) e o Custo do Crédito (CC) com base na política proposta.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7. </w:t>
      </w:r>
      <w:r>
        <w:rPr>
          <w:sz w:val="21"/>
          <w:szCs w:val="21"/>
        </w:rPr>
        <w:t xml:space="preserve">Calcule o PMR ponderado com os novos termos de pagamento e o efeito líquido anual (economia de capital menos custo do desconto).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8. </w:t>
      </w:r>
      <w:r>
        <w:rPr>
          <w:sz w:val="21"/>
          <w:szCs w:val="21"/>
        </w:rPr>
        <w:t xml:space="preserve">Conclusão: com base nos indicadores calculados, avalie a saúde financeira da Vale Verde e proponha recomendações para a política de crédito e cobrança.</w:t>
      </w:r>
    </w:p>
    <w:p>
      <w:pPr>
        <w:spacing w:after="60" w:before="160"/>
      </w:pPr>
      <w:r>
        <w:rPr>
          <w:i/>
          <w:iCs/>
          <w:color w:val="4A5568"/>
          <w:sz w:val="20"/>
          <w:szCs w:val="20"/>
        </w:rPr>
        <w:t xml:space="preserve">Respostas / cálculos: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hd w:fill="E9EFE9" w:val="clear"/>
        <w:spacing w:after="120"/>
      </w:pPr>
      <w:r>
        <w:rPr>
          <w:b/>
          <w:bCs/>
          <w:color w:val="3E7A52"/>
          <w:sz w:val="16"/>
          <w:szCs w:val="16"/>
        </w:rPr>
        <w:t xml:space="preserve">ESTUDO DE CASO · CÁLCULO</w:t>
      </w:r>
    </w:p>
    <w:p>
      <w:pPr>
        <w:spacing w:after="120" w:before="200"/>
      </w:pPr>
      <w:r>
        <w:rPr>
          <w:b/>
          <w:bCs/>
          <w:color w:val="1F2A3A"/>
          <w:sz w:val="24"/>
          <w:szCs w:val="24"/>
        </w:rPr>
        <w:t xml:space="preserve">2. Empresa: TechSul Distribuidora de Eletrônicos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A TechSul Distribuidora de Eletrônicos realiza grande parte de suas vendas a prazo e deseja avaliar sua situação financeira e sua política de crédito e cobrança. Utilize 360 dias como base anual.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Indicadores contábeis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Ativo Circulante (AC): R$ 700.000,00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Passivo Circulante (PC): R$ 500.000,00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Ativo Total (AT): R$ 2.400.000,00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Passivo Total (PT): R$ 1.440.000,00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Lucro Operacional (LO): R$ 300.000,00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Despesas Financeiras (DF): R$ 100.000,00</w:t>
            </w:r>
          </w:p>
        </w:tc>
      </w:tr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Contas a receber e cobrança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Vendas a Prazo (ano): R$ 2.000.000,00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Duplicatas a Receber (DR): R$ 500.000,00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Duplicatas Emitidas (DE): R$ 1.600.000,00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Duplicatas Vencidas (DV): R$ 144.000,00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Créditos Recuperados (CR): R$ 90.000,00</w:t>
            </w:r>
          </w:p>
        </w:tc>
      </w:tr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Política de crédito proposta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Carteira potencial anual: R$ 2.500.000,00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% de aprovação de crédito: 68%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% de inadimplência estimada: 5,5%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Termos de pagamento: 3/15, n/45 (40% pagam com desconto no 15º dia; 60% pagam no 45º dia)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Custo de capital: 17% a.a.</w:t>
            </w:r>
          </w:p>
        </w:tc>
      </w:tr>
    </w:tbl>
    <w:p>
      <w:pPr>
        <w:spacing w:after="100" w:before="200"/>
      </w:pPr>
      <w:r>
        <w:rPr>
          <w:b/>
          <w:bCs/>
          <w:color w:val="6E7C88"/>
          <w:sz w:val="18"/>
          <w:szCs w:val="18"/>
        </w:rPr>
        <w:t xml:space="preserve">TAREFAS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1. </w:t>
      </w:r>
      <w:r>
        <w:rPr>
          <w:sz w:val="21"/>
          <w:szCs w:val="21"/>
        </w:rPr>
        <w:t xml:space="preserve">Calcule o Índice de Liquidez Corrente (ILC). Fórmula: ILC = AC / PC.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2. </w:t>
      </w:r>
      <w:r>
        <w:rPr>
          <w:sz w:val="21"/>
          <w:szCs w:val="21"/>
        </w:rPr>
        <w:t xml:space="preserve">Calcule o Índice de Endividamento Geral (IEG). Fórmula: IEG = PT / AT.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3. </w:t>
      </w:r>
      <w:r>
        <w:rPr>
          <w:sz w:val="21"/>
          <w:szCs w:val="21"/>
        </w:rPr>
        <w:t xml:space="preserve">Calcule o Índice de Cobertura de Juros (ICJ). Fórmula: ICJ = LO / DF.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4. </w:t>
      </w:r>
      <w:r>
        <w:rPr>
          <w:sz w:val="21"/>
          <w:szCs w:val="21"/>
        </w:rPr>
        <w:t xml:space="preserve">Calcule o Prazo Médio de Recebimento (PMR) e o Giro de Contas a Receber (GCR).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5. </w:t>
      </w:r>
      <w:r>
        <w:rPr>
          <w:sz w:val="21"/>
          <w:szCs w:val="21"/>
        </w:rPr>
        <w:t xml:space="preserve">Calcule o Índice de Inadimplência (II) e a Taxa de Recuperação de Créditos (TRC).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6. </w:t>
      </w:r>
      <w:r>
        <w:rPr>
          <w:sz w:val="21"/>
          <w:szCs w:val="21"/>
        </w:rPr>
        <w:t xml:space="preserve">Calcule o Valor do Crédito Concedido (VC) e o Custo do Crédito (CC) com base na política proposta.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7. </w:t>
      </w:r>
      <w:r>
        <w:rPr>
          <w:sz w:val="21"/>
          <w:szCs w:val="21"/>
        </w:rPr>
        <w:t xml:space="preserve">Calcule o PMR ponderado com os novos termos de pagamento e o efeito líquido anual (economia de capital menos custo do desconto).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8. </w:t>
      </w:r>
      <w:r>
        <w:rPr>
          <w:sz w:val="21"/>
          <w:szCs w:val="21"/>
        </w:rPr>
        <w:t xml:space="preserve">Conclusão: com base nos indicadores calculados, avalie a saúde financeira da TechSul e proponha recomendações para a política de crédito e cobrança.</w:t>
      </w:r>
    </w:p>
    <w:p>
      <w:pPr>
        <w:spacing w:after="60" w:before="160"/>
      </w:pPr>
      <w:r>
        <w:rPr>
          <w:i/>
          <w:iCs/>
          <w:color w:val="4A5568"/>
          <w:sz w:val="20"/>
          <w:szCs w:val="20"/>
        </w:rPr>
        <w:t xml:space="preserve">Respostas / cálculos: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hd w:fill="E9EFE9" w:val="clear"/>
        <w:spacing w:after="120"/>
      </w:pPr>
      <w:r>
        <w:rPr>
          <w:b/>
          <w:bCs/>
          <w:color w:val="3E7A52"/>
          <w:sz w:val="16"/>
          <w:szCs w:val="16"/>
        </w:rPr>
        <w:t xml:space="preserve">ESTUDO DE CASO · CÁLCULO</w:t>
      </w:r>
    </w:p>
    <w:p>
      <w:pPr>
        <w:spacing w:after="120" w:before="200"/>
      </w:pPr>
      <w:r>
        <w:rPr>
          <w:b/>
          <w:bCs/>
          <w:color w:val="1F2A3A"/>
          <w:sz w:val="24"/>
          <w:szCs w:val="24"/>
        </w:rPr>
        <w:t xml:space="preserve">3. Empresa: Nordeste Alimentos e Distribuição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A Nordeste Alimentos e Distribuição opera com vendas a prazo para pequenos varejistas e deseja revisar sua política de crédito e cobrança. Utilize 360 dias como base anual.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Indicadores contábeis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Ativo Circulante (AC): R$ 380.000,00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Passivo Circulante (PC): R$ 260.000,00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Ativo Total (AT): R$ 1.100.000,00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Passivo Total (PT): R$ 660.000,00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Lucro Operacional (LO): R$ 150.000,00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Despesas Financeiras (DF): R$ 45.000,00</w:t>
            </w:r>
          </w:p>
        </w:tc>
      </w:tr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Contas a receber e cobrança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Vendas a Prazo (ano): R$ 900.000,00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Duplicatas a Receber (DR): R$ 225.000,00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Duplicatas Emitidas (DE): R$ 720.000,00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Duplicatas Vencidas (DV): R$ 54.000,00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Créditos Recuperados (CR): R$ 36.000,00</w:t>
            </w:r>
          </w:p>
        </w:tc>
      </w:tr>
      <w:tr>
        <w:tc>
          <w:tcPr>
            <w:tcW w:type="dxa" w:w="2500"/>
            <w:shd w:fill="F5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2A3A"/>
                <w:sz w:val="20"/>
                <w:szCs w:val="20"/>
              </w:rPr>
              <w:t xml:space="preserve">Política de crédito proposta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• Carteira potencial anual: R$ 1.000.000,00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% de aprovação de crédito: 75%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% de inadimplência estimada: 3,5%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Termos de pagamento: 2/10, n/30 (45% pagam com desconto no 10º dia; 55% pagam no 30º dia)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Custo de capital: 16% a.a.</w:t>
            </w:r>
          </w:p>
        </w:tc>
      </w:tr>
    </w:tbl>
    <w:p>
      <w:pPr>
        <w:spacing w:after="100" w:before="200"/>
      </w:pPr>
      <w:r>
        <w:rPr>
          <w:b/>
          <w:bCs/>
          <w:color w:val="6E7C88"/>
          <w:sz w:val="18"/>
          <w:szCs w:val="18"/>
        </w:rPr>
        <w:t xml:space="preserve">TAREFAS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1. </w:t>
      </w:r>
      <w:r>
        <w:rPr>
          <w:sz w:val="21"/>
          <w:szCs w:val="21"/>
        </w:rPr>
        <w:t xml:space="preserve">Calcule o Índice de Liquidez Corrente (ILC). Fórmula: ILC = AC / PC.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2. </w:t>
      </w:r>
      <w:r>
        <w:rPr>
          <w:sz w:val="21"/>
          <w:szCs w:val="21"/>
        </w:rPr>
        <w:t xml:space="preserve">Calcule o Índice de Endividamento Geral (IEG). Fórmula: IEG = PT / AT.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3. </w:t>
      </w:r>
      <w:r>
        <w:rPr>
          <w:sz w:val="21"/>
          <w:szCs w:val="21"/>
        </w:rPr>
        <w:t xml:space="preserve">Calcule o Índice de Cobertura de Juros (ICJ). Fórmula: ICJ = LO / DF.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4. </w:t>
      </w:r>
      <w:r>
        <w:rPr>
          <w:sz w:val="21"/>
          <w:szCs w:val="21"/>
        </w:rPr>
        <w:t xml:space="preserve">Calcule o Prazo Médio de Recebimento (PMR) e o Giro de Contas a Receber (GCR).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5. </w:t>
      </w:r>
      <w:r>
        <w:rPr>
          <w:sz w:val="21"/>
          <w:szCs w:val="21"/>
        </w:rPr>
        <w:t xml:space="preserve">Calcule o Índice de Inadimplência (II) e a Taxa de Recuperação de Créditos (TRC).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6. </w:t>
      </w:r>
      <w:r>
        <w:rPr>
          <w:sz w:val="21"/>
          <w:szCs w:val="21"/>
        </w:rPr>
        <w:t xml:space="preserve">Calcule o Valor do Crédito Concedido (VC) e o Custo do Crédito (CC) com base na política proposta.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7. </w:t>
      </w:r>
      <w:r>
        <w:rPr>
          <w:sz w:val="21"/>
          <w:szCs w:val="21"/>
        </w:rPr>
        <w:t xml:space="preserve">Calcule o PMR ponderado com os novos termos de pagamento e o efeito líquido anual (economia de capital menos custo do desconto).</w:t>
      </w:r>
    </w:p>
    <w:p>
      <w:pPr>
        <w:spacing w:after="100"/>
        <w:ind w:left="300"/>
      </w:pPr>
      <w:r>
        <w:rPr>
          <w:b/>
          <w:bCs/>
          <w:color w:val="B08D3E"/>
          <w:sz w:val="21"/>
          <w:szCs w:val="21"/>
        </w:rPr>
        <w:t xml:space="preserve">8. </w:t>
      </w:r>
      <w:r>
        <w:rPr>
          <w:sz w:val="21"/>
          <w:szCs w:val="21"/>
        </w:rPr>
        <w:t xml:space="preserve">Conclusão: com base nos indicadores calculados, avalie a saúde financeira da Nordeste Alimentos e proponha recomendações para a política de crédito e cobrança.</w:t>
      </w:r>
    </w:p>
    <w:p>
      <w:pPr>
        <w:spacing w:after="60" w:before="160"/>
      </w:pPr>
      <w:r>
        <w:rPr>
          <w:i/>
          <w:iCs/>
          <w:color w:val="4A5568"/>
          <w:sz w:val="20"/>
          <w:szCs w:val="20"/>
        </w:rPr>
        <w:t xml:space="preserve">Respostas / cálculos: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BBBBB" w:sz="3" w:space="2"/>
        </w:pBdr>
        <w:spacing w:after="22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300" w:right="1100" w:bottom="1200" w:left="11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100"/>
      <w:jc w:val="center"/>
    </w:pPr>
    <w:r>
      <w:rPr>
        <w:i/>
        <w:iCs/>
        <w:color w:val="8A8A8A"/>
        <w:sz w:val="14"/>
        <w:szCs w:val="14"/>
      </w:rPr>
      <w:t xml:space="preserve">UC Administração Financeira | Curso Técnico em Administração e/ou Contabilidade – CEDUP Hermann Hering | Prof. Esp. Jorge Lima Cardoso | Material didático adaptado com base nas referências bibliográficas do curso em conformidade com a ementa da disciplina.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center"/>
    </w:pPr>
    <w:r>
      <w:drawing>
        <wp:inline distT="0" distB="0" distL="0" distR="0">
          <wp:extent cx="3714750" cy="5810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14750" cy="581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C9A227" w:sz="6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b939a5305fbf7787fd9523986d2871b20bb468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2026-08-01T01:17:50.597Z</dcterms:created>
  <dcterms:modified xsi:type="dcterms:W3CDTF">2026-08-01T01:17:50.597Z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