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95" w:after="232"/>
        <w:rPr/>
      </w:pPr>
      <w:r>
        <w:rPr/>
        <w:t>2018 Calendar text for translation</w:t>
      </w:r>
    </w:p>
    <w:p>
      <w:pPr>
        <w:pStyle w:val="Heading1"/>
        <w:numPr>
          <w:ilvl w:val="0"/>
          <w:numId w:val="1"/>
        </w:numPr>
        <w:rPr/>
      </w:pPr>
      <w:r>
        <w:rPr/>
        <w:t>Frontmatter, English: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This calendar has been sponsored for free distribution</w:t>
        <w:br/>
        <w:t>by the Kataññutā group of Malaysia, Singapore and Australia.</w:t>
      </w:r>
    </w:p>
    <w:p>
      <w:pPr>
        <w:pStyle w:val="TextBody"/>
        <w:jc w:val="center"/>
        <w:rPr/>
      </w:pP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Anumodanā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to the many friends and supporters who generously make their</w:t>
        <w:br/>
        <w:t>photographs available for use in these Sangha publications.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The monthly Dhamma reflections are adaptations of transcribed and translated teachings</w:t>
        <w:br/>
        <w:t xml:space="preserve">contained in 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The Collected Teachings of Ajahn Chah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, available for download at the links below.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e-book formats: www.fsbooks.org/ajahn-chah-teachings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audiobook format: www.fsaudio.org/ajahn-chah-teachings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LUNAR OBSERVANCE DAYS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These days are regularly devoted to quiet reflection at the monastery.</w:t>
        <w:br/>
        <w:t>The dates for the lunar calendar are determined by traditional methods of calculation</w:t>
        <w:br/>
        <w:t>and are not always on the same day as the astronomical occurrences.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THE MAJOR FULL MOON DAYS FOR 2018 / 2561</w:t>
      </w:r>
    </w:p>
    <w:p>
      <w:pPr>
        <w:pStyle w:val="TextBody"/>
        <w:jc w:val="center"/>
        <w:rPr/>
      </w:pP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Māgha Pūjā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- (`Sangha Day')</w:t>
        <w:br/>
        <w:t>Commemorates the spontaneous gathering of 1250 arahants to whom</w:t>
        <w:br/>
        <w:t>the Buddha gave an exhortation on the basis of the Discipline (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Ovāda Pāṭimokkha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).</w:t>
      </w:r>
    </w:p>
    <w:p>
      <w:pPr>
        <w:pStyle w:val="TextBody"/>
        <w:jc w:val="center"/>
        <w:rPr/>
      </w:pP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Vesākha Pūjā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- (`Buddha Day')</w:t>
        <w:br/>
        <w:t>Commemorates the birth, enlightenment and passing away of the Buddha.</w:t>
      </w:r>
    </w:p>
    <w:p>
      <w:pPr>
        <w:pStyle w:val="TextBody"/>
        <w:jc w:val="center"/>
        <w:rPr/>
      </w:pP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Āsāḷhā Pūjā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- (`Dhamma Day')</w:t>
        <w:br/>
        <w:t xml:space="preserve">Commemorates the Buddha's first discourse, given to the five 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samaṇas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in the Deer Park at</w:t>
        <w:br/>
        <w:t>Sarnath, near Varanasi. The traditional Rainy-Season Retreat (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Vassa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) begins on the next day.</w:t>
      </w:r>
    </w:p>
    <w:p>
      <w:pPr>
        <w:pStyle w:val="TextBody"/>
        <w:jc w:val="center"/>
        <w:rPr/>
      </w:pP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Pavāraṇā Day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This marks the end of the three-month 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Vassa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 xml:space="preserve"> retreat.</w:t>
        <w:br/>
        <w:t>During the following month the extended community of monastery supporters</w:t>
        <w:br/>
        <w:t xml:space="preserve">traditionally offer robe material as part of a 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Kaṭhina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-season alms-giving ceremony.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Calendar production by Aruno Publications: Aruna Ratanagiri Buddhist Monastery, UK</w:t>
      </w:r>
    </w:p>
    <w:p>
      <w:pPr>
        <w:pStyle w:val="TextBody"/>
        <w:jc w:val="center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(c) Aruno Publications 2017</w:t>
      </w:r>
    </w:p>
    <w:p>
      <w:pPr>
        <w:pStyle w:val="Heading2"/>
        <w:numPr>
          <w:ilvl w:val="1"/>
          <w:numId w:val="1"/>
        </w:numPr>
        <w:rPr/>
      </w:pPr>
      <w:r>
        <w:rPr/>
        <w:t>Frontmatter, translation:</w:t>
      </w:r>
    </w:p>
    <w:p>
      <w:pPr>
        <w:pStyle w:val="TextBody"/>
        <w:rPr/>
      </w:pPr>
      <w:r>
        <w:rPr/>
        <w:t>…</w:t>
      </w:r>
    </w:p>
    <w:p>
      <w:pPr>
        <w:pStyle w:val="Heading1"/>
        <w:rPr/>
      </w:pPr>
      <w:r>
        <w:rPr/>
        <w:t>Dedication, English:</w:t>
      </w:r>
    </w:p>
    <w:p>
      <w:pPr>
        <w:pStyle w:val="TextBody"/>
        <w:jc w:val="center"/>
        <w:rPr/>
      </w:pPr>
      <w:r>
        <w:rPr/>
        <w:t>This year's Forest Sangha calendar</w:t>
        <w:br/>
        <w:t>commemorates the centenary of the birth of our teacher,</w:t>
        <w:br/>
        <w:t>Ven. Ajahn Chah. It is dedicated with gratitude and respect</w:t>
        <w:br/>
        <w:t>for the many offerings that he has made to samanas and lay people</w:t>
        <w:br/>
        <w:t>through his teachings and example. Although he passed away in 1992,</w:t>
        <w:br/>
        <w:t>his vigour, resolve, compassion and direct penetration of truth</w:t>
        <w:br/>
        <w:t>remain as our guiding light. It is because of Ajahn Chah’s practical wisdom</w:t>
        <w:br/>
        <w:t>that a world-wide community comprising hundreds of monasteries</w:t>
        <w:br/>
        <w:t>and thousands of lay disciples has grown and continues</w:t>
        <w:br/>
        <w:t>to present the Way of the Buddha.</w:t>
      </w:r>
    </w:p>
    <w:p>
      <w:pPr>
        <w:pStyle w:val="TextBody"/>
        <w:jc w:val="center"/>
        <w:rPr/>
      </w:pPr>
      <w:r>
        <w:rPr/>
        <w:t>As always, this calendar arises through the cooperation of members</w:t>
        <w:br/>
        <w:t>of that community; may it help to remind us to keep the practice</w:t>
        <w:br/>
        <w:t>that he has shown us, well-lived and for the welfare of many.</w:t>
      </w:r>
    </w:p>
    <w:p>
      <w:pPr>
        <w:pStyle w:val="Heading2"/>
        <w:rPr/>
      </w:pPr>
      <w:r>
        <w:rPr/>
        <w:t>Dedication, translation:</w:t>
      </w:r>
    </w:p>
    <w:p>
      <w:pPr>
        <w:pStyle w:val="TextBody"/>
        <w:rPr/>
      </w:pPr>
      <w:r>
        <w:rPr/>
        <w:t>...</w:t>
      </w:r>
      <w:r>
        <w:br w:type="page"/>
      </w:r>
    </w:p>
    <w:p>
      <w:pPr>
        <w:pStyle w:val="Heading1"/>
        <w:rPr/>
      </w:pPr>
      <w:r>
        <w:rPr/>
        <w:t>Quotes: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January</w:t>
      </w:r>
    </w:p>
    <w:p>
      <w:pPr>
        <w:pStyle w:val="TextBody"/>
        <w:jc w:val="righ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A firmly-centered mind (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samādhi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)</w:t>
        <w:br/>
        <w:t>is the blessing that arises</w:t>
        <w:br/>
        <w:t>from living a life of integrity (</w:t>
      </w:r>
      <w:r>
        <w:rPr>
          <w:rFonts w:eastAsia="DejaVu Sans" w:cs="Lohit Hindi"/>
          <w:i/>
          <w:iCs/>
          <w:color w:val="00000A"/>
          <w:sz w:val="24"/>
          <w:szCs w:val="24"/>
          <w:lang w:val="en-GB" w:eastAsia="zh-CN" w:bidi="hi-IN"/>
        </w:rPr>
        <w:t>sīla</w:t>
      </w: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).</w:t>
        <w:br/>
        <w:t>Such a mind is clean and pure.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January,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February</w:t>
      </w:r>
    </w:p>
    <w:p>
      <w:pPr>
        <w:pStyle w:val="TextBody"/>
        <w:jc w:val="righ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A high degree of integrity makes</w:t>
        <w:br/>
        <w:t>mental firmness more sensitive;</w:t>
        <w:br/>
        <w:t>this in turn supports</w:t>
        <w:br/>
        <w:t xml:space="preserve">the maturation of wisdom. 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February,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March</w:t>
      </w:r>
    </w:p>
    <w:p>
      <w:pPr>
        <w:pStyle w:val="TextBody"/>
        <w:jc w:val="lef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This is the path: integrity, a firmly-centred mind and wisdom.</w:t>
        <w:br/>
        <w:t>Then, when wisdom is truly mature,</w:t>
        <w:br/>
        <w:t>your mind has the strength to transcend</w:t>
        <w:br/>
        <w:t>both pain and pleasure.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March,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April</w:t>
      </w:r>
    </w:p>
    <w:p>
      <w:pPr>
        <w:pStyle w:val="TextBody"/>
        <w:jc w:val="lef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If you are mindful while giving teachings to others,</w:t>
        <w:br/>
        <w:t>you will be teaching yourself at the same time.</w:t>
        <w:br/>
        <w:t>Don't think that you are only teaching others.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April,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May</w:t>
      </w:r>
    </w:p>
    <w:p>
      <w:pPr>
        <w:pStyle w:val="TextBody"/>
        <w:jc w:val="right"/>
        <w:rPr/>
      </w:pPr>
      <w:r>
        <w:rPr/>
        <w:t>The way of the forest masters is the way of renunciation. Even though</w:t>
        <w:br/>
        <w:t>it will challenge you to the very core, you should not give up</w:t>
        <w:br/>
        <w:t>this way of training.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May,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June</w:t>
      </w:r>
    </w:p>
    <w:p>
      <w:pPr>
        <w:pStyle w:val="TextBody"/>
        <w:jc w:val="lef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Acceptance, relinquishment, letting go –</w:t>
        <w:br/>
        <w:t>this way of lightness is the right undoing.</w:t>
        <w:br/>
        <w:t>If you cling to anything, there is suffering.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June,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July</w:t>
      </w:r>
    </w:p>
    <w:p>
      <w:pPr>
        <w:pStyle w:val="TextBody"/>
        <w:jc w:val="righ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If our respected elders instruct us</w:t>
        <w:br/>
        <w:t>in what's right or wrong,</w:t>
        <w:br/>
        <w:t>we should follow them with faith and deep respect.</w:t>
        <w:br/>
        <w:t>We follow what they say</w:t>
        <w:br/>
        <w:t>until we see the Dhamma in our own hearts</w:t>
        <w:br/>
        <w:t xml:space="preserve">-- until we are the Dhamma. 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July,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August</w:t>
      </w:r>
    </w:p>
    <w:p>
      <w:pPr>
        <w:pStyle w:val="TextBody"/>
        <w:jc w:val="left"/>
        <w:rPr/>
      </w:pPr>
      <w:r>
        <w:rPr/>
        <w:t>Why do we suffer?</w:t>
        <w:br/>
        <w:t>Because of a lack of understanding.</w:t>
        <w:br/>
        <w:t>Ignorance gives rise to desire, which drives us to create suffering.</w:t>
        <w:br/>
        <w:t>If you put a match to firewood, you're bound to get heated up.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August,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…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September</w:t>
      </w:r>
    </w:p>
    <w:p>
      <w:pPr>
        <w:pStyle w:val="TextBody"/>
        <w:jc w:val="right"/>
        <w:rPr/>
      </w:pPr>
      <w:r>
        <w:rPr/>
        <w:t>In cultivating generosity</w:t>
        <w:br/>
        <w:t>we are cleansing our hearts of selfishness.</w:t>
        <w:br/>
        <w:t>Selfish people experience extreme suffering,</w:t>
        <w:br/>
        <w:t>they don't really care about themselves –</w:t>
        <w:br/>
        <w:t>they don't love themselves.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September,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October</w:t>
      </w:r>
    </w:p>
    <w:p>
      <w:pPr>
        <w:pStyle w:val="TextBody"/>
        <w:jc w:val="left"/>
        <w:rPr/>
      </w:pPr>
      <w:r>
        <w:rPr/>
        <w:t xml:space="preserve">What is </w:t>
      </w:r>
      <w:r>
        <w:rPr>
          <w:i/>
          <w:iCs/>
        </w:rPr>
        <w:t>Nibbāna</w:t>
      </w:r>
      <w:r>
        <w:rPr/>
        <w:t xml:space="preserve"> anyway?</w:t>
        <w:br/>
        <w:t>It means letting go, not becoming anything.</w:t>
        <w:br/>
        <w:t>Generosity, ethics and good-will:</w:t>
        <w:br/>
        <w:t>such practices empty the mind of ‘self’ and ‘other’.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October,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November</w:t>
      </w:r>
    </w:p>
    <w:p>
      <w:pPr>
        <w:pStyle w:val="TextBody"/>
        <w:jc w:val="right"/>
        <w:rPr/>
      </w:pPr>
      <w:r>
        <w:rPr/>
        <w:t>The place where delusion arises</w:t>
        <w:br/>
        <w:t>is also the place for Awakening.</w:t>
        <w:br/>
        <w:t>There, when heat arises,</w:t>
        <w:br/>
        <w:t>the coolness disappears;</w:t>
        <w:br/>
        <w:t>but when there is coolness,</w:t>
        <w:br/>
        <w:t>there is no more heat.</w:t>
        <w:br/>
        <w:t>Full Awakening is just</w:t>
        <w:br/>
        <w:t>this extinguishing.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November, translation</w:t>
      </w:r>
    </w:p>
    <w:p>
      <w:pPr>
        <w:pStyle w:val="TextBody"/>
        <w:jc w:val="center"/>
        <w:rPr>
          <w:rFonts w:ascii="Times New Roman" w:hAnsi="Times New Roman" w:eastAsia="DejaVu Sans" w:cs="Lohit Hindi"/>
          <w:color w:val="00000A"/>
          <w:sz w:val="24"/>
          <w:szCs w:val="24"/>
          <w:lang w:val="en-GB" w:eastAsia="zh-CN" w:bidi="hi-IN"/>
        </w:rPr>
      </w:pPr>
      <w:r>
        <w:rPr/>
        <w:t>...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December</w:t>
      </w:r>
    </w:p>
    <w:p>
      <w:pPr>
        <w:pStyle w:val="TextBody"/>
        <w:jc w:val="righ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Have you seen happiness and suffering</w:t>
        <w:br/>
        <w:t>arising in the trees or in the rivers?</w:t>
        <w:br/>
        <w:t>Happiness and suffering arise in our</w:t>
        <w:br/>
        <w:t>bodies and minds. If you want to know</w:t>
        <w:br/>
        <w:t>the Dhamma, you must look into these.</w:t>
        <w:br/>
        <w:t>You won't find Dhamma looking elsewhere.</w:t>
      </w:r>
    </w:p>
    <w:p>
      <w:pPr>
        <w:pStyle w:val="Heading3"/>
        <w:numPr>
          <w:ilvl w:val="2"/>
          <w:numId w:val="1"/>
        </w:numPr>
        <w:rPr>
          <w:rFonts w:ascii="Arial" w:hAnsi="Arial" w:eastAsia="DejaVu Sans" w:cs="Lohit Hindi"/>
          <w:b/>
          <w:b/>
          <w:bCs/>
          <w:color w:val="00000A"/>
          <w:sz w:val="28"/>
          <w:szCs w:val="28"/>
          <w:lang w:val="en-GB" w:eastAsia="zh-CN" w:bidi="hi-IN"/>
        </w:rPr>
      </w:pPr>
      <w:r>
        <w:rPr/>
        <w:t>December, translation</w:t>
      </w:r>
    </w:p>
    <w:p>
      <w:pPr>
        <w:pStyle w:val="TextBody"/>
        <w:spacing w:before="0" w:after="289"/>
        <w:jc w:val="center"/>
        <w:rPr/>
      </w:pPr>
      <w:r>
        <w:rPr/>
        <w:t>…</w:t>
      </w:r>
    </w:p>
    <w:p>
      <w:pPr>
        <w:pStyle w:val="Heading1"/>
        <w:rPr/>
      </w:pPr>
      <w:r>
        <w:rPr/>
        <w:t>Captions:</w:t>
      </w:r>
    </w:p>
    <w:tbl>
      <w:tblPr>
        <w:tblW w:w="938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70"/>
        <w:gridCol w:w="7917"/>
      </w:tblGrid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January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70"/>
              <w:jc w:val="left"/>
              <w:rPr/>
            </w:pPr>
            <w:r>
              <w:rPr>
                <w:rFonts w:eastAsia="DejaVu Sans" w:cs="Lohit Hindi"/>
                <w:color w:val="00000A"/>
                <w:sz w:val="24"/>
                <w:szCs w:val="24"/>
                <w:lang w:val="en-GB" w:eastAsia="zh-CN" w:bidi="hi-IN"/>
              </w:rPr>
              <w:t>Vimutti Monastery, Nr. Auckland, NZ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spacing w:before="0" w:after="17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February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Khao Laem National Park, Thailand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March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Pacific Hermitage, USA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April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Meal offering, Piang Luang Sam primary school, Thailand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May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i/>
                <w:iCs/>
              </w:rPr>
              <w:t>Sīladhāra</w:t>
            </w:r>
            <w:r>
              <w:rPr/>
              <w:t xml:space="preserve"> ordination, Amaravati Monastery, Hertfordshire, UK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June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Wat Tam Saeng Phet, Thailand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July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Luang Por Liem visiting Temple Monastery, New Hampshire, USA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August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Bee Khee river, Kanchanaburi, Thailand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September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Ajahn Vimalo building, Amaravati Monasteri, Hertfordshire, UK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October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Aruna Ratanagiri Dhamma Hall, Northumberland, UK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November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Ajahn Chandapālo, Santaloka Hermitage, Italy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>
                <w:b/>
                <w:bCs/>
              </w:rPr>
              <w:t>December</w:t>
            </w:r>
          </w:p>
        </w:tc>
        <w:tc>
          <w:tcPr>
            <w:tcW w:w="7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  <w:t>Ti Rai Pah village, Tung Yai Naresuan wildlife sanctuary, Thailand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7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</w:tr>
    </w:tbl>
    <w:p>
      <w:pPr>
        <w:pStyle w:val="TextBody"/>
        <w:jc w:val="left"/>
        <w:rPr>
          <w:rFonts w:eastAsia="DejaVu Sans" w:cs="Lohit Hindi"/>
          <w:color w:val="00000A"/>
          <w:sz w:val="24"/>
          <w:szCs w:val="24"/>
          <w:lang w:val="en-GB" w:eastAsia="zh-CN" w:bidi="hi-IN"/>
        </w:rPr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Misc </w:t>
      </w:r>
      <w:r>
        <w:rPr/>
        <w:t>text</w:t>
      </w:r>
      <w:r>
        <w:rPr/>
        <w:t>:</w:t>
      </w:r>
    </w:p>
    <w:tbl>
      <w:tblPr>
        <w:tblW w:w="93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94"/>
        <w:gridCol w:w="4694"/>
      </w:tblGrid>
      <w:tr>
        <w:trPr/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Forest Sangha Calendar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days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First Day of Vassa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 Day of Vassa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Ajahn Chah Memorial Day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Ajahn Chah's Birthday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Thai New Year, Songkran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Branch Monasteries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Western disciples of Ajahn Chah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portal page for this community worldwide is: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jc w:val="left"/>
        <w:rPr>
          <w:rFonts w:eastAsia="DejaVu Sans" w:cs="Lohit Hindi"/>
          <w:color w:val="00000A"/>
          <w:sz w:val="24"/>
          <w:szCs w:val="24"/>
          <w:lang w:val="en-GB" w:eastAsia="zh-CN" w:bidi="hi-IN"/>
        </w:rPr>
      </w:pPr>
      <w:r>
        <w:rPr/>
      </w:r>
    </w:p>
    <w:p>
      <w:pPr>
        <w:pStyle w:val="TextBody"/>
        <w:jc w:val="left"/>
        <w:rPr/>
      </w:pPr>
      <w:r>
        <w:rPr>
          <w:rFonts w:eastAsia="DejaVu Sans" w:cs="Lohit Hindi"/>
          <w:color w:val="00000A"/>
          <w:sz w:val="24"/>
          <w:szCs w:val="24"/>
          <w:lang w:val="en-GB" w:eastAsia="zh-CN" w:bidi="hi-IN"/>
        </w:rPr>
        <w:t>Country names:</w:t>
      </w:r>
    </w:p>
    <w:tbl>
      <w:tblPr>
        <w:tblW w:w="938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94"/>
        <w:gridCol w:w="4694"/>
      </w:tblGrid>
      <w:tr>
        <w:trPr/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United Kingdom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Switzerland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Thailand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Australia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New Zealand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United States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Italy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Canada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spacing w:before="238" w:after="232"/>
        <w:rPr/>
      </w:pPr>
      <w:r>
        <w:rPr/>
      </w:r>
    </w:p>
    <w:sectPr>
      <w:type w:val="nextPage"/>
      <w:pgSz w:w="11906" w:h="16838"/>
      <w:pgMar w:left="1259" w:right="1259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95" w:after="232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Heading"/>
    <w:qFormat/>
    <w:pPr>
      <w:spacing w:before="238" w:after="232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spacing w:before="238" w:after="232"/>
      <w:jc w:val="center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Times New Roman" w:hAnsi="Times New Roman" w:cs="Symbol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289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irstparagraph">
    <w:name w:val="First paragraph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2612</TotalTime>
  <Application>LibreOffice/5.1.4.2$Linux_X86_64 LibreOffice_project/10m0$Build-2</Application>
  <Pages>7</Pages>
  <Words>912</Words>
  <Characters>5035</Characters>
  <CharactersWithSpaces>5833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2013-10-10T19:47:11Z</dcterms:created>
  <dc:creator/>
  <dc:description/>
  <dc:language>en-GB</dc:language>
  <cp:lastModifiedBy/>
  <dcterms:modified xsi:type="dcterms:W3CDTF">2016-12-06T17:17:41Z</dcterms:modified>
  <cp:revision>14</cp:revision>
  <dc:subject/>
  <dc:title/>
</cp:coreProperties>
</file>