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60"/>
        <w:jc w:val="center"/>
      </w:pPr>
      <w:r>
        <w:rPr>
          <w:rFonts w:ascii="Arial" w:cs="Arial" w:eastAsia="Arial" w:hAnsi="Arial"/>
          <w:b/>
          <w:bCs/>
          <w:color w:val="2C4770"/>
          <w:sz w:val="36"/>
          <w:szCs w:val="36"/>
        </w:rPr>
        <w:t xml:space="preserve">Social Resonance Model (SRM) — Addendum</w:t>
      </w:r>
    </w:p>
    <w:p>
      <w:pPr>
        <w:spacing w:after="80" w:before="0"/>
        <w:jc w:val="center"/>
      </w:pPr>
      <w:r>
        <w:rPr>
          <w:rFonts w:ascii="Arial" w:cs="Arial" w:eastAsia="Arial" w:hAnsi="Arial"/>
          <w:b/>
          <w:bCs/>
          <w:color w:val="2C4770"/>
          <w:sz w:val="28"/>
          <w:szCs w:val="28"/>
        </w:rPr>
        <w:t xml:space="preserve">Section 10: Operationalizing Semantic Drift (D)</w:t>
      </w:r>
    </w:p>
    <w:p>
      <w:pPr>
        <w:spacing w:after="40" w:before="40"/>
        <w:jc w:val="center"/>
      </w:pPr>
      <w:r>
        <w:rPr>
          <w:rFonts w:ascii="Arial" w:cs="Arial" w:eastAsia="Arial" w:hAnsi="Arial"/>
          <w:i/>
          <w:iCs/>
          <w:color w:val="555555"/>
          <w:sz w:val="20"/>
          <w:szCs w:val="20"/>
        </w:rPr>
        <w:t xml:space="preserve">Serban Gabriel Florin — March 2026</w:t>
      </w:r>
    </w:p>
    <w:p>
      <w:pPr>
        <w:spacing w:after="200" w:before="0"/>
        <w:jc w:val="center"/>
      </w:pPr>
      <w:r>
        <w:rPr>
          <w:rFonts w:ascii="Arial" w:cs="Arial" w:eastAsia="Arial" w:hAnsi="Arial"/>
          <w:color w:val="2C4770"/>
          <w:sz w:val="18"/>
          <w:szCs w:val="18"/>
        </w:rPr>
        <w:t xml:space="preserve">Integrates into: SRM Research Trajectory (DOI: 10.17605/OSF.IO/HYDNZ)</w:t>
      </w:r>
    </w:p>
    <w:p>
      <w:pPr>
        <w:pBdr>
          <w:bottom w:val="single" w:color="2C4770" w:sz="8" w:space="1"/>
        </w:pBdr>
        <w:spacing w:after="240" w:before="0"/>
      </w:pPr>
      <w:r>
        <w:t xml:space="preserve"/>
      </w:r>
    </w:p>
    <w:p>
      <w:pPr>
        <w:pStyle w:val="Heading1"/>
      </w:pPr>
      <w:r>
        <w:rPr>
          <w:rFonts w:ascii="Arial" w:cs="Arial" w:eastAsia="Arial" w:hAnsi="Arial"/>
        </w:rPr>
        <w:t xml:space="preserve">10. Operationalizing Semantic Drift (D): A Transparent Pipeline</w:t>
      </w:r>
    </w:p>
    <w:p>
      <w:pPr>
        <w:spacing w:after="100" w:before="80"/>
        <w:jc w:val="both"/>
      </w:pPr>
      <w:r>
        <w:rPr>
          <w:rFonts w:ascii="Arial" w:cs="Arial" w:eastAsia="Arial" w:hAnsi="Arial"/>
          <w:sz w:val="22"/>
          <w:szCs w:val="22"/>
        </w:rPr>
        <w:t xml:space="preserve">Note: </w:t>
      </w:r>
      <w:r>
        <w:rPr>
          <w:rFonts w:ascii="Arial" w:cs="Arial" w:eastAsia="Arial" w:hAnsi="Arial"/>
          <w:i/>
          <w:iCs/>
          <w:sz w:val="22"/>
          <w:szCs w:val="22"/>
        </w:rPr>
        <w:t xml:space="preserve">This section addresses a methodological concern raised during peer review of the SRM framework: that Semantic Drift (D), the most influential variable due to its exponential position in the formula, lacked a formally documented computation method. The full treatment is available as a companion preprint (</w:t>
      </w:r>
      <w:r>
        <w:rPr>
          <w:rFonts w:ascii="Arial" w:cs="Arial" w:eastAsia="Arial" w:hAnsi="Arial"/>
          <w:b/>
          <w:bCs/>
          <w:i/>
          <w:iCs/>
          <w:sz w:val="22"/>
          <w:szCs w:val="22"/>
        </w:rPr>
        <w:t xml:space="preserve">Operationalizing Semantic Drift (D) in the Social Resonance Model</w:t>
      </w:r>
      <w:r>
        <w:rPr>
          <w:rFonts w:ascii="Arial" w:cs="Arial" w:eastAsia="Arial" w:hAnsi="Arial"/>
          <w:i/>
          <w:iCs/>
          <w:sz w:val="22"/>
          <w:szCs w:val="22"/>
        </w:rPr>
        <w:t xml:space="preserve">). This section provides the essential formalization for integration into the main research trajectory.</w:t>
      </w:r>
    </w:p>
    <w:p>
      <w:pPr>
        <w:pStyle w:val="Heading2"/>
      </w:pPr>
      <w:r>
        <w:rPr>
          <w:rFonts w:ascii="Arial" w:cs="Arial" w:eastAsia="Arial" w:hAnsi="Arial"/>
        </w:rPr>
        <w:t xml:space="preserve">10.1 Why D Dominates: Mathematical Sensitivity</w:t>
      </w:r>
    </w:p>
    <w:p>
      <w:pPr>
        <w:spacing w:after="100" w:before="80"/>
        <w:jc w:val="both"/>
      </w:pPr>
      <w:r>
        <w:rPr>
          <w:rFonts w:ascii="Arial" w:cs="Arial" w:eastAsia="Arial" w:hAnsi="Arial"/>
          <w:sz w:val="22"/>
          <w:szCs w:val="22"/>
        </w:rPr>
        <w:t xml:space="preserve">The partial derivative of SRM with respect to D is:</w:t>
      </w:r>
    </w:p>
    <w:p>
      <w:pPr>
        <w:spacing w:after="140" w:before="140"/>
        <w:jc w:val="center"/>
      </w:pPr>
      <w:r>
        <w:rPr>
          <w:rFonts w:ascii="Arial" w:cs="Arial" w:eastAsia="Arial" w:hAnsi="Arial"/>
          <w:b/>
          <w:bCs/>
          <w:color w:val="2C4770"/>
          <w:sz w:val="26"/>
          <w:szCs w:val="26"/>
        </w:rPr>
        <w:t xml:space="preserve">∂(SRM)/∂D = −λ · SRM</w:t>
      </w:r>
    </w:p>
    <w:p>
      <w:pPr>
        <w:spacing w:after="100" w:before="80"/>
        <w:jc w:val="both"/>
      </w:pPr>
      <w:r>
        <w:rPr>
          <w:rFonts w:ascii="Arial" w:cs="Arial" w:eastAsia="Arial" w:hAnsi="Arial"/>
          <w:sz w:val="22"/>
          <w:szCs w:val="22"/>
        </w:rPr>
        <w:t xml:space="preserve">At λ=7 (the recommended default), D has seven times the elasticity of V, A, or N. At λ=65 (Georgescu), a measurement error of ±0.05 in D produces an SRM interval spanning ±132% of the point estimate. This establishes D precision as the primary validity concern for the framework.</w:t>
      </w:r>
    </w:p>
    <w:p>
      <w:pPr>
        <w:spacing w:after="60" w:before="60"/>
      </w:pPr>
      <w:r>
        <w:t xml:space="preserve"/>
      </w:r>
    </w:p>
    <w:p>
      <w:pPr>
        <w:spacing w:after="40" w:before="60"/>
      </w:pPr>
      <w:r>
        <w:rPr>
          <w:rFonts w:ascii="Arial" w:cs="Arial" w:eastAsia="Arial" w:hAnsi="Arial"/>
          <w:b/>
          <w:bCs/>
          <w:sz w:val="20"/>
          <w:szCs w:val="20"/>
        </w:rPr>
        <w:t xml:space="preserve">Table 3. SRM sensitivity to D measurement error (ε=0.05).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rPr>
          <w:tblHeader/>
        </w:trPr>
        <w:tc>
          <w:tcPr>
            <w:tcW w:type="dxa" w:w="16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9"/>
                <w:szCs w:val="19"/>
              </w:rPr>
              <w:t xml:space="preserve">λ</w:t>
            </w:r>
          </w:p>
        </w:tc>
        <w:tc>
          <w:tcPr>
            <w:tcW w:type="dxa" w:w="16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9"/>
                <w:szCs w:val="19"/>
              </w:rPr>
              <w:t xml:space="preserve">D value</w:t>
            </w:r>
          </w:p>
        </w:tc>
        <w:tc>
          <w:tcPr>
            <w:tcW w:type="dxa" w:w="16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9"/>
                <w:szCs w:val="19"/>
              </w:rPr>
              <w:t xml:space="preserve">SRM (D−0.05)</w:t>
            </w:r>
          </w:p>
        </w:tc>
        <w:tc>
          <w:tcPr>
            <w:tcW w:type="dxa" w:w="16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9"/>
                <w:szCs w:val="19"/>
              </w:rPr>
              <w:t xml:space="preserve">SRM (D)</w:t>
            </w:r>
          </w:p>
        </w:tc>
        <w:tc>
          <w:tcPr>
            <w:tcW w:type="dxa" w:w="160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9"/>
                <w:szCs w:val="19"/>
              </w:rPr>
              <w:t xml:space="preserve">SRM (D+0.05)</w:t>
            </w:r>
          </w:p>
        </w:tc>
        <w:tc>
          <w:tcPr>
            <w:tcW w:type="dxa" w:w="1360"/>
            <w:tcBorders>
              <w:top w:val="single" w:color="AAAAAA" w:sz="1"/>
              <w:left w:val="single" w:color="AAAAAA" w:sz="1"/>
              <w:bottom w:val="single" w:color="AAAAAA" w:sz="1"/>
              <w:right w:val="single" w:color="AAAAAA" w:sz="1"/>
            </w:tcBorders>
            <w:shd w:fill="2C4770" w:val="clear"/>
            <w:tcMar>
              <w:top w:type="dxa" w:w="80"/>
              <w:left w:type="dxa" w:w="120"/>
              <w:bottom w:type="dxa" w:w="80"/>
              <w:right w:type="dxa" w:w="120"/>
            </w:tcMar>
          </w:tcPr>
          <w:p>
            <w:r>
              <w:rPr>
                <w:rFonts w:ascii="Arial" w:cs="Arial" w:eastAsia="Arial" w:hAnsi="Arial"/>
                <w:b/>
                <w:bCs/>
                <w:color w:val="FFFFFF"/>
                <w:sz w:val="19"/>
                <w:szCs w:val="19"/>
              </w:rPr>
              <w:t xml:space="preserve">Interval</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0.74 (Trump)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0.0978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0.0922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0.0869</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±6%</w:t>
            </w:r>
          </w:p>
        </w:tc>
      </w:tr>
      <w:tr>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7</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0.84 (Ciolacu)</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0.0487</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0.0365</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0.0274</w:t>
            </w:r>
          </w:p>
        </w:tc>
        <w:tc>
          <w:tcPr>
            <w:tcW w:type="dxa" w:w="13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±29%</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16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0.72 (Chávez)</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0.0162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0.0121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0.0090</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±30%</w:t>
            </w:r>
          </w:p>
        </w:tc>
      </w:tr>
      <w:tr>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65</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0.88 (Georgescu)</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0.0714</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0.0307</w:t>
            </w:r>
          </w:p>
        </w:tc>
        <w:tc>
          <w:tcPr>
            <w:tcW w:type="dxa" w:w="160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0.0132</w:t>
            </w:r>
          </w:p>
        </w:tc>
        <w:tc>
          <w:tcPr>
            <w:tcW w:type="dxa" w:w="1360"/>
            <w:tcBorders>
              <w:top w:val="single" w:color="AAAAAA" w:sz="1"/>
              <w:left w:val="single" w:color="AAAAAA" w:sz="1"/>
              <w:bottom w:val="single" w:color="AAAAAA" w:sz="1"/>
              <w:right w:val="single" w:color="AAAAAA" w:sz="1"/>
            </w:tcBorders>
            <w:shd w:fill="EDF2F8" w:val="clear"/>
            <w:tcMar>
              <w:top w:type="dxa" w:w="80"/>
              <w:left w:type="dxa" w:w="120"/>
              <w:bottom w:type="dxa" w:w="80"/>
              <w:right w:type="dxa" w:w="120"/>
            </w:tcMar>
          </w:tcPr>
          <w:p>
            <w:r>
              <w:rPr>
                <w:rFonts w:ascii="Arial" w:cs="Arial" w:eastAsia="Arial" w:hAnsi="Arial"/>
                <w:sz w:val="19"/>
                <w:szCs w:val="19"/>
              </w:rPr>
              <w:t xml:space="preserve">±132%</w:t>
            </w:r>
          </w:p>
        </w:tc>
      </w:tr>
    </w:tbl>
    <w:p>
      <w:pPr>
        <w:spacing w:after="60" w:before="60"/>
      </w:pPr>
      <w:r>
        <w:t xml:space="preserve"/>
      </w:r>
    </w:p>
    <w:p>
      <w:pPr>
        <w:pStyle w:val="Heading2"/>
      </w:pPr>
      <w:r>
        <w:rPr>
          <w:rFonts w:ascii="Arial" w:cs="Arial" w:eastAsia="Arial" w:hAnsi="Arial"/>
        </w:rPr>
        <w:t xml:space="preserve">10.2 Conceptual Decomposition: PE and ICI</w:t>
      </w:r>
    </w:p>
    <w:p>
      <w:pPr>
        <w:spacing w:after="100" w:before="80"/>
        <w:jc w:val="both"/>
      </w:pPr>
      <w:r>
        <w:rPr>
          <w:rFonts w:ascii="Arial" w:cs="Arial" w:eastAsia="Arial" w:hAnsi="Arial"/>
          <w:sz w:val="22"/>
          <w:szCs w:val="22"/>
        </w:rPr>
        <w:t xml:space="preserve">Semantic Drift conflates two distinct phenomena that require separate operationalization:</w:t>
      </w:r>
    </w:p>
    <w:p>
      <w:pPr>
        <w:spacing w:after="60" w:before="60"/>
      </w:pPr>
      <w:r>
        <w:t xml:space="preserve"/>
      </w:r>
    </w:p>
    <w:p>
      <w:pPr>
        <w:pStyle w:val="ListParagraph"/>
        <w:numPr>
          <w:ilvl w:val="0"/>
          <w:numId w:val="2"/>
        </w:numPr>
        <w:spacing w:after="50" w:before="50"/>
      </w:pPr>
      <w:r>
        <w:rPr>
          <w:rFonts w:ascii="Arial" w:cs="Arial" w:eastAsia="Arial" w:hAnsi="Arial"/>
          <w:sz w:val="22"/>
          <w:szCs w:val="22"/>
        </w:rPr>
        <w:t xml:space="preserve">Polysemy Entropy (PE): topical breadth — the degree to which a symbol appears across semantically heterogeneous domains. Measured via Jensen-Shannon Divergence on LDA topic distributions. PE is a property of the symbol's diffusion pattern.</w:t>
      </w:r>
    </w:p>
    <w:p>
      <w:pPr>
        <w:pStyle w:val="ListParagraph"/>
        <w:numPr>
          <w:ilvl w:val="0"/>
          <w:numId w:val="2"/>
        </w:numPr>
        <w:spacing w:after="50" w:before="50"/>
      </w:pPr>
      <w:r>
        <w:rPr>
          <w:rFonts w:ascii="Arial" w:cs="Arial" w:eastAsia="Arial" w:hAnsi="Arial"/>
          <w:sz w:val="22"/>
          <w:szCs w:val="22"/>
        </w:rPr>
        <w:t xml:space="preserve">Intra-contextual Incoherence (ICI): framing divergence — the degree to which outlets frame the same symbol in mutually incompatible ways. Measured via mean pairwise cosine distance on sentence embeddings. ICI is a property of the media ecosystem's response to the symbol.</w:t>
      </w:r>
    </w:p>
    <w:p>
      <w:pPr>
        <w:spacing w:after="60" w:before="60"/>
      </w:pPr>
      <w:r>
        <w:t xml:space="preserve"/>
      </w:r>
    </w:p>
    <w:p>
      <w:pPr>
        <w:shd w:fill="EDF2F8" w:val="clear"/>
        <w:spacing w:after="60" w:before="120"/>
        <w:ind w:left="360" w:right="360"/>
      </w:pPr>
      <w:r>
        <w:rPr>
          <w:rFonts w:ascii="Arial" w:cs="Arial" w:eastAsia="Arial" w:hAnsi="Arial"/>
          <w:i/>
          <w:iCs/>
          <w:color w:val="444444"/>
          <w:sz w:val="20"/>
          <w:szCs w:val="20"/>
        </w:rPr>
        <w:t xml:space="preserve">PE and ICI are sociologically distinct: a symbol can have high PE (discussed across many domains) with low ICI (consistent framing across all), or low PE (concentrated in one domain) with high ICI (violently contested framing within that domain). Georgescu's D=0.881 is primarily ICI-driven; Orbán's D=0.798 is primarily PE-driven. The current SRM formula cannot distinguish these mechanisms — the decomposition restores that discriminative capacity.</w:t>
      </w:r>
    </w:p>
    <w:p>
      <w:pPr>
        <w:spacing w:after="60" w:before="60"/>
      </w:pPr>
      <w:r>
        <w:t xml:space="preserve"/>
      </w:r>
    </w:p>
    <w:p>
      <w:pPr>
        <w:pStyle w:val="Heading2"/>
      </w:pPr>
      <w:r>
        <w:rPr>
          <w:rFonts w:ascii="Arial" w:cs="Arial" w:eastAsia="Arial" w:hAnsi="Arial"/>
        </w:rPr>
        <w:t xml:space="preserve">10.3 Formal Definitions</w:t>
      </w:r>
    </w:p>
    <w:p>
      <w:pPr>
        <w:spacing w:after="100" w:before="80"/>
        <w:jc w:val="both"/>
      </w:pPr>
      <w:r>
        <w:rPr>
          <w:rFonts w:ascii="Arial" w:cs="Arial" w:eastAsia="Arial" w:hAnsi="Arial"/>
          <w:sz w:val="22"/>
          <w:szCs w:val="22"/>
        </w:rPr>
        <w:t xml:space="preserve">Polysemy Entropy: </w:t>
      </w:r>
    </w:p>
    <w:p>
      <w:pPr>
        <w:spacing w:after="140" w:before="140"/>
        <w:jc w:val="center"/>
      </w:pPr>
      <w:r>
        <w:rPr>
          <w:rFonts w:ascii="Arial" w:cs="Arial" w:eastAsia="Arial" w:hAnsi="Arial"/>
          <w:b/>
          <w:bCs/>
          <w:color w:val="2C4770"/>
          <w:sz w:val="26"/>
          <w:szCs w:val="26"/>
        </w:rPr>
        <w:t xml:space="preserve">PE = (1/n) Σᵢ JSD(θᵢ || θ̄)</w:t>
      </w:r>
    </w:p>
    <w:p>
      <w:pPr>
        <w:spacing w:after="100" w:before="80"/>
        <w:jc w:val="both"/>
      </w:pPr>
      <w:r>
        <w:rPr>
          <w:rFonts w:ascii="Arial" w:cs="Arial" w:eastAsia="Arial" w:hAnsi="Arial"/>
          <w:sz w:val="22"/>
          <w:szCs w:val="22"/>
        </w:rPr>
        <w:t xml:space="preserve">where θᵢ is the LDA topic distribution of article i, θ̄ is the corpus centroid, and JSD is the Jensen-Shannon Divergence in base 2 (bounded in [0,1]).</w:t>
      </w:r>
    </w:p>
    <w:p>
      <w:pPr>
        <w:spacing w:after="60" w:before="60"/>
      </w:pPr>
      <w:r>
        <w:t xml:space="preserve"/>
      </w:r>
    </w:p>
    <w:p>
      <w:pPr>
        <w:spacing w:after="100" w:before="80"/>
        <w:jc w:val="both"/>
      </w:pPr>
      <w:r>
        <w:rPr>
          <w:rFonts w:ascii="Arial" w:cs="Arial" w:eastAsia="Arial" w:hAnsi="Arial"/>
          <w:sz w:val="22"/>
          <w:szCs w:val="22"/>
        </w:rPr>
        <w:t xml:space="preserve">Intra-contextual Incoherence: </w:t>
      </w:r>
    </w:p>
    <w:p>
      <w:pPr>
        <w:spacing w:after="140" w:before="140"/>
        <w:jc w:val="center"/>
      </w:pPr>
      <w:r>
        <w:rPr>
          <w:rFonts w:ascii="Arial" w:cs="Arial" w:eastAsia="Arial" w:hAnsi="Arial"/>
          <w:b/>
          <w:bCs/>
          <w:color w:val="2C4770"/>
          <w:sz w:val="26"/>
          <w:szCs w:val="26"/>
        </w:rPr>
        <w:t xml:space="preserve">ICI = 1 − (1/n²) Σᵢ Σⱼ cos(eᵢ, eⱼ)</w:t>
      </w:r>
    </w:p>
    <w:p>
      <w:pPr>
        <w:spacing w:after="100" w:before="80"/>
        <w:jc w:val="both"/>
      </w:pPr>
      <w:r>
        <w:rPr>
          <w:rFonts w:ascii="Arial" w:cs="Arial" w:eastAsia="Arial" w:hAnsi="Arial"/>
          <w:sz w:val="22"/>
          <w:szCs w:val="22"/>
        </w:rPr>
        <w:t xml:space="preserve">where eᵢ are L2-normalized sentence embeddings of article titles, computed via paraphrase-multilingual-MiniLM-L12-v2 (covers all corpus languages in the current dataset).</w:t>
      </w:r>
    </w:p>
    <w:p>
      <w:pPr>
        <w:spacing w:after="60" w:before="60"/>
      </w:pPr>
      <w:r>
        <w:t xml:space="preserve"/>
      </w:r>
    </w:p>
    <w:p>
      <w:pPr>
        <w:spacing w:after="100" w:before="80"/>
        <w:jc w:val="both"/>
      </w:pPr>
      <w:r>
        <w:rPr>
          <w:rFonts w:ascii="Arial" w:cs="Arial" w:eastAsia="Arial" w:hAnsi="Arial"/>
          <w:sz w:val="22"/>
          <w:szCs w:val="22"/>
        </w:rPr>
        <w:t xml:space="preserve">Composite D: </w:t>
      </w:r>
    </w:p>
    <w:p>
      <w:pPr>
        <w:spacing w:after="140" w:before="140"/>
        <w:jc w:val="center"/>
      </w:pPr>
      <w:r>
        <w:rPr>
          <w:rFonts w:ascii="Arial" w:cs="Arial" w:eastAsia="Arial" w:hAnsi="Arial"/>
          <w:b/>
          <w:bCs/>
          <w:color w:val="2C4770"/>
          <w:sz w:val="26"/>
          <w:szCs w:val="26"/>
        </w:rPr>
        <w:t xml:space="preserve">D = 0.5·PE + 0.5·ICI</w:t>
      </w:r>
    </w:p>
    <w:p>
      <w:pPr>
        <w:spacing w:after="100" w:before="80"/>
        <w:jc w:val="both"/>
      </w:pPr>
      <w:r>
        <w:rPr>
          <w:rFonts w:ascii="Arial" w:cs="Arial" w:eastAsia="Arial" w:hAnsi="Arial"/>
          <w:sz w:val="22"/>
          <w:szCs w:val="22"/>
        </w:rPr>
        <w:t xml:space="preserve">The equal weighting (α=0.5) is the neutral prior pending empirical calibration across the twelve validated cases. Future work will optimize α per typological category.</w:t>
      </w:r>
    </w:p>
    <w:p>
      <w:pPr>
        <w:pStyle w:val="Heading2"/>
      </w:pPr>
      <w:r>
        <w:rPr>
          <w:rFonts w:ascii="Arial" w:cs="Arial" w:eastAsia="Arial" w:hAnsi="Arial"/>
        </w:rPr>
        <w:t xml:space="preserve">10.4 SRM Confidence Intervals</w:t>
      </w:r>
    </w:p>
    <w:p>
      <w:pPr>
        <w:spacing w:after="100" w:before="80"/>
        <w:jc w:val="both"/>
      </w:pPr>
      <w:r>
        <w:rPr>
          <w:rFonts w:ascii="Arial" w:cs="Arial" w:eastAsia="Arial" w:hAnsi="Arial"/>
          <w:sz w:val="22"/>
          <w:szCs w:val="22"/>
        </w:rPr>
        <w:t xml:space="preserve">Given the sensitivity analysis above, SRM scores should henceforth be reported as intervals:</w:t>
      </w:r>
    </w:p>
    <w:p>
      <w:pPr>
        <w:spacing w:after="140" w:before="140"/>
        <w:jc w:val="center"/>
      </w:pPr>
      <w:r>
        <w:rPr>
          <w:rFonts w:ascii="Arial" w:cs="Arial" w:eastAsia="Arial" w:hAnsi="Arial"/>
          <w:b/>
          <w:bCs/>
          <w:color w:val="2C4770"/>
          <w:sz w:val="26"/>
          <w:szCs w:val="26"/>
        </w:rPr>
        <w:t xml:space="preserve">SRM_interval = [V·A·e⁻λ⁽D⁺ᵋ⁾·N ,  V·A·e⁻λ⁽D⁻ᵋ⁾·N]</w:t>
      </w:r>
    </w:p>
    <w:p>
      <w:pPr>
        <w:spacing w:after="100" w:before="80"/>
        <w:jc w:val="both"/>
      </w:pPr>
      <w:r>
        <w:rPr>
          <w:rFonts w:ascii="Arial" w:cs="Arial" w:eastAsia="Arial" w:hAnsi="Arial"/>
          <w:sz w:val="22"/>
          <w:szCs w:val="22"/>
        </w:rPr>
        <w:t xml:space="preserve">where ε = D_std (bootstrap standard deviation from compute_D.py). For Flash Viral cases (λ&gt;30), the interval width formally confirms that only the λ value and the qualitative typological classification carry reliable diagnostic information; the SRM point estimate should be treated as an order-of-magnitude indicator.</w:t>
      </w:r>
    </w:p>
    <w:p>
      <w:pPr>
        <w:pStyle w:val="Heading2"/>
      </w:pPr>
      <w:r>
        <w:rPr>
          <w:rFonts w:ascii="Arial" w:cs="Arial" w:eastAsia="Arial" w:hAnsi="Arial"/>
        </w:rPr>
        <w:t xml:space="preserve">10.5 Python Implementation</w:t>
      </w:r>
    </w:p>
    <w:p>
      <w:pPr>
        <w:spacing w:after="100" w:before="80"/>
        <w:jc w:val="both"/>
      </w:pPr>
      <w:r>
        <w:rPr>
          <w:rFonts w:ascii="Arial" w:cs="Arial" w:eastAsia="Arial" w:hAnsi="Arial"/>
          <w:sz w:val="22"/>
          <w:szCs w:val="22"/>
        </w:rPr>
        <w:t xml:space="preserve">The module compute_D.py is available in the Politomorphism GitHub repository under /scripts/. Key dependencies: scikit-learn, sentence-transformers, scipy. Core call:</w:t>
      </w:r>
    </w:p>
    <w:p>
      <w:pPr>
        <w:spacing w:after="60" w:before="60"/>
      </w:pPr>
      <w:r>
        <w:t xml:space="preserve"/>
      </w:r>
    </w:p>
    <w:p>
      <w:pPr>
        <w:shd w:fill="F4F4F0" w:val="clear"/>
        <w:spacing w:after="0" w:before="0"/>
        <w:ind w:left="360"/>
      </w:pPr>
      <w:r>
        <w:rPr>
          <w:rFonts w:ascii="Courier New" w:cs="Courier New" w:eastAsia="Courier New" w:hAnsi="Courier New"/>
          <w:color w:val="2A2A2A"/>
          <w:sz w:val="18"/>
          <w:szCs w:val="18"/>
        </w:rPr>
        <w:t xml:space="preserve">from scripts.compute_D import compute_D</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result = compute_D(texts=article_bodies,</w:t>
      </w:r>
    </w:p>
    <w:p>
      <w:pPr>
        <w:shd w:fill="F4F4F0" w:val="clear"/>
        <w:spacing w:after="0" w:before="0"/>
        <w:ind w:left="360"/>
      </w:pPr>
      <w:r>
        <w:rPr>
          <w:rFonts w:ascii="Courier New" w:cs="Courier New" w:eastAsia="Courier New" w:hAnsi="Courier New"/>
          <w:color w:val="2A2A2A"/>
          <w:sz w:val="18"/>
          <w:szCs w:val="18"/>
        </w:rPr>
        <w:t xml:space="preserve">                   titles=article_titles,</w:t>
      </w:r>
    </w:p>
    <w:p>
      <w:pPr>
        <w:shd w:fill="F4F4F0" w:val="clear"/>
        <w:spacing w:after="0" w:before="0"/>
        <w:ind w:left="360"/>
      </w:pPr>
      <w:r>
        <w:rPr>
          <w:rFonts w:ascii="Courier New" w:cs="Courier New" w:eastAsia="Courier New" w:hAnsi="Courier New"/>
          <w:color w:val="2A2A2A"/>
          <w:sz w:val="18"/>
          <w:szCs w:val="18"/>
        </w:rPr>
        <w:t xml:space="preserve">                   alpha=0.5,</w:t>
      </w:r>
    </w:p>
    <w:p>
      <w:pPr>
        <w:shd w:fill="F4F4F0" w:val="clear"/>
        <w:spacing w:after="0" w:before="0"/>
        <w:ind w:left="360"/>
      </w:pPr>
      <w:r>
        <w:rPr>
          <w:rFonts w:ascii="Courier New" w:cs="Courier New" w:eastAsia="Courier New" w:hAnsi="Courier New"/>
          <w:color w:val="2A2A2A"/>
          <w:sz w:val="18"/>
          <w:szCs w:val="18"/>
        </w:rPr>
        <w:t xml:space="preserve">                   bootstrap_n=500)</w:t>
      </w:r>
    </w:p>
    <w:p>
      <w:pPr>
        <w:shd w:fill="F4F4F0" w:val="clear"/>
        <w:spacing w:after="0" w:before="0"/>
        <w:ind w:left="360"/>
      </w:pPr>
      <w:r>
        <w:rPr>
          <w:rFonts w:ascii="Courier New" w:cs="Courier New" w:eastAsia="Courier New" w:hAnsi="Courier New"/>
          <w:color w:val="2A2A2A"/>
          <w:sz w:val="18"/>
          <w:szCs w:val="18"/>
        </w:rPr>
        <w:t xml:space="preserve"/>
      </w:r>
    </w:p>
    <w:p>
      <w:pPr>
        <w:shd w:fill="F4F4F0" w:val="clear"/>
        <w:spacing w:after="0" w:before="0"/>
        <w:ind w:left="360"/>
      </w:pPr>
      <w:r>
        <w:rPr>
          <w:rFonts w:ascii="Courier New" w:cs="Courier New" w:eastAsia="Courier New" w:hAnsi="Courier New"/>
          <w:color w:val="2A2A2A"/>
          <w:sz w:val="18"/>
          <w:szCs w:val="18"/>
        </w:rPr>
        <w:t xml:space="preserve"># result keys: PE, ICI, D, D_std, D_ci_low, D_ci_high</w:t>
      </w:r>
    </w:p>
    <w:p>
      <w:pPr>
        <w:shd w:fill="F4F4F0" w:val="clear"/>
        <w:spacing w:after="0" w:before="0"/>
        <w:ind w:left="360"/>
      </w:pPr>
      <w:r>
        <w:rPr>
          <w:rFonts w:ascii="Courier New" w:cs="Courier New" w:eastAsia="Courier New" w:hAnsi="Courier New"/>
          <w:color w:val="2A2A2A"/>
          <w:sz w:val="18"/>
          <w:szCs w:val="18"/>
        </w:rPr>
        <w:t xml:space="preserve">D       = result['D']</w:t>
      </w:r>
    </w:p>
    <w:p>
      <w:pPr>
        <w:shd w:fill="F4F4F0" w:val="clear"/>
        <w:spacing w:after="0" w:before="0"/>
        <w:ind w:left="360"/>
      </w:pPr>
      <w:r>
        <w:rPr>
          <w:rFonts w:ascii="Courier New" w:cs="Courier New" w:eastAsia="Courier New" w:hAnsi="Courier New"/>
          <w:color w:val="2A2A2A"/>
          <w:sz w:val="18"/>
          <w:szCs w:val="18"/>
        </w:rPr>
        <w:t xml:space="preserve">D_error = result['D_std']</w:t>
      </w:r>
    </w:p>
    <w:p>
      <w:pPr>
        <w:spacing w:after="60" w:before="60"/>
      </w:pPr>
      <w:r>
        <w:t xml:space="preserve"/>
      </w:r>
    </w:p>
    <w:p>
      <w:pPr>
        <w:pStyle w:val="Heading2"/>
      </w:pPr>
      <w:r>
        <w:rPr>
          <w:rFonts w:ascii="Arial" w:cs="Arial" w:eastAsia="Arial" w:hAnsi="Arial"/>
        </w:rPr>
        <w:t xml:space="preserve">10.6 Falsifiable Hypotheses from the Decomposition</w:t>
      </w:r>
    </w:p>
    <w:p>
      <w:pPr>
        <w:spacing w:after="100" w:before="80"/>
        <w:jc w:val="both"/>
      </w:pPr>
      <w:r>
        <w:rPr>
          <w:rFonts w:ascii="Arial" w:cs="Arial" w:eastAsia="Arial" w:hAnsi="Arial"/>
          <w:sz w:val="22"/>
          <w:szCs w:val="22"/>
        </w:rPr>
        <w:t xml:space="preserve">The PE/ICI decomposition generates three testable predictions against the existing twelve validated cases:</w:t>
      </w:r>
    </w:p>
    <w:p>
      <w:pPr>
        <w:pStyle w:val="ListParagraph"/>
        <w:numPr>
          <w:ilvl w:val="0"/>
          <w:numId w:val="3"/>
        </w:numPr>
        <w:spacing w:after="50" w:before="50"/>
      </w:pPr>
      <w:r>
        <w:rPr>
          <w:rFonts w:ascii="Arial" w:cs="Arial" w:eastAsia="Arial" w:hAnsi="Arial"/>
          <w:sz w:val="22"/>
          <w:szCs w:val="22"/>
        </w:rPr>
        <w:t xml:space="preserve">H1 (Flash Viral are ICI-dominant): Georgescu and Charlie Hebdo have ICI &gt;&gt; PE. Their high D arises from media polarization, not topical breadth.</w:t>
      </w:r>
    </w:p>
    <w:p>
      <w:pPr>
        <w:pStyle w:val="ListParagraph"/>
        <w:numPr>
          <w:ilvl w:val="0"/>
          <w:numId w:val="3"/>
        </w:numPr>
        <w:spacing w:after="50" w:before="50"/>
      </w:pPr>
      <w:r>
        <w:rPr>
          <w:rFonts w:ascii="Arial" w:cs="Arial" w:eastAsia="Arial" w:hAnsi="Arial"/>
          <w:sz w:val="22"/>
          <w:szCs w:val="22"/>
        </w:rPr>
        <w:t xml:space="preserve">H2 (Romanian structural ceiling is ICI): For the Romanian Triada (Georgescu, Ciolacu, Simion), ICI values are correlated (shared ecosystem property) while PE values are uncorrelated (individual diffusion patterns).</w:t>
      </w:r>
    </w:p>
    <w:p>
      <w:pPr>
        <w:pStyle w:val="ListParagraph"/>
        <w:numPr>
          <w:ilvl w:val="0"/>
          <w:numId w:val="3"/>
        </w:numPr>
        <w:spacing w:after="50" w:before="50"/>
      </w:pPr>
      <w:r>
        <w:rPr>
          <w:rFonts w:ascii="Arial" w:cs="Arial" w:eastAsia="Arial" w:hAnsi="Arial"/>
          <w:sz w:val="22"/>
          <w:szCs w:val="22"/>
        </w:rPr>
        <w:t xml:space="preserve">H3 (Wartime coherence is ICI suppression): Zelensky's lower D=0.680 reflects low ICI (Western media convergence on a unified frame) with moderate PE — not PE suppression.</w:t>
      </w:r>
    </w:p>
    <w:p>
      <w:pPr>
        <w:spacing w:after="60" w:before="60"/>
      </w:pPr>
      <w:r>
        <w:t xml:space="preserve"/>
      </w:r>
    </w:p>
    <w:p>
      <w:pPr>
        <w:spacing w:after="100" w:before="80"/>
        <w:jc w:val="both"/>
      </w:pPr>
      <w:r>
        <w:rPr>
          <w:rFonts w:ascii="Arial" w:cs="Arial" w:eastAsia="Arial" w:hAnsi="Arial"/>
          <w:sz w:val="22"/>
          <w:szCs w:val="22"/>
        </w:rPr>
        <w:t xml:space="preserve">These hypotheses are falsifiable against the existing corpus data without new collection. Verification is planned for the next validation cycle.</w:t>
      </w:r>
    </w:p>
    <w:p>
      <w:pPr>
        <w:pBdr>
          <w:top w:val="single" w:color="AAAAAA" w:sz="4" w:space="1"/>
        </w:pBdr>
        <w:spacing w:after="80" w:before="240"/>
        <w:jc w:val="center"/>
      </w:pPr>
      <w:r>
        <w:rPr>
          <w:rFonts w:ascii="Arial" w:cs="Arial" w:eastAsia="Arial" w:hAnsi="Arial"/>
          <w:i/>
          <w:iCs/>
          <w:color w:val="555555"/>
          <w:sz w:val="18"/>
          <w:szCs w:val="18"/>
        </w:rPr>
        <w:t xml:space="preserve">For full treatment see companion preprint: Operationalizing Semantic Drift (D) in the Social Resonance Model  |  CC BY 4.0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4770" w:sz="4" w:space="1"/>
      </w:pBdr>
      <w:spacing w:before="120"/>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4770" w:sz="6" w:space="1"/>
      </w:pBdr>
      <w:spacing w:after="120"/>
    </w:pPr>
    <w:r>
      <w:rPr>
        <w:rFonts w:ascii="Arial" w:cs="Arial" w:eastAsia="Arial" w:hAnsi="Arial"/>
        <w:i/>
        <w:iCs/>
        <w:color w:val="2C4770"/>
        <w:sz w:val="18"/>
        <w:szCs w:val="18"/>
      </w:rPr>
      <w:t xml:space="preserve">SRM — Section 10 Addendum: Operationalizing Semantic Drift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477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4770"/>
      <w:sz w:val="26"/>
      <w:szCs w:val="26"/>
    </w:rPr>
  </w:style>
  <w:style w:type="paragraph" w:styleId="Heading3">
    <w:name w:val="Heading 3"/>
    <w:basedOn w:val="Normal"/>
    <w:next w:val="Normal"/>
    <w:qFormat/>
    <w:pPr>
      <w:spacing w:after="80" w:before="180"/>
      <w:outlineLvl w:val="2"/>
    </w:pPr>
    <w:rPr>
      <w:rFonts w:ascii="Arial" w:cs="Arial" w:eastAsia="Arial" w:hAnsi="Arial"/>
      <w:b/>
      <w:bCs/>
      <w:i/>
      <w:iCs/>
      <w:color w:val="3A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2026-03-19T09:58:05.723Z</dcterms:created>
  <dcterms:modified xsi:type="dcterms:W3CDTF">2026-03-19T09:58:05.724Z</dcterms:modified>
</cp:coreProperties>
</file>

<file path=docProps/custom.xml><?xml version="1.0" encoding="utf-8"?>
<Properties xmlns="http://schemas.openxmlformats.org/officeDocument/2006/custom-properties" xmlns:vt="http://schemas.openxmlformats.org/officeDocument/2006/docPropsVTypes"/>
</file>