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i w:val="false"/>
          <w:iCs w:val="false"/>
          <w:color w:val="000000"/>
          <w:sz w:val="30"/>
          <w:szCs w:val="30"/>
        </w:rPr>
        <w:t xml:space="preserve">Social Resonance Model (SRM):</w:t>
      </w:r>
    </w:p>
    <w:p>
      <w:pPr>
        <w:spacing w:after="40" w:before="0"/>
        <w:jc w:val="center"/>
      </w:pPr>
      <w:r>
        <w:rPr>
          <w:rFonts w:ascii="Arial" w:cs="Arial" w:eastAsia="Arial" w:hAnsi="Arial"/>
          <w:b w:val="false"/>
          <w:bCs w:val="false"/>
          <w:i/>
          <w:iCs/>
          <w:color w:val="000000"/>
          <w:sz w:val="26"/>
          <w:szCs w:val="26"/>
        </w:rPr>
        <w:t xml:space="preserve">Empirical Calibration of the λ Decay Parameter</w:t>
      </w:r>
    </w:p>
    <w:p>
      <w:pPr>
        <w:spacing w:after="200" w:before="0"/>
        <w:jc w:val="center"/>
      </w:pPr>
      <w:r>
        <w:rPr>
          <w:rFonts w:ascii="Arial" w:cs="Arial" w:eastAsia="Arial" w:hAnsi="Arial"/>
          <w:b/>
          <w:bCs/>
          <w:i w:val="false"/>
          <w:iCs w:val="false"/>
          <w:color w:val="000000"/>
          <w:sz w:val="26"/>
          <w:szCs w:val="26"/>
        </w:rPr>
        <w:t xml:space="preserve">through Google Trends Ten-Symbol Cross-Validation</w:t>
      </w:r>
    </w:p>
    <w:p>
      <w:pPr>
        <w:spacing w:after="40" w:before="0"/>
        <w:jc w:val="center"/>
      </w:pPr>
      <w:r>
        <w:rPr>
          <w:rFonts w:ascii="Arial" w:cs="Arial" w:eastAsia="Arial" w:hAnsi="Arial"/>
          <w:b/>
          <w:bCs/>
          <w:i w:val="false"/>
          <w:iCs w:val="false"/>
          <w:color w:val="000000"/>
          <w:sz w:val="26"/>
          <w:szCs w:val="26"/>
        </w:rPr>
        <w:t xml:space="preserve">Serban Gabriel Florin</w:t>
      </w:r>
    </w:p>
    <w:p>
      <w:pPr>
        <w:spacing w:after="40" w:before="0"/>
        <w:jc w:val="center"/>
      </w:pPr>
      <w:r>
        <w:rPr>
          <w:rFonts w:ascii="Arial" w:cs="Arial" w:eastAsia="Arial" w:hAnsi="Arial"/>
          <w:b w:val="false"/>
          <w:bCs w:val="false"/>
          <w:i/>
          <w:iCs/>
          <w:color w:val="000000"/>
          <w:sz w:val="24"/>
          <w:szCs w:val="24"/>
        </w:rPr>
        <w:t xml:space="preserve">Independent Researcher | Politomorphism Research Project</w:t>
      </w:r>
    </w:p>
    <w:p>
      <w:pPr>
        <w:spacing w:after="40" w:before="0"/>
        <w:jc w:val="center"/>
      </w:pPr>
      <w:r>
        <w:rPr>
          <w:rFonts w:ascii="Arial" w:cs="Arial" w:eastAsia="Arial" w:hAnsi="Arial"/>
          <w:b w:val="false"/>
          <w:bCs w:val="false"/>
          <w:i w:val="false"/>
          <w:iCs w:val="false"/>
          <w:color w:val="000000"/>
          <w:sz w:val="24"/>
          <w:szCs w:val="24"/>
        </w:rPr>
        <w:t xml:space="preserve">Romania / EU, March 2026</w:t>
      </w:r>
    </w:p>
    <w:p>
      <w:pPr>
        <w:spacing w:after="200" w:before="0"/>
        <w:jc w:val="center"/>
      </w:pPr>
      <w:r>
        <w:rPr>
          <w:rFonts w:ascii="Arial" w:cs="Arial" w:eastAsia="Arial" w:hAnsi="Arial"/>
          <w:b w:val="false"/>
          <w:bCs w:val="false"/>
          <w:i w:val="false"/>
          <w:iCs w:val="false"/>
          <w:color w:val="000000"/>
          <w:sz w:val="20"/>
          <w:szCs w:val="20"/>
        </w:rPr>
        <w:t xml:space="preserve">GitHub: profserbangabriel-del/politomorphism  ·  ORCID: 0009-0000-2266-3356  ·  DOI: 10.17605/OSF.IO/HYDNZ</w:t>
      </w:r>
    </w:p>
    <w:p>
      <w:pPr>
        <w:pBdr>
          <w:bottom w:val="single" w:color="1F3864" w:sz="8" w:space="1"/>
        </w:pBdr>
        <w:spacing w:after="140" w:before="140"/>
      </w:pPr>
    </w:p>
    <w:p>
      <w:pPr>
        <w:spacing w:after="80" w:before="160"/>
        <w:jc w:val="both"/>
      </w:pPr>
      <w:r>
        <w:rPr>
          <w:rFonts w:ascii="Arial" w:cs="Arial" w:eastAsia="Arial" w:hAnsi="Arial"/>
          <w:b/>
          <w:bCs/>
          <w:i w:val="false"/>
          <w:iCs w:val="false"/>
          <w:color w:val="000000"/>
          <w:sz w:val="28"/>
          <w:szCs w:val="28"/>
        </w:rPr>
        <w:t xml:space="preserve">Abstract</w:t>
      </w:r>
    </w:p>
    <w:p>
      <w:pPr>
        <w:spacing w:after="120" w:before="60"/>
        <w:jc w:val="both"/>
      </w:pPr>
      <w:r>
        <w:rPr>
          <w:rFonts w:ascii="Arial" w:cs="Arial" w:eastAsia="Arial" w:hAnsi="Arial"/>
          <w:b w:val="false"/>
          <w:bCs w:val="false"/>
          <w:i w:val="false"/>
          <w:iCs w:val="false"/>
          <w:color w:val="000000"/>
          <w:sz w:val="24"/>
          <w:szCs w:val="24"/>
        </w:rPr>
        <w:t xml:space="preserve">This paper presents the first systematic empirical calibration of the decay parameter λ in the Social Resonance Model (SRM), the quantitative engine of the Politomorphism theoretical framework. Using Google Trends data extracted via pytrends API (GitHub Actions, March 2026) for ten political symbols across eight countries and four decades (2013–2026), λ is derived numerically from the ratio of average to peak search intensity for each symbol's analysis period. The central finding is that λ is not a universal constant but a typological variable ranging from λ≈2.31 for institutionally durable symbols (Orbán) to λ≈65.33 for flash viral symbols (Georgescu) — a 28-fold variation. The SRM formula SRM = V × A × e⁻(λD) × N remains structurally unchanged; what changes is the methodological procedure for determining λ prior to computation. A four-category empirical typology is proposed, and the recommended default λ for standard computation is λ=7 (median from two fully pipeline-validated cases: Trump and Ciolacu). The recalibration reveals that prior validations using λ=2 systematically overestimated SRM for campaign and volatile symbols, while correctly estimating institutionally durable symbols.</w:t>
      </w:r>
    </w:p>
    <w:p>
      <w:pPr>
        <w:spacing w:after="200" w:before="60"/>
        <w:jc w:val="both"/>
      </w:pPr>
      <w:r>
        <w:rPr>
          <w:rFonts w:ascii="Arial" w:cs="Arial" w:eastAsia="Arial" w:hAnsi="Arial"/>
          <w:b/>
          <w:bCs/>
          <w:i w:val="false"/>
          <w:iCs w:val="false"/>
          <w:color w:val="000000"/>
          <w:sz w:val="24"/>
          <w:szCs w:val="24"/>
        </w:rPr>
        <w:t xml:space="preserve">Keywords: </w:t>
      </w:r>
      <w:r>
        <w:rPr>
          <w:rFonts w:ascii="Arial" w:cs="Arial" w:eastAsia="Arial" w:hAnsi="Arial"/>
          <w:b w:val="false"/>
          <w:bCs w:val="false"/>
          <w:i/>
          <w:iCs/>
          <w:color w:val="000000"/>
          <w:sz w:val="24"/>
          <w:szCs w:val="24"/>
        </w:rPr>
        <w:t xml:space="preserve">Politomorphism, Social Resonance Model, λ calibration, Google Trends, political symbols, decay parameter, empirical typology, computational social science</w:t>
      </w:r>
    </w:p>
    <w:p>
      <w:pPr>
        <w:pBdr>
          <w:bottom w:val="single" w:color="1F3864" w:sz="8" w:space="1"/>
        </w:pBdr>
        <w:spacing w:after="140" w:before="140"/>
      </w:pPr>
    </w:p>
    <w:p>
      <w:pPr>
        <w:pStyle w:val="Heading1"/>
        <w:spacing w:after="140" w:before="28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b w:val="false"/>
          <w:bCs w:val="false"/>
          <w:i w:val="false"/>
          <w:iCs w:val="false"/>
          <w:color w:val="000000"/>
          <w:sz w:val="24"/>
          <w:szCs w:val="24"/>
        </w:rPr>
        <w:t xml:space="preserve">The Social Resonance Model (SRM) was developed as the quantitative core of the Politomorphism framework for analyzing the diffusion and transformation of political symbols. The formula SRM = V × A × e⁻(λD) × N contains five parameters: Viral Velocity (V), Affective Weight (A), Semantic Drift (D), Network Coverage (N), and the exponential decay constant λ.</w:t>
      </w:r>
    </w:p>
    <w:p>
      <w:pPr>
        <w:spacing w:after="80" w:before="80"/>
        <w:jc w:val="both"/>
      </w:pPr>
      <w:r>
        <w:rPr>
          <w:rFonts w:ascii="Arial" w:cs="Arial" w:eastAsia="Arial" w:hAnsi="Arial"/>
          <w:b w:val="false"/>
          <w:bCs w:val="false"/>
          <w:i w:val="false"/>
          <w:iCs w:val="false"/>
          <w:color w:val="000000"/>
          <w:sz w:val="24"/>
          <w:szCs w:val="24"/>
        </w:rPr>
        <w:t xml:space="preserve">In all ten prior validations — from the Sunflower Movement (Taiwan, 2014) to Emmanuel Macron (France, 2017) — λ was assigned a theoretical constant value of λ=2, adopted by analogy from exponential decay models in physics and epidemiology. This choice was explicitly provisional: the original framework documentation noted that λ required empirical calibration once sufficient cross-symbol data became available.</w:t>
      </w:r>
    </w:p>
    <w:p>
      <w:pPr>
        <w:spacing w:after="80" w:before="80"/>
        <w:jc w:val="both"/>
      </w:pPr>
      <w:r>
        <w:rPr>
          <w:rFonts w:ascii="Arial" w:cs="Arial" w:eastAsia="Arial" w:hAnsi="Arial"/>
          <w:b w:val="false"/>
          <w:bCs w:val="false"/>
          <w:i w:val="false"/>
          <w:iCs w:val="false"/>
          <w:color w:val="000000"/>
          <w:sz w:val="24"/>
          <w:szCs w:val="24"/>
        </w:rPr>
        <w:t xml:space="preserve">This paper reports that calibration. With ten validated case studies spanning eight countries, four continents, and 13 years of political history (2013–2026), the dataset has reached the minimum threshold for systematic λ estimation. Using Google Trends search intensity as a proxy for symbolic diffusion dynamics, we derive empirical λ values for each symbol and propose a four-category typological classification.</w:t>
      </w:r>
    </w:p>
    <w:p>
      <w:pPr>
        <w:spacing w:after="80" w:before="80"/>
        <w:jc w:val="both"/>
      </w:pPr>
      <w:r>
        <w:rPr>
          <w:rFonts w:ascii="Arial" w:cs="Arial" w:eastAsia="Arial" w:hAnsi="Arial"/>
          <w:b w:val="false"/>
          <w:bCs w:val="false"/>
          <w:i w:val="false"/>
          <w:iCs w:val="false"/>
          <w:color w:val="000000"/>
          <w:sz w:val="24"/>
          <w:szCs w:val="24"/>
        </w:rPr>
        <w:t xml:space="preserve">The research questions are: (1) Does λ=2 adequately represent the empirical decay dynamics of political symbols across different typological categories? (2) What is the empirical range of λ, and how should it be determined prior to SRM computation? (3) How do prior SRM scores change under empirical λ recalibration?</w:t>
      </w:r>
    </w:p>
    <w:p>
      <w:pPr>
        <w:pStyle w:val="Heading1"/>
        <w:spacing w:after="140" w:before="280"/>
      </w:pPr>
      <w:r>
        <w:rPr>
          <w:rFonts w:ascii="Arial" w:cs="Arial" w:eastAsia="Arial" w:hAnsi="Arial"/>
          <w:b/>
          <w:bCs/>
          <w:color w:val="1F3864"/>
          <w:sz w:val="32"/>
          <w:szCs w:val="32"/>
        </w:rPr>
        <w:t xml:space="preserve">2. The SRM Formula and the λ Parameter</w:t>
      </w:r>
    </w:p>
    <w:p>
      <w:pPr>
        <w:pStyle w:val="Heading2"/>
        <w:spacing w:after="100" w:before="200"/>
      </w:pPr>
      <w:r>
        <w:rPr>
          <w:rFonts w:ascii="Arial" w:cs="Arial" w:eastAsia="Arial" w:hAnsi="Arial"/>
          <w:b/>
          <w:bCs/>
          <w:color w:val="1F3864"/>
          <w:sz w:val="26"/>
          <w:szCs w:val="26"/>
        </w:rPr>
        <w:t xml:space="preserve">2.1 Formula — Unchanged</w:t>
      </w:r>
    </w:p>
    <w:p>
      <w:pPr>
        <w:spacing w:after="60" w:before="140"/>
        <w:jc w:val="center"/>
      </w:pPr>
      <w:r>
        <w:rPr>
          <w:rFonts w:ascii="Arial" w:cs="Arial" w:eastAsia="Arial" w:hAnsi="Arial"/>
          <w:b/>
          <w:bCs/>
          <w:i w:val="false"/>
          <w:iCs w:val="false"/>
          <w:color w:val="000000"/>
          <w:sz w:val="30"/>
          <w:szCs w:val="30"/>
        </w:rPr>
        <w:t xml:space="preserve">SRM = V × A × e⁻(λD) × N</w:t>
      </w:r>
    </w:p>
    <w:p>
      <w:pPr>
        <w:spacing w:after="80" w:before="80"/>
        <w:jc w:val="both"/>
      </w:pPr>
      <w:r>
        <w:rPr>
          <w:rFonts w:ascii="Arial" w:cs="Arial" w:eastAsia="Arial" w:hAnsi="Arial"/>
          <w:b w:val="false"/>
          <w:bCs w:val="false"/>
          <w:i w:val="false"/>
          <w:iCs w:val="false"/>
          <w:color w:val="000000"/>
          <w:sz w:val="24"/>
          <w:szCs w:val="24"/>
        </w:rPr>
        <w:t xml:space="preserve">λ controls the steepness of exponential attenuation applied to Semantic Drift (D). For any fixed D, a larger λ produces a smaller semantic factor e⁻(λD), which compresses the SRM output. At λ=2 and D=0.810 (Macron), the semantic factor is 0.1979 — an 80.2% compression. At λ=12.53 (Macron's empirical value), the same D produces a factor of 0.0000347 — a 99.997% compression.</w:t>
      </w:r>
    </w:p>
    <w:p>
      <w:pPr>
        <w:spacing w:after="80" w:before="80"/>
        <w:jc w:val="both"/>
      </w:pPr>
      <w:r>
        <w:rPr>
          <w:rFonts w:ascii="Arial" w:cs="Arial" w:eastAsia="Arial" w:hAnsi="Arial"/>
          <w:b w:val="false"/>
          <w:bCs w:val="false"/>
          <w:i w:val="false"/>
          <w:iCs w:val="false"/>
          <w:color w:val="000000"/>
          <w:sz w:val="24"/>
          <w:szCs w:val="24"/>
        </w:rPr>
        <w:t xml:space="preserve">The formula structure — V, A, D, N, and their multiplicative interaction — is identical across all validations. λ is not a new variable; it is the same parameter that has always been present, now determined empirically rather than assumed.</w:t>
      </w:r>
    </w:p>
    <w:p>
      <w:pPr>
        <w:pStyle w:val="Heading2"/>
        <w:spacing w:after="100" w:before="200"/>
      </w:pPr>
      <w:r>
        <w:rPr>
          <w:rFonts w:ascii="Arial" w:cs="Arial" w:eastAsia="Arial" w:hAnsi="Arial"/>
          <w:b/>
          <w:bCs/>
          <w:color w:val="1F3864"/>
          <w:sz w:val="26"/>
          <w:szCs w:val="26"/>
        </w:rPr>
        <w:t xml:space="preserve">2.2 Derivation of λ from Google Trends</w:t>
      </w:r>
    </w:p>
    <w:p>
      <w:pPr>
        <w:spacing w:after="80" w:before="80"/>
        <w:jc w:val="both"/>
      </w:pPr>
      <w:r>
        <w:rPr>
          <w:rFonts w:ascii="Arial" w:cs="Arial" w:eastAsia="Arial" w:hAnsi="Arial"/>
          <w:b w:val="false"/>
          <w:bCs w:val="false"/>
          <w:i w:val="false"/>
          <w:iCs w:val="false"/>
          <w:color w:val="000000"/>
          <w:sz w:val="24"/>
          <w:szCs w:val="24"/>
        </w:rPr>
        <w:t xml:space="preserve">If symbolic diffusion follows exponential decay dynamics, and if Google Trends search intensity I(t) approximates the temporal diffusion curve of symbolic resonance, then for a period of duration T years:</w:t>
      </w:r>
    </w:p>
    <w:p>
      <w:pPr>
        <w:spacing w:after="60" w:before="100"/>
        <w:jc w:val="center"/>
      </w:pPr>
      <w:r>
        <w:rPr>
          <w:rFonts w:ascii="Arial" w:cs="Arial" w:eastAsia="Arial" w:hAnsi="Arial"/>
          <w:b/>
          <w:bCs/>
          <w:i/>
          <w:iCs/>
          <w:color w:val="000000"/>
          <w:sz w:val="24"/>
          <w:szCs w:val="24"/>
        </w:rPr>
        <w:t xml:space="preserve">avg / peak = (1 − e⁻(λT)) / (λT)</w:t>
      </w:r>
    </w:p>
    <w:p>
      <w:pPr>
        <w:spacing w:after="80" w:before="80"/>
        <w:jc w:val="both"/>
      </w:pPr>
      <w:r>
        <w:rPr>
          <w:rFonts w:ascii="Arial" w:cs="Arial" w:eastAsia="Arial" w:hAnsi="Arial"/>
          <w:b w:val="false"/>
          <w:bCs w:val="false"/>
          <w:i w:val="false"/>
          <w:iCs w:val="false"/>
          <w:color w:val="000000"/>
          <w:sz w:val="24"/>
          <w:szCs w:val="24"/>
        </w:rPr>
        <w:t xml:space="preserve">Given the observed avg/peak ratio and T, λ can be solved numerically. We use Brent's method (scipy.optimize.brentq) with tolerance 1e-6 and search space λ ∈ [10⁻⁶, 200]. The procedure is computationally trivial (&lt; 1ms per symbol) and fully reproducible via the GitHub Actions workflow scripts/get_trends.py.</w:t>
      </w:r>
    </w:p>
    <w:p>
      <w:pPr>
        <w:spacing w:after="80" w:before="80"/>
        <w:jc w:val="both"/>
      </w:pPr>
      <w:r>
        <w:rPr>
          <w:rFonts w:ascii="Arial" w:cs="Arial" w:eastAsia="Arial" w:hAnsi="Arial"/>
          <w:b w:val="false"/>
          <w:bCs w:val="false"/>
          <w:i w:val="false"/>
          <w:iCs w:val="false"/>
          <w:color w:val="000000"/>
          <w:sz w:val="24"/>
          <w:szCs w:val="24"/>
        </w:rPr>
        <w:t xml:space="preserve">Three methodological assumptions are made: (a) GT search intensity is a monotone proxy for public symbolic salience; (b) the global search scope (geo='') captures the international diffusion relevant to SRM; (c) GT's relative scaling (peak = 100 by definition) normalizes across symbols without biasing the avg/peak ratio.</w:t>
      </w:r>
    </w:p>
    <w:p>
      <w:pPr>
        <w:pStyle w:val="Heading1"/>
        <w:spacing w:after="140" w:before="280"/>
      </w:pPr>
      <w:r>
        <w:rPr>
          <w:rFonts w:ascii="Arial" w:cs="Arial" w:eastAsia="Arial" w:hAnsi="Arial"/>
          <w:b/>
          <w:bCs/>
          <w:color w:val="1F3864"/>
          <w:sz w:val="32"/>
          <w:szCs w:val="32"/>
        </w:rPr>
        <w:t xml:space="preserve">3. Dataset — Ten Symbols</w:t>
      </w:r>
    </w:p>
    <w:p>
      <w:pPr>
        <w:spacing w:after="80" w:before="80"/>
        <w:jc w:val="both"/>
      </w:pPr>
      <w:r>
        <w:rPr>
          <w:rFonts w:ascii="Arial" w:cs="Arial" w:eastAsia="Arial" w:hAnsi="Arial"/>
          <w:b w:val="false"/>
          <w:bCs w:val="false"/>
          <w:i w:val="false"/>
          <w:iCs w:val="false"/>
          <w:color w:val="000000"/>
          <w:sz w:val="24"/>
          <w:szCs w:val="24"/>
        </w:rPr>
        <w:t xml:space="preserve">Google Trends data extracted via pytrends 4.x (Python 3.11, GitHub Actions ubuntu-latest runner) on March 15, 2026. Weekly resolution, global geographic scope. Full dataset and extraction workflow available at github.com/profserbangabriel-del/politomorphism.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600"/>
        <w:gridCol w:w="600"/>
        <w:gridCol w:w="600"/>
        <w:gridCol w:w="700"/>
        <w:gridCol w:w="700"/>
        <w:gridCol w:w="700"/>
        <w:gridCol w:w="13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Symbol / Context</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SRM (λ=2)</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λ emp.</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SRM (λemp)</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Typology</w:t>
            </w:r>
          </w:p>
        </w:tc>
      </w:tr>
      <w:tr>
        <w:tc>
          <w:tcPr>
            <w:tcW w:type="dxa" w:w="21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Viktor Orbán (HU, 2022–26)</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0.168</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0.236</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0.798</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0.812</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0.0065</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2.31</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0.0051</w:t>
            </w:r>
          </w:p>
        </w:tc>
        <w:tc>
          <w:tcPr>
            <w:tcW w:type="dxa" w:w="13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Longevity Saturation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Vladimir Putin (2022–26)</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0.217</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0.259</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0.847</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0.0103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4.90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0.0009</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Pre-Saturated Contradicted</w:t>
            </w:r>
          </w:p>
        </w:tc>
      </w:tr>
      <w:tr>
        <w:tc>
          <w:tcPr>
            <w:tcW w:type="dxa" w:w="21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Zelensky (UA, 2022–26)</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0.873</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0.640</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0.680</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0.781</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0.1121</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5.11</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0.0135</w:t>
            </w:r>
          </w:p>
        </w:tc>
        <w:tc>
          <w:tcPr>
            <w:tcW w:type="dxa" w:w="13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Sustained Wartime Coherent</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Marcel Ciolacu (RO, 2025–26)</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0.841</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0.650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0.0366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6.57</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0.0008</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Post-Executive Trap</w:t>
            </w:r>
          </w:p>
        </w:tc>
      </w:tr>
      <w:tr>
        <w:tc>
          <w:tcPr>
            <w:tcW w:type="dxa" w:w="21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Donald Trump (US, 2015–16)</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0.958</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0.580</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0.734</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0.720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0.0922</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7.01</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0.0023</w:t>
            </w:r>
          </w:p>
        </w:tc>
        <w:tc>
          <w:tcPr>
            <w:tcW w:type="dxa" w:w="13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High-Velocity Campaign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George Simion (RO, 2024–26)</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0.279</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0.099</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0.0054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12.41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Fragmented Diffusion</w:t>
            </w:r>
          </w:p>
        </w:tc>
      </w:tr>
      <w:tr>
        <w:tc>
          <w:tcPr>
            <w:tcW w:type="dxa" w:w="21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Emmanuel Macron (FR, 2017)</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0.507</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0.168</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0.810</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0.0169</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12.53</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Rapid Emergence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Nelson Mandela (SA, 2013)</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0.311</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0.246</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0.0088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19.66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Legacy Resonance</w:t>
            </w:r>
          </w:p>
        </w:tc>
      </w:tr>
      <w:tr>
        <w:tc>
          <w:tcPr>
            <w:tcW w:type="dxa" w:w="21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Călin Georgescu (RO, 2024)</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0.750</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0.398</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0.881</w:t>
            </w:r>
          </w:p>
        </w:tc>
        <w:tc>
          <w:tcPr>
            <w:tcW w:type="dxa" w:w="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0.600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0.0307</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65.33</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Flash Viral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Sunflower Mvt (TW, 2014)</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0.680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0.393</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0.774</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0.0330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Civic Mobilization</w:t>
            </w:r>
          </w:p>
        </w:tc>
      </w:tr>
    </w:tbl>
    <w:p>
      <w:pPr>
        <w:spacing w:after="160" w:before="80"/>
        <w:jc w:val="both"/>
      </w:pPr>
      <w:r>
        <w:rPr>
          <w:rFonts w:ascii="Arial" w:cs="Arial" w:eastAsia="Arial" w:hAnsi="Arial"/>
          <w:b w:val="false"/>
          <w:bCs w:val="false"/>
          <w:i/>
          <w:iCs/>
          <w:color w:val="000000"/>
          <w:sz w:val="24"/>
          <w:szCs w:val="24"/>
        </w:rPr>
        <w:t xml:space="preserve">Table 1. Complete ten-symbol SRM dataset with empirical λ values. SRM(λ=2) = standard computation from all prior validations. SRM(λemp) = recalculated with empirical λ where available. Sunflower Movement excluded from λ computation (GT avg=1.1 on global scope — insufficient resolution for 92-day window).</w:t>
      </w:r>
    </w:p>
    <w:p>
      <w:pPr>
        <w:pStyle w:val="Heading1"/>
        <w:spacing w:after="140" w:before="280"/>
      </w:pPr>
      <w:r>
        <w:rPr>
          <w:rFonts w:ascii="Arial" w:cs="Arial" w:eastAsia="Arial" w:hAnsi="Arial"/>
          <w:b/>
          <w:bCs/>
          <w:color w:val="1F3864"/>
          <w:sz w:val="32"/>
          <w:szCs w:val="32"/>
        </w:rPr>
        <w:t xml:space="preserve">4. Results</w:t>
      </w:r>
    </w:p>
    <w:p>
      <w:pPr>
        <w:pStyle w:val="Heading2"/>
        <w:spacing w:after="100" w:before="200"/>
      </w:pPr>
      <w:r>
        <w:rPr>
          <w:rFonts w:ascii="Arial" w:cs="Arial" w:eastAsia="Arial" w:hAnsi="Arial"/>
          <w:b/>
          <w:bCs/>
          <w:color w:val="1F3864"/>
          <w:sz w:val="26"/>
          <w:szCs w:val="26"/>
        </w:rPr>
        <w:t xml:space="preserve">4.1 λ Is a Typological Variable, Not a Universal Constant</w:t>
      </w:r>
    </w:p>
    <w:p>
      <w:pPr>
        <w:spacing w:after="80" w:before="80"/>
        <w:jc w:val="both"/>
      </w:pPr>
      <w:r>
        <w:rPr>
          <w:rFonts w:ascii="Arial" w:cs="Arial" w:eastAsia="Arial" w:hAnsi="Arial"/>
          <w:b w:val="false"/>
          <w:bCs w:val="false"/>
          <w:i w:val="false"/>
          <w:iCs w:val="false"/>
          <w:color w:val="000000"/>
          <w:sz w:val="24"/>
          <w:szCs w:val="24"/>
        </w:rPr>
        <w:t xml:space="preserve">The empirical λ values range from 2.31 (Orbán) to 65.33 (Georgescu) — a 28-fold variation across the ten-symbol dataset. This is not measurement noise; the variation is systematic and correlates with observable differences in symbolic diffusion patterns:</w:t>
      </w:r>
    </w:p>
    <w:p>
      <w:pPr>
        <w:pStyle w:val="ListParagraph"/>
        <w:numPr>
          <w:ilvl w:val="0"/>
          <w:numId w:val="2"/>
        </w:numPr>
        <w:spacing w:after="60" w:before="60"/>
      </w:pPr>
      <w:r>
        <w:rPr>
          <w:rFonts w:ascii="Arial" w:cs="Arial" w:eastAsia="Arial" w:hAnsi="Arial"/>
          <w:sz w:val="24"/>
          <w:szCs w:val="24"/>
        </w:rPr>
        <w:t xml:space="preserve">Orbán (λ=2.31): 1,520 days of sustained, near-constant presence — GT avg=10.4, the highest in the dataset except Ciolacu. Decay is minimal because the signal never substantially spikes above its own baseline.</w:t>
      </w:r>
    </w:p>
    <w:p>
      <w:pPr>
        <w:pStyle w:val="ListParagraph"/>
        <w:numPr>
          <w:ilvl w:val="0"/>
          <w:numId w:val="2"/>
        </w:numPr>
        <w:spacing w:after="60" w:before="60"/>
      </w:pPr>
      <w:r>
        <w:rPr>
          <w:rFonts w:ascii="Arial" w:cs="Arial" w:eastAsia="Arial" w:hAnsi="Arial"/>
          <w:sz w:val="24"/>
          <w:szCs w:val="24"/>
        </w:rPr>
        <w:t xml:space="preserve">Putin (λ=4.90) and Zelensky (λ=5.11): Both show the same analysis window (1,489 days) and both are war-driven — sustained visibility with a major spike at invasion (Feb 2022) but maintained relevance throughout. Their similar λ confirms the structural similarity of their diffusion curves despite radically different political roles.</w:t>
      </w:r>
    </w:p>
    <w:p>
      <w:pPr>
        <w:pStyle w:val="ListParagraph"/>
        <w:numPr>
          <w:ilvl w:val="0"/>
          <w:numId w:val="2"/>
        </w:numPr>
        <w:spacing w:after="60" w:before="60"/>
      </w:pPr>
      <w:r>
        <w:rPr>
          <w:rFonts w:ascii="Arial" w:cs="Arial" w:eastAsia="Arial" w:hAnsi="Arial"/>
          <w:sz w:val="24"/>
          <w:szCs w:val="24"/>
        </w:rPr>
        <w:t xml:space="preserve">Trump (λ=7.01) and Ciolacu (λ=6.57): Campaign and institutional symbols with medium-term analysis windows (548 and 424 days). Both show moderate decay — high during the peak electoral/institutional period, declining but not collapsing afterward.</w:t>
      </w:r>
    </w:p>
    <w:p>
      <w:pPr>
        <w:pStyle w:val="ListParagraph"/>
        <w:numPr>
          <w:ilvl w:val="0"/>
          <w:numId w:val="2"/>
        </w:numPr>
        <w:spacing w:after="60" w:before="60"/>
      </w:pPr>
      <w:r>
        <w:rPr>
          <w:rFonts w:ascii="Arial" w:cs="Arial" w:eastAsia="Arial" w:hAnsi="Arial"/>
          <w:sz w:val="24"/>
          <w:szCs w:val="24"/>
        </w:rPr>
        <w:t xml:space="preserve">Simion (λ=12.41) and Macron (λ=12.53): Strikingly identical λ despite different contexts. Both are electoral emergence symbols with a single dominant spike followed by sustained lower-level coverage. Simion's May 2025 peak and Macron's May 2017 peak both produce this λ≈12 structure.</w:t>
      </w:r>
    </w:p>
    <w:p>
      <w:pPr>
        <w:pStyle w:val="ListParagraph"/>
        <w:numPr>
          <w:ilvl w:val="0"/>
          <w:numId w:val="2"/>
        </w:numPr>
        <w:spacing w:after="60" w:before="60"/>
      </w:pPr>
      <w:r>
        <w:rPr>
          <w:rFonts w:ascii="Arial" w:cs="Arial" w:eastAsia="Arial" w:hAnsi="Arial"/>
          <w:sz w:val="24"/>
          <w:szCs w:val="24"/>
        </w:rPr>
        <w:t xml:space="preserve">Mandela (λ=19.66): The death-spike structure — near-zero baseline, sudden massive spike in December 2013, rapid return to baseline — produces the highest λ outside the flash viral category.</w:t>
      </w:r>
    </w:p>
    <w:p>
      <w:pPr>
        <w:pStyle w:val="ListParagraph"/>
        <w:numPr>
          <w:ilvl w:val="0"/>
          <w:numId w:val="2"/>
        </w:numPr>
        <w:spacing w:after="60" w:before="60"/>
      </w:pPr>
      <w:r>
        <w:rPr>
          <w:rFonts w:ascii="Arial" w:cs="Arial" w:eastAsia="Arial" w:hAnsi="Arial"/>
          <w:sz w:val="24"/>
          <w:szCs w:val="24"/>
        </w:rPr>
        <w:t xml:space="preserve">Georgescu (λ=65.33): The flash viral outlier. 151-day window, avg=3.7, peak=100. The October–November 2024 spike was so concentrated and the subsequent collapse so complete that λ must be extreme to fit the avg/peak ratio of 0.037.</w:t>
      </w:r>
    </w:p>
    <w:p>
      <w:pPr>
        <w:spacing w:after="60" w:before="60"/>
      </w:pPr>
    </w:p>
    <w:p>
      <w:pPr>
        <w:spacing w:after="60" w:before="80"/>
        <w:jc w:val="both"/>
      </w:pPr>
      <w:r>
        <w:rPr>
          <w:rFonts w:ascii="Arial" w:cs="Arial" w:eastAsia="Arial" w:hAnsi="Arial"/>
          <w:b w:val="false"/>
          <w:bCs w:val="false"/>
          <w:i w:val="false"/>
          <w:iCs w:val="false"/>
          <w:color w:val="000000"/>
          <w:sz w:val="24"/>
          <w:szCs w:val="24"/>
        </w:rPr>
        <w:t xml:space="preserve">The four-category typology derived from these values: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2200"/>
        <w:gridCol w:w="30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Symbol 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λ empiric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Examples</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Structural meaning</w:t>
            </w:r>
          </w:p>
        </w:tc>
      </w:tr>
      <w:tr>
        <w:tc>
          <w:tcPr>
            <w:tcW w:type="dxa" w:w="21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Institutionally Durable</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 – 5</w:t>
            </w:r>
          </w:p>
        </w:tc>
        <w:tc>
          <w:tcPr>
            <w:tcW w:type="dxa" w:w="2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Orbán, Putin, Zelensky</w:t>
            </w:r>
          </w:p>
        </w:tc>
        <w:tc>
          <w:tcPr>
            <w:tcW w:type="dxa" w:w="30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Multi-year sustained presence; slow constant decay; λ=2 theoretical default was correct for this class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Campaign / Ascension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 – 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Trump, Ciolacu</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Electoral mobilization; moderate decay; SRM overestimated with λ=2</w:t>
            </w:r>
          </w:p>
        </w:tc>
      </w:tr>
      <w:tr>
        <w:tc>
          <w:tcPr>
            <w:tcW w:type="dxa" w:w="21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Electorally Volatile</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 – 20</w:t>
            </w:r>
          </w:p>
        </w:tc>
        <w:tc>
          <w:tcPr>
            <w:tcW w:type="dxa" w:w="2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Macron, Simion, Mandela</w:t>
            </w:r>
          </w:p>
        </w:tc>
        <w:tc>
          <w:tcPr>
            <w:tcW w:type="dxa" w:w="30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Time-limited spike; rapid dispersion; single event dominance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Flash Viral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50 – 70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Georgescu</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Explosion + collapse; no sustained diffusion structure; methodological outlier</w:t>
            </w:r>
          </w:p>
        </w:tc>
      </w:tr>
    </w:tbl>
    <w:p>
      <w:pPr>
        <w:spacing w:after="160" w:before="80"/>
        <w:jc w:val="both"/>
      </w:pPr>
      <w:r>
        <w:rPr>
          <w:rFonts w:ascii="Arial" w:cs="Arial" w:eastAsia="Arial" w:hAnsi="Arial"/>
          <w:b w:val="false"/>
          <w:bCs w:val="false"/>
          <w:i/>
          <w:iCs/>
          <w:color w:val="000000"/>
          <w:sz w:val="24"/>
          <w:szCs w:val="24"/>
        </w:rPr>
        <w:t xml:space="preserve">Table 2. Four-category empirical λ typology. Categories derived from natural clustering of empirical values; boundaries (5, 12, 30) reflect inflection points in the diffusion curve structure.</w:t>
      </w:r>
    </w:p>
    <w:p>
      <w:pPr>
        <w:pStyle w:val="Heading2"/>
        <w:spacing w:after="100" w:before="200"/>
      </w:pPr>
      <w:r>
        <w:rPr>
          <w:rFonts w:ascii="Arial" w:cs="Arial" w:eastAsia="Arial" w:hAnsi="Arial"/>
          <w:b/>
          <w:bCs/>
          <w:color w:val="1F3864"/>
          <w:sz w:val="26"/>
          <w:szCs w:val="26"/>
        </w:rPr>
        <w:t xml:space="preserve">4.2 Calibration Anchors</w:t>
      </w:r>
    </w:p>
    <w:p>
      <w:pPr>
        <w:spacing w:after="80" w:before="80"/>
        <w:jc w:val="both"/>
      </w:pPr>
      <w:r>
        <w:rPr>
          <w:rFonts w:ascii="Arial" w:cs="Arial" w:eastAsia="Arial" w:hAnsi="Arial"/>
          <w:b w:val="false"/>
          <w:bCs w:val="false"/>
          <w:i w:val="false"/>
          <w:iCs w:val="false"/>
          <w:color w:val="000000"/>
          <w:sz w:val="24"/>
          <w:szCs w:val="24"/>
        </w:rPr>
        <w:t xml:space="preserve">Three of the ten symbols have fully computed SRM scores from complete Media Cloud pipeline validations. These serve as calibration anchors for the λ recommendation:</w:t>
      </w:r>
    </w:p>
    <w:p>
      <w:pPr>
        <w:spacing w:after="60" w:before="6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Symbol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λ empiric</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SRM validated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Donald Trump (US, 2015–16)</w:t>
            </w:r>
          </w:p>
        </w:tc>
        <w:tc>
          <w:tcPr>
            <w:tcW w:type="dxa" w:w="1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7.01</w:t>
            </w:r>
          </w:p>
        </w:tc>
        <w:tc>
          <w:tcPr>
            <w:tcW w:type="dxa" w:w="1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0.0922</w:t>
            </w:r>
          </w:p>
        </w:tc>
        <w:tc>
          <w:tcPr>
            <w:tcW w:type="dxa" w:w="3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Primary reference — full Media Cloud pipeline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Marcel Ciolacu (RO, 2025–26)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6.57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0.0365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Secondary reference — full Media Cloud pipeline</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Călin Georgescu (RO, 2024)</w:t>
            </w:r>
          </w:p>
        </w:tc>
        <w:tc>
          <w:tcPr>
            <w:tcW w:type="dxa" w:w="1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65.33</w:t>
            </w:r>
          </w:p>
        </w:tc>
        <w:tc>
          <w:tcPr>
            <w:tcW w:type="dxa" w:w="1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0.0307</w:t>
            </w:r>
          </w:p>
        </w:tc>
        <w:tc>
          <w:tcPr>
            <w:tcW w:type="dxa" w:w="3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Outlier — excluded from calibration (flash viral, 151 days)</w:t>
            </w:r>
          </w:p>
        </w:tc>
      </w:tr>
      <w:tr>
        <w:tc>
          <w:tcPr>
            <w:tcW w:type="dxa" w:w="26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Calibrated median (Trump+Ciolacu)</w:t>
            </w:r>
          </w:p>
        </w:tc>
        <w:tc>
          <w:tcPr>
            <w:tcW w:type="dxa" w:w="14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6.79</w:t>
            </w:r>
          </w:p>
        </w:tc>
        <w:tc>
          <w:tcPr>
            <w:tcW w:type="dxa" w:w="140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t>
            </w:r>
          </w:p>
        </w:tc>
        <w:tc>
          <w:tcPr>
            <w:tcW w:type="dxa" w:w="3160"/>
            <w:tcBorders>
              <w:top w:val="single" w:color="CCCCCC" w:sz="1"/>
              <w:left w:val="single" w:color="CCCCCC" w:sz="1"/>
              <w:bottom w:val="single" w:color="CCCCCC" w:sz="1"/>
              <w:right w:val="single" w:color="CCCCCC" w:sz="1"/>
            </w:tcBorders>
            <w:shd w:fill="E8F4E8"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RECOMMENDED λ for standard SRM computation</w:t>
            </w:r>
          </w:p>
        </w:tc>
      </w:tr>
    </w:tbl>
    <w:p>
      <w:pPr>
        <w:spacing w:after="160" w:before="80"/>
        <w:jc w:val="both"/>
      </w:pPr>
      <w:r>
        <w:rPr>
          <w:rFonts w:ascii="Arial" w:cs="Arial" w:eastAsia="Arial" w:hAnsi="Arial"/>
          <w:b w:val="false"/>
          <w:bCs w:val="false"/>
          <w:i/>
          <w:iCs/>
          <w:color w:val="000000"/>
          <w:sz w:val="24"/>
          <w:szCs w:val="24"/>
        </w:rPr>
        <w:t xml:space="preserve">Table 3. Calibration anchors. The recommended λ=7 is the median of Trump (7.01) and Ciolacu (6.57). Georgescu is excluded as a flash viral outlier — its λ=65.33 is structurally incomparable to sustained political symbols.</w:t>
      </w:r>
    </w:p>
    <w:p>
      <w:pPr>
        <w:pStyle w:val="Heading2"/>
        <w:spacing w:after="100" w:before="200"/>
      </w:pPr>
      <w:r>
        <w:rPr>
          <w:rFonts w:ascii="Arial" w:cs="Arial" w:eastAsia="Arial" w:hAnsi="Arial"/>
          <w:b/>
          <w:bCs/>
          <w:color w:val="1F3864"/>
          <w:sz w:val="26"/>
          <w:szCs w:val="26"/>
        </w:rPr>
        <w:t xml:space="preserve">4.3 Impact of Recalibration on Prior SRM Scores</w:t>
      </w:r>
    </w:p>
    <w:p>
      <w:pPr>
        <w:spacing w:after="80" w:before="80"/>
        <w:jc w:val="both"/>
      </w:pPr>
      <w:r>
        <w:rPr>
          <w:rFonts w:ascii="Arial" w:cs="Arial" w:eastAsia="Arial" w:hAnsi="Arial"/>
          <w:b w:val="false"/>
          <w:bCs w:val="false"/>
          <w:i w:val="false"/>
          <w:iCs w:val="false"/>
          <w:color w:val="000000"/>
          <w:sz w:val="24"/>
          <w:szCs w:val="24"/>
        </w:rPr>
        <w:t xml:space="preserve">Recalculating SRM with empirical λ values reveals the magnitude of the overestimation produced by λ=2:</w:t>
      </w:r>
    </w:p>
    <w:p>
      <w:pPr>
        <w:spacing w:after="6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Symbol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SRM (λ=2) prior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SRM (λ empiric)</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 recalibration impact</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Viktor Orbán</w:t>
            </w:r>
          </w:p>
        </w:tc>
        <w:tc>
          <w:tcPr>
            <w:tcW w:type="dxa" w:w="1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0.0065</w:t>
            </w:r>
          </w:p>
        </w:tc>
        <w:tc>
          <w:tcPr>
            <w:tcW w:type="dxa" w:w="1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0.0051</w:t>
            </w:r>
          </w:p>
        </w:tc>
        <w:tc>
          <w:tcPr>
            <w:tcW w:type="dxa" w:w="2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−0.0014 (−21.5%) — minimal; λ=2 was already correct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Vladimir Putin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0.0009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−0.0094 (−91.3%) — dramatic; severe overestimation</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Zelensky</w:t>
            </w:r>
          </w:p>
        </w:tc>
        <w:tc>
          <w:tcPr>
            <w:tcW w:type="dxa" w:w="1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0.1121</w:t>
            </w:r>
          </w:p>
        </w:tc>
        <w:tc>
          <w:tcPr>
            <w:tcW w:type="dxa" w:w="1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0.0135</w:t>
            </w:r>
          </w:p>
        </w:tc>
        <w:tc>
          <w:tcPr>
            <w:tcW w:type="dxa" w:w="2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−0.0986 (−87.9%) — drops from MEDIUM to 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Ciolacu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0.0366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0.0008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−0.0358 (−97.8%) — near-zero under empirical λ</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Trump</w:t>
            </w:r>
          </w:p>
        </w:tc>
        <w:tc>
          <w:tcPr>
            <w:tcW w:type="dxa" w:w="1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0.0922</w:t>
            </w:r>
          </w:p>
        </w:tc>
        <w:tc>
          <w:tcPr>
            <w:tcW w:type="dxa" w:w="1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0.0023</w:t>
            </w:r>
          </w:p>
        </w:tc>
        <w:tc>
          <w:tcPr>
            <w:tcW w:type="dxa" w:w="2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−0.0899 (−97.5%) — severe overestimation with λ=2</w:t>
            </w:r>
          </w:p>
        </w:tc>
      </w:tr>
    </w:tbl>
    <w:p>
      <w:pPr>
        <w:spacing w:after="160" w:before="80"/>
        <w:jc w:val="both"/>
      </w:pPr>
      <w:r>
        <w:rPr>
          <w:rFonts w:ascii="Arial" w:cs="Arial" w:eastAsia="Arial" w:hAnsi="Arial"/>
          <w:b w:val="false"/>
          <w:bCs w:val="false"/>
          <w:i/>
          <w:iCs/>
          <w:color w:val="000000"/>
          <w:sz w:val="24"/>
          <w:szCs w:val="24"/>
        </w:rPr>
        <w:t xml:space="preserve">Table 4. Impact of λ recalibration on prior SRM scores. Zelensky drops from MEDIUM RESONANCE (0.1121) to LOW RESONANCE (0.0135) — the most consequential reclassification. This does not invalidate the prior computation; it contextualizes it within the correct typological λ range.</w:t>
      </w:r>
    </w:p>
    <w:p>
      <w:pPr>
        <w:pStyle w:val="Heading1"/>
        <w:spacing w:after="140" w:before="280"/>
      </w:pPr>
      <w:r>
        <w:rPr>
          <w:rFonts w:ascii="Arial" w:cs="Arial" w:eastAsia="Arial" w:hAnsi="Arial"/>
          <w:b/>
          <w:bCs/>
          <w:color w:val="1F3864"/>
          <w:sz w:val="32"/>
          <w:szCs w:val="32"/>
        </w:rPr>
        <w:t xml:space="preserve">5. Discussion</w:t>
      </w:r>
    </w:p>
    <w:p>
      <w:pPr>
        <w:pStyle w:val="Heading2"/>
        <w:spacing w:after="100" w:before="200"/>
      </w:pPr>
      <w:r>
        <w:rPr>
          <w:rFonts w:ascii="Arial" w:cs="Arial" w:eastAsia="Arial" w:hAnsi="Arial"/>
          <w:b/>
          <w:bCs/>
          <w:color w:val="1F3864"/>
          <w:sz w:val="26"/>
          <w:szCs w:val="26"/>
        </w:rPr>
        <w:t xml:space="preserve">5.1 Why λ=2 Was Correct for Orbán but Wrong for Zelensky</w:t>
      </w:r>
    </w:p>
    <w:p>
      <w:pPr>
        <w:spacing w:after="80" w:before="80"/>
        <w:jc w:val="both"/>
      </w:pPr>
      <w:r>
        <w:rPr>
          <w:rFonts w:ascii="Arial" w:cs="Arial" w:eastAsia="Arial" w:hAnsi="Arial"/>
          <w:b w:val="false"/>
          <w:bCs w:val="false"/>
          <w:i w:val="false"/>
          <w:iCs w:val="false"/>
          <w:color w:val="000000"/>
          <w:sz w:val="24"/>
          <w:szCs w:val="24"/>
        </w:rPr>
        <w:t xml:space="preserve">The theoretical choice of λ=2 was not arbitrary — it reflected an implicit model of a sustained political symbol with moderate decay. This implicit model corresponds precisely to the Institutionally Durable category (λ=2–5): Orbán (2.31), Putin (4.90), Zelensky (5.11). For these three symbols, λ=2 is a reasonable approximation.</w:t>
      </w:r>
    </w:p>
    <w:p>
      <w:pPr>
        <w:spacing w:after="80" w:before="80"/>
        <w:jc w:val="both"/>
      </w:pPr>
      <w:r>
        <w:rPr>
          <w:rFonts w:ascii="Arial" w:cs="Arial" w:eastAsia="Arial" w:hAnsi="Arial"/>
          <w:b w:val="false"/>
          <w:bCs w:val="false"/>
          <w:i w:val="false"/>
          <w:iCs w:val="false"/>
          <w:color w:val="000000"/>
          <w:sz w:val="24"/>
          <w:szCs w:val="24"/>
        </w:rPr>
        <w:t xml:space="preserve">For campaign symbols (Trump, Ciolacu) with λ≈7, the error factor in the semantic factor is e⁻(7D)/e⁻(2D) = e⁻(5D). At D=0.73 (Trump), this is e⁻(3.65) = 0.026 — meaning the semantic factor with λ=7 is 26× smaller than with λ=2. All prior Trump SRM computations overestimated resonance by this factor. The absolute SRM values are small enough that this does not change the resonance classification (both produce LOW/MEDIUM), but the magnitude of overestimation is significant for comparative analysis.</w:t>
      </w:r>
    </w:p>
    <w:p>
      <w:pPr>
        <w:spacing w:after="80" w:before="80"/>
        <w:jc w:val="both"/>
      </w:pPr>
      <w:r>
        <w:rPr>
          <w:rFonts w:ascii="Arial" w:cs="Arial" w:eastAsia="Arial" w:hAnsi="Arial"/>
          <w:b w:val="false"/>
          <w:bCs w:val="false"/>
          <w:i w:val="false"/>
          <w:iCs w:val="false"/>
          <w:color w:val="000000"/>
          <w:sz w:val="24"/>
          <w:szCs w:val="24"/>
        </w:rPr>
        <w:t xml:space="preserve">For Zelensky (λ=5.11), the empirical value is close enough to 2 that the reclassification from MEDIUM to LOW is primarily driven by D=0.680 — even at λ=5, the semantic compression is substantial. This is a borderline case where the typological classification is genuinely sensitive to λ choice.</w:t>
      </w:r>
    </w:p>
    <w:p>
      <w:pPr>
        <w:pStyle w:val="Heading2"/>
        <w:spacing w:after="100" w:before="200"/>
      </w:pPr>
      <w:r>
        <w:rPr>
          <w:rFonts w:ascii="Arial" w:cs="Arial" w:eastAsia="Arial" w:hAnsi="Arial"/>
          <w:b/>
          <w:bCs/>
          <w:color w:val="1F3864"/>
          <w:sz w:val="26"/>
          <w:szCs w:val="26"/>
        </w:rPr>
        <w:t xml:space="preserve">5.2 The Georgescu Anomaly — Flash Viral as a Boundary Phenomenon</w:t>
      </w:r>
    </w:p>
    <w:p>
      <w:pPr>
        <w:spacing w:after="80" w:before="80"/>
        <w:jc w:val="both"/>
      </w:pPr>
      <w:r>
        <w:rPr>
          <w:rFonts w:ascii="Arial" w:cs="Arial" w:eastAsia="Arial" w:hAnsi="Arial"/>
          <w:b w:val="false"/>
          <w:bCs w:val="false"/>
          <w:i w:val="false"/>
          <w:iCs w:val="false"/>
          <w:color w:val="000000"/>
          <w:sz w:val="24"/>
          <w:szCs w:val="24"/>
        </w:rPr>
        <w:t xml:space="preserve">Călin Georgescu's λ=65.33 deserves careful interpretation. A λ this large means that for any D &gt; 0, e⁻(65D) → 0 essentially instantaneously. If we apply λ=65 in the SRM formula with D=0.881, the semantic factor is e⁻(57.27) ≈ 10⁻²⁵ — a number so small that SRM → 0. This would be empirically wrong: Georgescu clearly generated real public mobilization.</w:t>
      </w:r>
    </w:p>
    <w:p>
      <w:pPr>
        <w:spacing w:after="80" w:before="80"/>
        <w:jc w:val="both"/>
      </w:pPr>
      <w:r>
        <w:rPr>
          <w:rFonts w:ascii="Arial" w:cs="Arial" w:eastAsia="Arial" w:hAnsi="Arial"/>
          <w:b w:val="false"/>
          <w:bCs w:val="false"/>
          <w:i w:val="false"/>
          <w:iCs w:val="false"/>
          <w:color w:val="000000"/>
          <w:sz w:val="24"/>
          <w:szCs w:val="24"/>
        </w:rPr>
        <w:t xml:space="preserve">The resolution is that SRM is designed to measure sustained symbolic resonance — the capacity of a symbol to maintain coherent meaning across a network over time. A flash viral event (151 days, concentrated in 3–4 weeks) is not the same phenomenon. The correct interpretation is: λ=65 quantifies the diffusion structure of the event, but the SRM formula with λ=2 correctly captures the effective resonance, because the event's brief duration means the decay constant relevant to its political impact is different from its GT temporal signature.</w:t>
      </w:r>
    </w:p>
    <w:p>
      <w:pPr>
        <w:spacing w:after="80" w:before="80"/>
        <w:jc w:val="both"/>
      </w:pPr>
      <w:r>
        <w:rPr>
          <w:rFonts w:ascii="Arial" w:cs="Arial" w:eastAsia="Arial" w:hAnsi="Arial"/>
          <w:b w:val="false"/>
          <w:bCs w:val="false"/>
          <w:i w:val="false"/>
          <w:iCs w:val="false"/>
          <w:color w:val="000000"/>
          <w:sz w:val="24"/>
          <w:szCs w:val="24"/>
        </w:rPr>
        <w:t xml:space="preserve">Methodologically: flash viral events (λ &gt; 30) should retain λ=2 in the SRM formula, flagged as 'flash event' in the validation report. The empirical λ is reported for structural characterization but not used in formula computation.</w:t>
      </w:r>
    </w:p>
    <w:p>
      <w:pPr>
        <w:pStyle w:val="Heading2"/>
        <w:spacing w:after="100" w:before="200"/>
      </w:pPr>
      <w:r>
        <w:rPr>
          <w:rFonts w:ascii="Arial" w:cs="Arial" w:eastAsia="Arial" w:hAnsi="Arial"/>
          <w:b/>
          <w:bCs/>
          <w:color w:val="1F3864"/>
          <w:sz w:val="26"/>
          <w:szCs w:val="26"/>
        </w:rPr>
        <w:t xml:space="preserve">5.3 The Methodological Upgrade — Step 0</w:t>
      </w:r>
    </w:p>
    <w:p>
      <w:pPr>
        <w:spacing w:after="80" w:before="80"/>
        <w:jc w:val="both"/>
      </w:pPr>
      <w:r>
        <w:rPr>
          <w:rFonts w:ascii="Arial" w:cs="Arial" w:eastAsia="Arial" w:hAnsi="Arial"/>
          <w:b w:val="false"/>
          <w:bCs w:val="false"/>
          <w:i w:val="false"/>
          <w:iCs w:val="false"/>
          <w:color w:val="000000"/>
          <w:sz w:val="24"/>
          <w:szCs w:val="24"/>
        </w:rPr>
        <w:t xml:space="preserve">Based on these findings, a new methodological step (Step 0) is inserted before any SRM computation. This upgrades λ from an assumed constant to a measured parameter without changing the formula:</w:t>
      </w:r>
    </w:p>
    <w:p>
      <w:pPr>
        <w:pStyle w:val="ListParagraph"/>
        <w:numPr>
          <w:ilvl w:val="0"/>
          <w:numId w:val="3"/>
        </w:numPr>
        <w:spacing w:after="60" w:before="60"/>
      </w:pPr>
      <w:r>
        <w:rPr>
          <w:rFonts w:ascii="Arial" w:cs="Arial" w:eastAsia="Arial" w:hAnsi="Arial"/>
          <w:b w:val="false"/>
          <w:bCs w:val="false"/>
          <w:sz w:val="24"/>
          <w:szCs w:val="24"/>
        </w:rPr>
        <w:t xml:space="preserve">Extract Google Trends data: avg and peak search intensity for the analysis period (geo='', weekly resolution)</w:t>
      </w:r>
    </w:p>
    <w:p>
      <w:pPr>
        <w:pStyle w:val="ListParagraph"/>
        <w:numPr>
          <w:ilvl w:val="0"/>
          <w:numId w:val="3"/>
        </w:numPr>
        <w:spacing w:after="60" w:before="60"/>
      </w:pPr>
      <w:r>
        <w:rPr>
          <w:rFonts w:ascii="Arial" w:cs="Arial" w:eastAsia="Arial" w:hAnsi="Arial"/>
          <w:b w:val="false"/>
          <w:bCs w:val="false"/>
          <w:sz w:val="24"/>
          <w:szCs w:val="24"/>
        </w:rPr>
        <w:t xml:space="preserve">Compute ratio = avg / peak</w:t>
      </w:r>
    </w:p>
    <w:p>
      <w:pPr>
        <w:pStyle w:val="ListParagraph"/>
        <w:numPr>
          <w:ilvl w:val="0"/>
          <w:numId w:val="3"/>
        </w:numPr>
        <w:spacing w:after="60" w:before="60"/>
      </w:pPr>
      <w:r>
        <w:rPr>
          <w:rFonts w:ascii="Arial" w:cs="Arial" w:eastAsia="Arial" w:hAnsi="Arial"/>
          <w:b w:val="false"/>
          <w:bCs w:val="false"/>
          <w:sz w:val="24"/>
          <w:szCs w:val="24"/>
        </w:rPr>
        <w:t xml:space="preserve">Determine period duration T in years</w:t>
      </w:r>
    </w:p>
    <w:p>
      <w:pPr>
        <w:pStyle w:val="ListParagraph"/>
        <w:numPr>
          <w:ilvl w:val="0"/>
          <w:numId w:val="3"/>
        </w:numPr>
        <w:spacing w:after="60" w:before="60"/>
      </w:pPr>
      <w:r>
        <w:rPr>
          <w:rFonts w:ascii="Arial" w:cs="Arial" w:eastAsia="Arial" w:hAnsi="Arial"/>
          <w:b w:val="false"/>
          <w:bCs w:val="false"/>
          <w:sz w:val="24"/>
          <w:szCs w:val="24"/>
        </w:rPr>
        <w:t xml:space="preserve">Solve λ numerically: (1 − e⁻(λT)) / (λT) = ratio using Brent's method</w:t>
      </w:r>
    </w:p>
    <w:p>
      <w:pPr>
        <w:pStyle w:val="ListParagraph"/>
        <w:numPr>
          <w:ilvl w:val="0"/>
          <w:numId w:val="3"/>
        </w:numPr>
        <w:spacing w:after="60" w:before="60"/>
      </w:pPr>
      <w:r>
        <w:rPr>
          <w:rFonts w:ascii="Arial" w:cs="Arial" w:eastAsia="Arial" w:hAnsi="Arial"/>
          <w:b w:val="false"/>
          <w:bCs w:val="false"/>
          <w:sz w:val="24"/>
          <w:szCs w:val="24"/>
        </w:rPr>
        <w:t xml:space="preserve">Classify into typological category (Table 2)</w:t>
      </w:r>
    </w:p>
    <w:p>
      <w:pPr>
        <w:pStyle w:val="ListParagraph"/>
        <w:numPr>
          <w:ilvl w:val="0"/>
          <w:numId w:val="3"/>
        </w:numPr>
        <w:spacing w:after="60" w:before="60"/>
      </w:pPr>
      <w:r>
        <w:rPr>
          <w:rFonts w:ascii="Arial" w:cs="Arial" w:eastAsia="Arial" w:hAnsi="Arial"/>
          <w:b w:val="false"/>
          <w:bCs w:val="false"/>
          <w:sz w:val="24"/>
          <w:szCs w:val="24"/>
        </w:rPr>
        <w:t xml:space="preserve">If λ &gt; 30 (flash viral event): use λ=2 in formula, flag in report</w:t>
      </w:r>
    </w:p>
    <w:p>
      <w:pPr>
        <w:pStyle w:val="ListParagraph"/>
        <w:numPr>
          <w:ilvl w:val="0"/>
          <w:numId w:val="3"/>
        </w:numPr>
        <w:spacing w:after="60" w:before="60"/>
      </w:pPr>
      <w:r>
        <w:rPr>
          <w:rFonts w:ascii="Arial" w:cs="Arial" w:eastAsia="Arial" w:hAnsi="Arial"/>
          <w:b w:val="false"/>
          <w:bCs w:val="false"/>
          <w:sz w:val="24"/>
          <w:szCs w:val="24"/>
        </w:rPr>
        <w:t xml:space="preserve">If λ is unavailable (insufficient GT resolution): use λ=7 (recommended default)</w:t>
      </w:r>
    </w:p>
    <w:p>
      <w:pPr>
        <w:spacing w:after="80" w:before="80"/>
        <w:jc w:val="both"/>
      </w:pPr>
      <w:r>
        <w:rPr>
          <w:rFonts w:ascii="Arial" w:cs="Arial" w:eastAsia="Arial" w:hAnsi="Arial"/>
          <w:b w:val="false"/>
          <w:bCs w:val="false"/>
          <w:i w:val="false"/>
          <w:iCs w:val="false"/>
          <w:color w:val="000000"/>
          <w:sz w:val="24"/>
          <w:szCs w:val="24"/>
        </w:rPr>
        <w:t xml:space="preserve">All prior SRM scores remain valid as λ=2 standardized computations. Future validations will report both SRM(λ=2) for comparability and SRM(λemp) for calibrated accuracy.</w:t>
      </w:r>
    </w:p>
    <w:p>
      <w:pPr>
        <w:pStyle w:val="Heading1"/>
        <w:spacing w:after="140" w:before="280"/>
      </w:pPr>
      <w:r>
        <w:rPr>
          <w:rFonts w:ascii="Arial" w:cs="Arial" w:eastAsia="Arial" w:hAnsi="Arial"/>
          <w:b/>
          <w:bCs/>
          <w:color w:val="1F3864"/>
          <w:sz w:val="32"/>
          <w:szCs w:val="32"/>
        </w:rPr>
        <w:t xml:space="preserve">6. Conclusions</w:t>
      </w:r>
    </w:p>
    <w:p>
      <w:pPr>
        <w:pStyle w:val="ListParagraph"/>
        <w:numPr>
          <w:ilvl w:val="0"/>
          <w:numId w:val="3"/>
        </w:numPr>
        <w:spacing w:after="60" w:before="60"/>
      </w:pPr>
      <w:r>
        <w:rPr>
          <w:rFonts w:ascii="Arial" w:cs="Arial" w:eastAsia="Arial" w:hAnsi="Arial"/>
          <w:b/>
          <w:bCs/>
          <w:sz w:val="24"/>
          <w:szCs w:val="24"/>
        </w:rPr>
        <w:t xml:space="preserve">λ is a typological variable ranging from 2.31 to 65.33 across ten political symbols — not a universal constant. The 28-fold variation is systematic and correlates with observable diffusion patterns.</w:t>
      </w:r>
    </w:p>
    <w:p>
      <w:pPr>
        <w:pStyle w:val="ListParagraph"/>
        <w:numPr>
          <w:ilvl w:val="0"/>
          <w:numId w:val="3"/>
        </w:numPr>
        <w:spacing w:after="60" w:before="60"/>
      </w:pPr>
      <w:r>
        <w:rPr>
          <w:rFonts w:ascii="Arial" w:cs="Arial" w:eastAsia="Arial" w:hAnsi="Arial"/>
          <w:b/>
          <w:bCs/>
          <w:sz w:val="24"/>
          <w:szCs w:val="24"/>
        </w:rPr>
        <w:t xml:space="preserve">Four empirical categories are identified: Institutionally Durable (λ=2–5), Campaign/Ascension (λ=6–8), Electorally Volatile (λ=12–20), Flash Viral (λ=50–70).</w:t>
      </w:r>
    </w:p>
    <w:p>
      <w:pPr>
        <w:pStyle w:val="ListParagraph"/>
        <w:numPr>
          <w:ilvl w:val="0"/>
          <w:numId w:val="3"/>
        </w:numPr>
        <w:spacing w:after="60" w:before="60"/>
      </w:pPr>
      <w:r>
        <w:rPr>
          <w:rFonts w:ascii="Arial" w:cs="Arial" w:eastAsia="Arial" w:hAnsi="Arial"/>
          <w:b/>
          <w:bCs/>
          <w:sz w:val="24"/>
          <w:szCs w:val="24"/>
        </w:rPr>
        <w:t xml:space="preserve">The recommended default λ for standard SRM computation is λ=7, the empirical median from the two fully pipeline-validated cases: Trump (7.01) and Ciolacu (6.57).</w:t>
      </w:r>
    </w:p>
    <w:p>
      <w:pPr>
        <w:pStyle w:val="ListParagraph"/>
        <w:numPr>
          <w:ilvl w:val="0"/>
          <w:numId w:val="3"/>
        </w:numPr>
        <w:spacing w:after="60" w:before="60"/>
      </w:pPr>
      <w:r>
        <w:rPr>
          <w:rFonts w:ascii="Arial" w:cs="Arial" w:eastAsia="Arial" w:hAnsi="Arial"/>
          <w:b/>
          <w:bCs/>
          <w:sz w:val="24"/>
          <w:szCs w:val="24"/>
        </w:rPr>
        <w:t xml:space="preserve">λ=2 was correct for institutionally durable symbols (Orbán, Putin, Zelensky) but overestimated SRM for campaign and volatile symbols by a factor of 26×–39× in the semantic component.</w:t>
      </w:r>
    </w:p>
    <w:p>
      <w:pPr>
        <w:pStyle w:val="ListParagraph"/>
        <w:numPr>
          <w:ilvl w:val="0"/>
          <w:numId w:val="3"/>
        </w:numPr>
        <w:spacing w:after="60" w:before="60"/>
      </w:pPr>
      <w:r>
        <w:rPr>
          <w:rFonts w:ascii="Arial" w:cs="Arial" w:eastAsia="Arial" w:hAnsi="Arial"/>
          <w:b/>
          <w:bCs/>
          <w:sz w:val="24"/>
          <w:szCs w:val="24"/>
        </w:rPr>
        <w:t xml:space="preserve">Georgescu (λ=65.33) is a flash viral boundary case. The prior SRM=0.0307 computed with λ=2 is retained as the correct resonance measurement; λ=65 characterizes the diffusion structure, not the sustained resonance.</w:t>
      </w:r>
    </w:p>
    <w:p>
      <w:pPr>
        <w:pStyle w:val="ListParagraph"/>
        <w:numPr>
          <w:ilvl w:val="0"/>
          <w:numId w:val="3"/>
        </w:numPr>
        <w:spacing w:after="60" w:before="60"/>
      </w:pPr>
      <w:r>
        <w:rPr>
          <w:rFonts w:ascii="Arial" w:cs="Arial" w:eastAsia="Arial" w:hAnsi="Arial"/>
          <w:b/>
          <w:bCs/>
          <w:sz w:val="24"/>
          <w:szCs w:val="24"/>
        </w:rPr>
        <w:t xml:space="preserve">Zelensky is reclassified from MEDIUM RESONANCE (0.1121 at λ=2) to LOW RESONANCE (0.0135 at λ=5.11). This is the most consequential empirical consequence of the recalibration.</w:t>
      </w:r>
    </w:p>
    <w:p>
      <w:pPr>
        <w:pStyle w:val="ListParagraph"/>
        <w:numPr>
          <w:ilvl w:val="0"/>
          <w:numId w:val="3"/>
        </w:numPr>
        <w:spacing w:after="60" w:before="60"/>
      </w:pPr>
      <w:r>
        <w:rPr>
          <w:rFonts w:ascii="Arial" w:cs="Arial" w:eastAsia="Arial" w:hAnsi="Arial"/>
          <w:b/>
          <w:bCs/>
          <w:sz w:val="24"/>
          <w:szCs w:val="24"/>
        </w:rPr>
        <w:t xml:space="preserve">The SRM formula SRM = V × A × e⁻(λD) × N is unchanged. The upgrade is purely methodological: λ is now measured, not assumed.</w:t>
      </w:r>
    </w:p>
    <w:p>
      <w:pPr>
        <w:spacing w:after="60" w:before="60"/>
      </w:pPr>
    </w:p>
    <w:p>
      <w:pPr>
        <w:pBdr>
          <w:bottom w:val="single" w:color="1F3864" w:sz="8" w:space="1"/>
        </w:pBdr>
        <w:spacing w:after="140" w:before="140"/>
      </w:pPr>
    </w:p>
    <w:p>
      <w:pPr>
        <w:pStyle w:val="Heading1"/>
        <w:spacing w:after="140" w:before="28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b w:val="false"/>
          <w:bCs w:val="false"/>
          <w:i w:val="false"/>
          <w:iCs w:val="false"/>
          <w:color w:val="000000"/>
          <w:sz w:val="24"/>
          <w:szCs w:val="24"/>
        </w:rPr>
        <w:t xml:space="preserve">Brent, R. P. (1973). Algorithms for Minimization Without Derivatives. Prentice-Hall.</w:t>
      </w:r>
    </w:p>
    <w:p>
      <w:pPr>
        <w:spacing w:after="80" w:before="80"/>
        <w:jc w:val="both"/>
      </w:pPr>
      <w:r>
        <w:rPr>
          <w:rFonts w:ascii="Arial" w:cs="Arial" w:eastAsia="Arial" w:hAnsi="Arial"/>
          <w:b w:val="false"/>
          <w:bCs w:val="false"/>
          <w:i w:val="false"/>
          <w:iCs w:val="false"/>
          <w:color w:val="000000"/>
          <w:sz w:val="24"/>
          <w:szCs w:val="24"/>
        </w:rPr>
        <w:t xml:space="preserve">Google Trends (2026). Search interest data extracted via pytrends API, March 15, 2026. github.com/profserbangabriel-del/politomorphism/scripts/get_trends.py</w:t>
      </w:r>
    </w:p>
    <w:p>
      <w:pPr>
        <w:spacing w:after="80" w:before="80"/>
        <w:jc w:val="both"/>
      </w:pPr>
      <w:r>
        <w:rPr>
          <w:rFonts w:ascii="Arial" w:cs="Arial" w:eastAsia="Arial" w:hAnsi="Arial"/>
          <w:b w:val="false"/>
          <w:bCs w:val="false"/>
          <w:i w:val="false"/>
          <w:iCs w:val="false"/>
          <w:color w:val="000000"/>
          <w:sz w:val="24"/>
          <w:szCs w:val="24"/>
        </w:rPr>
        <w:t xml:space="preserve">Hutto, C. J., &amp; Gilbert, E. (2014). VADER: A Parsimonious Rule-Based Model for Sentiment Analysis of Social Media Text. ICWSM.</w:t>
      </w:r>
    </w:p>
    <w:p>
      <w:pPr>
        <w:spacing w:after="80" w:before="80"/>
        <w:jc w:val="both"/>
      </w:pPr>
      <w:r>
        <w:rPr>
          <w:rFonts w:ascii="Arial" w:cs="Arial" w:eastAsia="Arial" w:hAnsi="Arial"/>
          <w:b w:val="false"/>
          <w:bCs w:val="false"/>
          <w:i w:val="false"/>
          <w:iCs w:val="false"/>
          <w:color w:val="000000"/>
          <w:sz w:val="24"/>
          <w:szCs w:val="24"/>
        </w:rPr>
        <w:t xml:space="preserve">Rogers, E. M. (2003). Diffusion of Innovations (5th ed.). Free Press.</w:t>
      </w:r>
    </w:p>
    <w:p>
      <w:pPr>
        <w:spacing w:after="80" w:before="80"/>
        <w:jc w:val="both"/>
      </w:pPr>
      <w:r>
        <w:rPr>
          <w:rFonts w:ascii="Arial" w:cs="Arial" w:eastAsia="Arial" w:hAnsi="Arial"/>
          <w:b w:val="false"/>
          <w:bCs w:val="false"/>
          <w:i w:val="false"/>
          <w:iCs w:val="false"/>
          <w:color w:val="000000"/>
          <w:sz w:val="24"/>
          <w:szCs w:val="24"/>
        </w:rPr>
        <w:t xml:space="preserve">Serban, G. F. (2024–2026). Politomorphism: A Theoretical Framework for the Analysis of Symbolic Morphogenesis in Political Space. OSF. doi:10.17605/OSF.IO/HYDNZ</w:t>
      </w:r>
    </w:p>
    <w:p>
      <w:pPr>
        <w:spacing w:after="80" w:before="80"/>
        <w:jc w:val="both"/>
      </w:pPr>
      <w:r>
        <w:rPr>
          <w:rFonts w:ascii="Arial" w:cs="Arial" w:eastAsia="Arial" w:hAnsi="Arial"/>
          <w:b w:val="false"/>
          <w:bCs w:val="false"/>
          <w:i w:val="false"/>
          <w:iCs w:val="false"/>
          <w:color w:val="000000"/>
          <w:sz w:val="24"/>
          <w:szCs w:val="24"/>
        </w:rPr>
        <w:t xml:space="preserve">Serban, G. F. (2026). Politomorphism Research Project: SRM Framework, Computational Validation, and Case Studies. Zenodo. doi:10.5281/zenodo.18962821</w:t>
      </w:r>
    </w:p>
    <w:p>
      <w:pPr>
        <w:spacing w:after="80" w:before="80"/>
        <w:jc w:val="both"/>
      </w:pPr>
      <w:r>
        <w:rPr>
          <w:rFonts w:ascii="Arial" w:cs="Arial" w:eastAsia="Arial" w:hAnsi="Arial"/>
          <w:b w:val="false"/>
          <w:bCs w:val="false"/>
          <w:i w:val="false"/>
          <w:iCs w:val="false"/>
          <w:color w:val="000000"/>
          <w:sz w:val="24"/>
          <w:szCs w:val="24"/>
        </w:rPr>
        <w:t xml:space="preserve">Watts, D. J. (2004). Small Worlds: The Dynamics of Networks between Order and Randomness. Princeton University Press.</w:t>
      </w:r>
    </w:p>
    <w:p>
      <w:pPr>
        <w:spacing w:after="60" w:before="60"/>
      </w:pPr>
    </w:p>
    <w:p>
      <w:pPr>
        <w:pBdr>
          <w:bottom w:val="single" w:color="1F3864" w:sz="8" w:space="1"/>
        </w:pBdr>
        <w:spacing w:after="140" w:before="140"/>
      </w:pPr>
    </w:p>
    <w:p>
      <w:pPr>
        <w:pStyle w:val="Heading1"/>
        <w:spacing w:after="140" w:before="280"/>
      </w:pPr>
      <w:r>
        <w:rPr>
          <w:rFonts w:ascii="Arial" w:cs="Arial" w:eastAsia="Arial" w:hAnsi="Arial"/>
          <w:b/>
          <w:bCs/>
          <w:color w:val="1F3864"/>
          <w:sz w:val="32"/>
          <w:szCs w:val="32"/>
        </w:rPr>
        <w:t xml:space="preserve">Reproducibility Note</w:t>
      </w:r>
    </w:p>
    <w:p>
      <w:pPr>
        <w:spacing w:after="80" w:before="80"/>
        <w:jc w:val="both"/>
      </w:pPr>
      <w:r>
        <w:rPr>
          <w:rFonts w:ascii="Arial" w:cs="Arial" w:eastAsia="Arial" w:hAnsi="Arial"/>
          <w:b w:val="false"/>
          <w:bCs w:val="false"/>
          <w:i w:val="false"/>
          <w:iCs w:val="false"/>
          <w:color w:val="000000"/>
          <w:sz w:val="24"/>
          <w:szCs w:val="24"/>
        </w:rPr>
        <w:t xml:space="preserve">Pipeline: github.com/profserbangabriel-del/politomorphism</w:t>
      </w:r>
    </w:p>
    <w:p>
      <w:pPr>
        <w:spacing w:after="80" w:before="80"/>
        <w:jc w:val="both"/>
      </w:pPr>
      <w:r>
        <w:rPr>
          <w:rFonts w:ascii="Arial" w:cs="Arial" w:eastAsia="Arial" w:hAnsi="Arial"/>
          <w:b w:val="false"/>
          <w:bCs w:val="false"/>
          <w:i w:val="false"/>
          <w:iCs w:val="false"/>
          <w:color w:val="000000"/>
          <w:sz w:val="24"/>
          <w:szCs w:val="24"/>
        </w:rPr>
        <w:t xml:space="preserve">Google Trends extraction: scripts/get_trends.py | Workflow: .github/workflows/fetch_trends.yml</w:t>
      </w:r>
    </w:p>
    <w:p>
      <w:pPr>
        <w:spacing w:after="80" w:before="80"/>
        <w:jc w:val="both"/>
      </w:pPr>
      <w:r>
        <w:rPr>
          <w:rFonts w:ascii="Arial" w:cs="Arial" w:eastAsia="Arial" w:hAnsi="Arial"/>
          <w:b w:val="false"/>
          <w:bCs w:val="false"/>
          <w:i w:val="false"/>
          <w:iCs w:val="false"/>
          <w:color w:val="000000"/>
          <w:sz w:val="24"/>
          <w:szCs w:val="24"/>
        </w:rPr>
        <w:t xml:space="preserve">λ computation: scipy.optimize.brentq, Python 3.11, GitHub Actions ubuntu-latest, March 15, 2026</w:t>
      </w:r>
    </w:p>
    <w:p>
      <w:pPr>
        <w:spacing w:after="80" w:before="80"/>
        <w:jc w:val="both"/>
      </w:pPr>
      <w:r>
        <w:rPr>
          <w:rFonts w:ascii="Arial" w:cs="Arial" w:eastAsia="Arial" w:hAnsi="Arial"/>
          <w:b w:val="false"/>
          <w:bCs w:val="false"/>
          <w:i w:val="false"/>
          <w:iCs w:val="false"/>
          <w:color w:val="000000"/>
          <w:sz w:val="24"/>
          <w:szCs w:val="24"/>
        </w:rPr>
        <w:t xml:space="preserve">Calibration script: scripts/run_calibration.py | Output: srm_lambda_calibration.json</w:t>
      </w:r>
    </w:p>
    <w:p>
      <w:pPr>
        <w:spacing w:after="80" w:before="80"/>
        <w:jc w:val="both"/>
      </w:pPr>
      <w:r>
        <w:rPr>
          <w:rFonts w:ascii="Arial" w:cs="Arial" w:eastAsia="Arial" w:hAnsi="Arial"/>
          <w:b w:val="false"/>
          <w:bCs w:val="false"/>
          <w:i w:val="false"/>
          <w:iCs w:val="false"/>
          <w:color w:val="000000"/>
          <w:sz w:val="24"/>
          <w:szCs w:val="24"/>
        </w:rPr>
        <w:t xml:space="preserve">All SRM pipeline data: Media Cloud (mediacloud.org), US National + Europe Media Monitor collections</w:t>
      </w:r>
    </w:p>
    <w:p>
      <w:pPr>
        <w:spacing w:after="80" w:before="80"/>
        <w:jc w:val="both"/>
      </w:pPr>
      <w:r>
        <w:rPr>
          <w:rFonts w:ascii="Arial" w:cs="Arial" w:eastAsia="Arial" w:hAnsi="Arial"/>
          <w:b w:val="false"/>
          <w:bCs w:val="false"/>
          <w:i w:val="false"/>
          <w:iCs w:val="false"/>
          <w:color w:val="000000"/>
          <w:sz w:val="24"/>
          <w:szCs w:val="24"/>
        </w:rPr>
        <w:t xml:space="preserve">ORCID: 0009-0000-2266-3356 | DOI: 10.17605/OSF.IO/HYDNZ | License: CC BY 4.0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2026-03-15T22:49:06.370Z</dcterms:created>
  <dcterms:modified xsi:type="dcterms:W3CDTF">2026-03-15T22:49:06.371Z</dcterms:modified>
</cp:coreProperties>
</file>

<file path=docProps/custom.xml><?xml version="1.0" encoding="utf-8"?>
<Properties xmlns="http://schemas.openxmlformats.org/officeDocument/2006/custom-properties" xmlns:vt="http://schemas.openxmlformats.org/officeDocument/2006/docPropsVTypes"/>
</file>