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Neurobiology of Trauma</w:t>
      </w:r>
    </w:p>
    <w:p>
      <w:pPr>
        <w:pStyle w:val="Heading1"/>
      </w:pPr>
      <w:r>
        <w:t>Preliminary editorial assessment and author information required</w:t>
      </w:r>
    </w:p>
    <w:p>
      <w:r>
        <w:rPr>
          <w:b w:val="0"/>
        </w:rPr>
      </w:r>
      <w:r>
        <w:rPr>
          <w:b/>
        </w:rPr>
        <w:t>Course:</w:t>
      </w:r>
      <w:r>
        <w:rPr>
          <w:b w:val="0"/>
        </w:rPr>
        <w:t xml:space="preserve"> TRT 903   </w:t>
      </w:r>
      <w:r>
        <w:rPr>
          <w:b/>
        </w:rPr>
        <w:t>Assessment date:</w:t>
      </w:r>
      <w:r>
        <w:rPr>
          <w:b w:val="0"/>
        </w:rPr>
        <w:t xml:space="preserve"> 21 October 2026   </w:t>
      </w:r>
      <w:r>
        <w:rPr>
          <w:b/>
        </w:rPr>
        <w:t>Status:</w:t>
      </w:r>
      <w:r>
        <w:rPr>
          <w:b w:val="0"/>
        </w:rPr>
        <w:t xml:space="preserve"> Initial diagnostic assessment—not an edited manuscript or publication approval.</w:t>
      </w:r>
    </w:p>
    <w:p>
      <w:pPr>
        <w:pStyle w:val="Heading1"/>
      </w:pPr>
      <w:r>
        <w:t>1. Scope and limits of work completed</w:t>
      </w:r>
    </w:p>
    <w:p>
      <w:r>
        <w:rPr>
          <w:b w:val="0"/>
        </w:rPr>
        <w:t xml:space="preserve">The supplied PDF contains </w:t>
      </w:r>
      <w:r>
        <w:rPr>
          <w:b/>
        </w:rPr>
        <w:t>1,722 pages and approximately 446,458 extracted words</w:t>
      </w:r>
      <w:r>
        <w:rPr>
          <w:b w:val="0"/>
        </w:rPr>
        <w:t>, including running furniture and lists. Text was extracted from every page. A whole-file automated screening was performed for bracketed fields, recurring sentences, chapter openings, and selected unfinished-content patterns. Front matter, selected main-text passages, visual briefs, glossary material, templates, and references were inspected directly.</w:t>
      </w:r>
    </w:p>
    <w:p>
      <w:r>
        <w:rPr>
          <w:b w:val="0"/>
        </w:rPr>
      </w:r>
      <w:r>
        <w:rPr>
          <w:b/>
        </w:rPr>
        <w:t>This is not a claim to have completed a close reading of all 1,722 pages.</w:t>
      </w:r>
      <w:r>
        <w:rPr>
          <w:b w:val="0"/>
        </w:rPr>
        <w:t xml:space="preserve"> The complete developmental reading, substantive editing, citation reconciliation, copyediting, typesetting, and independent final proofreading remain outstanding. No substantive source text has been deleted or rewritten at this stage. The original PDF remains unchanged. The accompanying registers are diagnostic tools, not a substitute for editorial judgement.</w:t>
      </w:r>
    </w:p>
    <w:p>
      <w:r>
        <w:rPr>
          <w:b w:val="0"/>
        </w:rPr>
        <w:t xml:space="preserve">All page references below refer to the </w:t>
      </w:r>
      <w:r>
        <w:rPr>
          <w:b/>
        </w:rPr>
        <w:t>original PDF page positions</w:t>
      </w:r>
      <w:r>
        <w:rPr>
          <w:b w:val="0"/>
        </w:rPr>
        <w:t>, not future typeset pagination. Text extraction can join or split words and cannot establish visual layout quality. Counts are screening results, not independently verified counts of every editorial defect.</w:t>
      </w:r>
    </w:p>
    <w:p>
      <w:pPr>
        <w:pStyle w:val="Heading1"/>
      </w:pPr>
      <w:r>
        <w:t>2. Editorial diagnosis</w:t>
      </w:r>
    </w:p>
    <w:p>
      <w:r>
        <w:rPr>
          <w:b w:val="0"/>
        </w:rPr>
        <w:t>The book addresses trauma neurobiology across neural development, cells and molecular processes, neurotransmission, learning and memory, stress physiology, genetics, PTSD, complex trauma, resilience, inflammation, biomarkers, neuroimaging, treatment, artificial intelligence, and research translation. Twenty chapter openings were identified, beginning on PDF page 54; Chapter 20 begins on page 1598 and is followed by back matter on page 1679.</w:t>
      </w:r>
    </w:p>
    <w:p>
      <w:r>
        <w:rPr>
          <w:b w:val="0"/>
        </w:rPr>
        <w:t>The proposed intellectual progression is usable: foundations precede mechanisms, disorders, measurement, intervention, and research translation. The manuscript repeatedly emphasises uncertainty, non-deterministic interpretation, ethics, and the distinction between group findings and individual clinical inference. These are legitimate strengths to preserve.</w:t>
      </w:r>
    </w:p>
    <w:p>
      <w:r>
        <w:rPr>
          <w:b w:val="0"/>
        </w:rPr>
        <w:t>The principal weakness observed is not merely grammar. Reusable general-purpose paragraphs repeatedly occupy places where chapter-specific scientific explanation is needed. For example, the sentence “Mechanistic reasoning asks how a process occurs, not merely whether two observations appear together.” appears on 194 source pages in the exact-sentence screen. The methodological-caution formula beginning “This approach is consistent with the broader methodological caution represented by” occurs 1,508 times after whitespace normalisation. These results warrant contextual review, not automatic bulk deletion.</w:t>
      </w:r>
    </w:p>
    <w:p>
      <w:r>
        <w:rPr>
          <w:b w:val="0"/>
        </w:rPr>
        <w:t>Examples inspected on pages 62–68 repeat general research-design and interpretative advice under different headings. The historical chapter's named topics therefore need to be checked against their actual explanatory content. Page 1651 links an ethics/data-governance paragraph to Allen and Barres (2009), while the reference list identifies that source as a paper about glia. This is a potential evidence-to-claim mismatch requiring source inspection, not proof that the citation is necessarily invalid.</w:t>
      </w:r>
    </w:p>
    <w:p>
      <w:pPr>
        <w:pStyle w:val="Heading2"/>
      </w:pPr>
      <w:r>
        <w:t>Developmental priorities</w:t>
      </w:r>
    </w:p>
    <w:p>
      <w:r>
        <w:rPr>
          <w:b w:val="0"/>
        </w:rPr>
        <w:t>1. Map each section's substantive claims, supporting citations, examples, and instructional purpose before combining repeated material.</w:t>
      </w:r>
    </w:p>
    <w:p>
      <w:r>
        <w:rPr>
          <w:b w:val="0"/>
        </w:rPr>
        <w:t>2. Consolidate genuinely shared methodological guidance into a coherent foundation section and cross-reference it where appropriate. Preserve chapter-specific applications and qualifications.</w:t>
      </w:r>
    </w:p>
    <w:p>
      <w:r>
        <w:rPr>
          <w:b w:val="0"/>
        </w:rPr>
        <w:t>3. Identify headings whose promised content is missing or only generic. Ask the subject author for missing scientific exposition rather than fabricate it.</w:t>
      </w:r>
    </w:p>
    <w:p>
      <w:r>
        <w:rPr>
          <w:b w:val="0"/>
        </w:rPr>
        <w:t>4. Retain the broad chapter progression unless the complete developmental reading establishes a better order.</w:t>
      </w:r>
    </w:p>
    <w:p>
      <w:r>
        <w:rPr>
          <w:b w:val="0"/>
        </w:rPr>
        <w:t>5. Reduce overlapping objectives and expected outcomes to a concise, assessable set, preserving distinct advanced tasks.</w:t>
      </w:r>
    </w:p>
    <w:p>
      <w:r>
        <w:rPr>
          <w:b w:val="0"/>
        </w:rPr>
        <w:t>6. Treat clinical safety, diagnostic interpretation, biomarkers, genetic inference, and treatment claims as high-priority subject-review areas.</w:t>
      </w:r>
    </w:p>
    <w:p>
      <w:pPr>
        <w:pStyle w:val="Heading1"/>
      </w:pPr>
      <w:r>
        <w:t>3. Author Information Required</w:t>
      </w:r>
    </w:p>
    <w:p>
      <w:r>
        <w:rPr>
          <w:b w:val="0"/>
        </w:rPr>
        <w:t>These queries must be answered before publication. Missing information is described as missing, rather than assigned an invented literal placeholder.</w:t>
      </w:r>
    </w:p>
    <w:p>
      <w:pPr>
        <w:pStyle w:val="Heading2"/>
      </w:pPr>
      <w:r>
        <w:t>AQ01 — Authorship and approved attribution</w:t>
      </w:r>
    </w:p>
    <w:p>
      <w:r>
        <w:rPr>
          <w:b w:val="0"/>
        </w:rPr>
        <w:t xml:space="preserve">• </w:t>
      </w:r>
      <w:r>
        <w:rPr>
          <w:b/>
        </w:rPr>
        <w:t>Location:</w:t>
      </w:r>
      <w:r>
        <w:rPr>
          <w:b w:val="0"/>
        </w:rPr>
        <w:t xml:space="preserve"> Title pages, PDF pages 3 and 19; biographical material, pages 4–6.</w:t>
      </w:r>
    </w:p>
    <w:p>
      <w:r>
        <w:rPr>
          <w:b w:val="0"/>
        </w:rPr>
        <w:t xml:space="preserve">• </w:t>
      </w:r>
      <w:r>
        <w:rPr>
          <w:b/>
        </w:rPr>
        <w:t>Exact source:</w:t>
      </w:r>
      <w:r>
        <w:rPr>
          <w:b w:val="0"/>
        </w:rPr>
        <w:t xml:space="preserve"> “ADVANCED NEUROBIOLOGY OF TRAUMA”; “Advanced Neurobiology of Trauma”; no author byline is supplied on the inspected title pages. The biography names “Revd Prof. Adeleke Daniel Durojaiye”.</w:t>
      </w:r>
    </w:p>
    <w:p>
      <w:r>
        <w:rPr>
          <w:b w:val="0"/>
        </w:rPr>
        <w:t xml:space="preserve">• </w:t>
      </w:r>
      <w:r>
        <w:rPr>
          <w:b/>
        </w:rPr>
        <w:t>Required:</w:t>
      </w:r>
      <w:r>
        <w:rPr>
          <w:b w:val="0"/>
        </w:rPr>
        <w:t xml:space="preserve"> Confirm the book's author(s), editor(s), contributor roles, exact publication names, and approved qualifications. Confirm whether the person profiled is the author; this cannot be inferred from institutional office.</w:t>
      </w:r>
    </w:p>
    <w:p>
      <w:r>
        <w:rPr>
          <w:b w:val="0"/>
        </w:rPr>
        <w:t xml:space="preserve">• </w:t>
      </w:r>
      <w:r>
        <w:rPr>
          <w:b/>
        </w:rPr>
        <w:t>Why:</w:t>
      </w:r>
      <w:r>
        <w:rPr>
          <w:b w:val="0"/>
        </w:rPr>
        <w:t xml:space="preserve"> Accurate attribution, title-page composition, and bibliographic metadata.</w:t>
      </w:r>
    </w:p>
    <w:p>
      <w:r>
        <w:rPr>
          <w:b w:val="0"/>
        </w:rPr>
        <w:t xml:space="preserve">• </w:t>
      </w:r>
      <w:r>
        <w:rPr>
          <w:b/>
        </w:rPr>
        <w:t>Suggested format:</w:t>
      </w:r>
      <w:r>
        <w:rPr>
          <w:b w:val="0"/>
        </w:rPr>
        <w:t xml:space="preserve"> Full publication name — author/editor role — approved qualifications — affiliation.</w:t>
      </w:r>
    </w:p>
    <w:p>
      <w:pPr>
        <w:pStyle w:val="Heading2"/>
      </w:pPr>
      <w:r>
        <w:t>AQ02 — Copyright and publisher identity</w:t>
      </w:r>
    </w:p>
    <w:p>
      <w:r>
        <w:rPr>
          <w:b w:val="0"/>
        </w:rPr>
        <w:t xml:space="preserve">• </w:t>
      </w:r>
      <w:r>
        <w:rPr>
          <w:b/>
        </w:rPr>
        <w:t>Location:</w:t>
      </w:r>
      <w:r>
        <w:rPr>
          <w:b w:val="0"/>
        </w:rPr>
        <w:t xml:space="preserve"> PDF page 20.</w:t>
      </w:r>
    </w:p>
    <w:p>
      <w:r>
        <w:rPr>
          <w:b w:val="0"/>
        </w:rPr>
        <w:t xml:space="preserve">• </w:t>
      </w:r>
      <w:r>
        <w:rPr>
          <w:b/>
        </w:rPr>
        <w:t>Exact source:</w:t>
      </w:r>
      <w:r>
        <w:rPr>
          <w:b w:val="0"/>
        </w:rPr>
        <w:t xml:space="preserve"> “Copyright © 2026. All rights reserved.”; “Publisher: TRIUNE BIBLICAL UNIVERSITY GLOBAL EXTENSION, USA”; “Edition: First Academic Edition”.</w:t>
      </w:r>
    </w:p>
    <w:p>
      <w:r>
        <w:rPr>
          <w:b w:val="0"/>
        </w:rPr>
        <w:t xml:space="preserve">• </w:t>
      </w:r>
      <w:r>
        <w:rPr>
          <w:b/>
        </w:rPr>
        <w:t>Required:</w:t>
      </w:r>
      <w:r>
        <w:rPr>
          <w:b w:val="0"/>
        </w:rPr>
        <w:t xml:space="preserve"> Legal copyright-holder name; confirmation of year, publisher's exact legal/imprint name and edition; publication contact/address if required; ISBN only if already assigned or subsequently obtained. An ISBN is not to be invented and is not mandatory for the editorial draft.</w:t>
      </w:r>
    </w:p>
    <w:p>
      <w:r>
        <w:rPr>
          <w:b w:val="0"/>
        </w:rPr>
        <w:t xml:space="preserve">• </w:t>
      </w:r>
      <w:r>
        <w:rPr>
          <w:b/>
        </w:rPr>
        <w:t>Why:</w:t>
      </w:r>
      <w:r>
        <w:rPr>
          <w:b w:val="0"/>
        </w:rPr>
        <w:t xml:space="preserve"> Rights ownership and publication metadata must not be inferred.</w:t>
      </w:r>
    </w:p>
    <w:p>
      <w:r>
        <w:rPr>
          <w:b w:val="0"/>
        </w:rPr>
        <w:t xml:space="preserve">• </w:t>
      </w:r>
      <w:r>
        <w:rPr>
          <w:b/>
        </w:rPr>
        <w:t>Suggested format:</w:t>
      </w:r>
      <w:r>
        <w:rPr>
          <w:b w:val="0"/>
        </w:rPr>
        <w:t xml:space="preserve"> © [confirmed year] [confirmed rights holder]; publisher/imprint and contact; confirmed edition; assigned ISBN, if applicable. Brackets here illustrate a response format, not source text.</w:t>
      </w:r>
    </w:p>
    <w:p>
      <w:pPr>
        <w:pStyle w:val="Heading2"/>
      </w:pPr>
      <w:r>
        <w:t>AQ03 — Level, readership, and course credit</w:t>
      </w:r>
    </w:p>
    <w:p>
      <w:r>
        <w:rPr>
          <w:b w:val="0"/>
        </w:rPr>
        <w:t xml:space="preserve">• </w:t>
      </w:r>
      <w:r>
        <w:rPr>
          <w:b/>
        </w:rPr>
        <w:t>Location:</w:t>
      </w:r>
      <w:r>
        <w:rPr>
          <w:b w:val="0"/>
        </w:rPr>
        <w:t xml:space="preserve"> PDF pages 19, 23, and 27.</w:t>
      </w:r>
    </w:p>
    <w:p>
      <w:r>
        <w:rPr>
          <w:b w:val="0"/>
        </w:rPr>
        <w:t xml:space="preserve">• </w:t>
      </w:r>
      <w:r>
        <w:rPr>
          <w:b/>
        </w:rPr>
        <w:t>Exact source:</w:t>
      </w:r>
      <w:r>
        <w:rPr>
          <w:b w:val="0"/>
        </w:rPr>
        <w:t xml:space="preserve"> “Credit Hours: 3.09 CH”; “Level: Doctoral”; “serves learners from introductory to doctoral levels”; “3.09-credit advanced course”.</w:t>
      </w:r>
    </w:p>
    <w:p>
      <w:r>
        <w:rPr>
          <w:b w:val="0"/>
        </w:rPr>
        <w:t xml:space="preserve">• </w:t>
      </w:r>
      <w:r>
        <w:rPr>
          <w:b/>
        </w:rPr>
        <w:t>Required:</w:t>
      </w:r>
      <w:r>
        <w:rPr>
          <w:b w:val="0"/>
        </w:rPr>
        <w:t xml:space="preserve"> Confirm whether 3.09 is the approved credit value, identify the credit system, and specify the primary readership and prerequisites. Is this principally a postgraduate/doctoral textbook with introductory support?</w:t>
      </w:r>
    </w:p>
    <w:p>
      <w:r>
        <w:rPr>
          <w:b w:val="0"/>
        </w:rPr>
        <w:t xml:space="preserve">• </w:t>
      </w:r>
      <w:r>
        <w:rPr>
          <w:b/>
        </w:rPr>
        <w:t>Why:</w:t>
      </w:r>
      <w:r>
        <w:rPr>
          <w:b w:val="0"/>
        </w:rPr>
        <w:t xml:space="preserve"> Course metadata and inconsistent audience positioning affect depth, learning outcomes, and teaching expectations. Do not silently change 3.09 to 3.</w:t>
      </w:r>
    </w:p>
    <w:p>
      <w:r>
        <w:rPr>
          <w:b w:val="0"/>
        </w:rPr>
        <w:t xml:space="preserve">• </w:t>
      </w:r>
      <w:r>
        <w:rPr>
          <w:b/>
        </w:rPr>
        <w:t>Suggested format:</w:t>
      </w:r>
      <w:r>
        <w:rPr>
          <w:b w:val="0"/>
        </w:rPr>
        <w:t xml:space="preserve"> Primary level; assumed prior study; credit value and system; institutional approval details if relevant.</w:t>
      </w:r>
    </w:p>
    <w:p>
      <w:pPr>
        <w:pStyle w:val="Heading2"/>
      </w:pPr>
      <w:r>
        <w:t>AQ04 — Acknowledgements and foreword</w:t>
      </w:r>
    </w:p>
    <w:p>
      <w:r>
        <w:rPr>
          <w:b w:val="0"/>
        </w:rPr>
        <w:t xml:space="preserve">• </w:t>
      </w:r>
      <w:r>
        <w:rPr>
          <w:b/>
        </w:rPr>
        <w:t>Location:</w:t>
      </w:r>
      <w:r>
        <w:rPr>
          <w:b w:val="0"/>
        </w:rPr>
        <w:t xml:space="preserve"> PDF pages 22 and 24.</w:t>
      </w:r>
    </w:p>
    <w:p>
      <w:r>
        <w:rPr>
          <w:b w:val="0"/>
        </w:rPr>
        <w:t xml:space="preserve">• </w:t>
      </w:r>
      <w:r>
        <w:rPr>
          <w:b/>
        </w:rPr>
        <w:t>Exact source:</w:t>
      </w:r>
      <w:r>
        <w:rPr>
          <w:b w:val="0"/>
        </w:rPr>
        <w:t xml:space="preserve"> “Foreword”; “Formal publication should add named institutional acknowledgements, peer reviewers, editors, illustrators, permissions, and contributors.”</w:t>
      </w:r>
    </w:p>
    <w:p>
      <w:r>
        <w:rPr>
          <w:b w:val="0"/>
        </w:rPr>
        <w:t xml:space="preserve">• </w:t>
      </w:r>
      <w:r>
        <w:rPr>
          <w:b/>
        </w:rPr>
        <w:t>Required:</w:t>
      </w:r>
      <w:r>
        <w:rPr>
          <w:b w:val="0"/>
        </w:rPr>
        <w:t xml:space="preserve"> Approved acknowledgements and contributor names/roles, or permission to retain only the general acknowledgement and remove the production instruction. Confirm the foreword's author and approval; if it is author-written introductory material, approve relabelling or integration into the preface.</w:t>
      </w:r>
    </w:p>
    <w:p>
      <w:r>
        <w:rPr>
          <w:b w:val="0"/>
        </w:rPr>
        <w:t xml:space="preserve">• </w:t>
      </w:r>
      <w:r>
        <w:rPr>
          <w:b/>
        </w:rPr>
        <w:t>Why:</w:t>
      </w:r>
      <w:r>
        <w:rPr>
          <w:b w:val="0"/>
        </w:rPr>
        <w:t xml:space="preserve"> Avoid invented contributors, implied peer review, or false attribution.</w:t>
      </w:r>
    </w:p>
    <w:p>
      <w:r>
        <w:rPr>
          <w:b w:val="0"/>
        </w:rPr>
        <w:t xml:space="preserve">• </w:t>
      </w:r>
      <w:r>
        <w:rPr>
          <w:b/>
        </w:rPr>
        <w:t>Suggested format:</w:t>
      </w:r>
      <w:r>
        <w:rPr>
          <w:b w:val="0"/>
        </w:rPr>
        <w:t xml:space="preserve"> Approved acknowledgement prose; foreword contributor's name, affiliation, and approved text, if applicable.</w:t>
      </w:r>
    </w:p>
    <w:p>
      <w:pPr>
        <w:pStyle w:val="Heading2"/>
      </w:pPr>
      <w:r>
        <w:t>AQ05 — Unfinished illustrations and visual assets</w:t>
      </w:r>
    </w:p>
    <w:p>
      <w:r>
        <w:rPr>
          <w:b w:val="0"/>
        </w:rPr>
        <w:t xml:space="preserve">• </w:t>
      </w:r>
      <w:r>
        <w:rPr>
          <w:b/>
        </w:rPr>
        <w:t>Location:</w:t>
      </w:r>
      <w:r>
        <w:rPr>
          <w:b w:val="0"/>
        </w:rPr>
        <w:t xml:space="preserve"> Forty occurrences across Chapters 1–20; individual locations in placeholder-register.csv (first occurrence page 129, final occurrences pages 1672–1673).</w:t>
      </w:r>
    </w:p>
    <w:p>
      <w:r>
        <w:rPr>
          <w:b w:val="0"/>
        </w:rPr>
        <w:t xml:space="preserve">• </w:t>
      </w:r>
      <w:r>
        <w:rPr>
          <w:b/>
        </w:rPr>
        <w:t>Exact placeholder:</w:t>
      </w:r>
      <w:r>
        <w:rPr>
          <w:b w:val="0"/>
        </w:rPr>
        <w:t xml:space="preserve"> “[VISUAL PLACEHOLDER]”.</w:t>
      </w:r>
    </w:p>
    <w:p>
      <w:r>
        <w:rPr>
          <w:b w:val="0"/>
        </w:rPr>
        <w:t xml:space="preserve">• </w:t>
      </w:r>
      <w:r>
        <w:rPr>
          <w:b/>
        </w:rPr>
        <w:t>Required:</w:t>
      </w:r>
      <w:r>
        <w:rPr>
          <w:b w:val="0"/>
        </w:rPr>
        <w:t xml:space="preserve"> Supply finished artwork and rights details, or authorise original editorial schematics restricted to concepts already supported in the manuscript. Confirm any evidence base for directional arrows and relationships. Supply editable tables/graphics if available.</w:t>
      </w:r>
    </w:p>
    <w:p>
      <w:r>
        <w:rPr>
          <w:b w:val="0"/>
        </w:rPr>
        <w:t xml:space="preserve">• </w:t>
      </w:r>
      <w:r>
        <w:rPr>
          <w:b/>
        </w:rPr>
        <w:t>Why:</w:t>
      </w:r>
      <w:r>
        <w:rPr>
          <w:b w:val="0"/>
        </w:rPr>
        <w:t xml:space="preserve"> A production brief is not a finished scientific figure. No invented data, pathways, or plotted findings can be used to fill it.</w:t>
      </w:r>
    </w:p>
    <w:p>
      <w:r>
        <w:rPr>
          <w:b w:val="0"/>
        </w:rPr>
        <w:t xml:space="preserve">• </w:t>
      </w:r>
      <w:r>
        <w:rPr>
          <w:b/>
        </w:rPr>
        <w:t>Suggested format:</w:t>
      </w:r>
      <w:r>
        <w:rPr>
          <w:b w:val="0"/>
        </w:rPr>
        <w:t xml:space="preserve"> Figure identifier; editable SVG/PDF or suitable image; final caption; abbreviations/legend; source and permission/licence where relevant.</w:t>
      </w:r>
    </w:p>
    <w:p>
      <w:pPr>
        <w:pStyle w:val="Heading2"/>
      </w:pPr>
      <w:r>
        <w:t>AQ06 — Teaching templates versus unfinished examples</w:t>
      </w:r>
    </w:p>
    <w:p>
      <w:r>
        <w:rPr>
          <w:b w:val="0"/>
        </w:rPr>
        <w:t xml:space="preserve">• </w:t>
      </w:r>
      <w:r>
        <w:rPr>
          <w:b/>
        </w:rPr>
        <w:t>Location:</w:t>
      </w:r>
      <w:r>
        <w:rPr>
          <w:b w:val="0"/>
        </w:rPr>
        <w:t xml:space="preserve"> PDF pages 1709–1711; all bracketed occurrences recorded separately in placeholder-register.csv.</w:t>
      </w:r>
    </w:p>
    <w:p>
      <w:r>
        <w:rPr>
          <w:b w:val="0"/>
        </w:rPr>
        <w:t xml:space="preserve">• </w:t>
      </w:r>
      <w:r>
        <w:rPr>
          <w:b/>
        </w:rPr>
        <w:t>Exact examples:</w:t>
      </w:r>
      <w:r>
        <w:rPr>
          <w:b w:val="0"/>
        </w:rPr>
        <w:t xml:space="preserve"> “[Insert]”; “[Insert scanner, sequences, quality, and limitations]”; “[Describe anatomy using standard radiological language]”; “[Provide a concise clinical interpretation]”; “[Report effect estimates and uncertainty]”; “[State group-level meaning and alternatives]”.</w:t>
      </w:r>
    </w:p>
    <w:p>
      <w:r>
        <w:rPr>
          <w:b w:val="0"/>
        </w:rPr>
        <w:t xml:space="preserve">• </w:t>
      </w:r>
      <w:r>
        <w:rPr>
          <w:b/>
        </w:rPr>
        <w:t>Required:</w:t>
      </w:r>
      <w:r>
        <w:rPr>
          <w:b w:val="0"/>
        </w:rPr>
        <w:t xml:space="preserve"> Confirm that these are intentionally uncompleted learner templates. If completed worked examples are intended instead, provide approved content and confirm its fictional/composite status.</w:t>
      </w:r>
    </w:p>
    <w:p>
      <w:r>
        <w:rPr>
          <w:b w:val="0"/>
        </w:rPr>
        <w:t xml:space="preserve">• </w:t>
      </w:r>
      <w:r>
        <w:rPr>
          <w:b/>
        </w:rPr>
        <w:t>Why:</w:t>
      </w:r>
      <w:r>
        <w:rPr>
          <w:b w:val="0"/>
        </w:rPr>
        <w:t xml:space="preserve"> Intentionally blank exercises are not automatically manuscript defects. Filling them without instructions would invent clinical or research information.</w:t>
      </w:r>
    </w:p>
    <w:p>
      <w:r>
        <w:rPr>
          <w:b w:val="0"/>
        </w:rPr>
        <w:t xml:space="preserve">• </w:t>
      </w:r>
      <w:r>
        <w:rPr>
          <w:b/>
        </w:rPr>
        <w:t>Suggested format:</w:t>
      </w:r>
      <w:r>
        <w:rPr>
          <w:b w:val="0"/>
        </w:rPr>
        <w:t xml:space="preserve"> “Retain as blank learner worksheet” or approved completed example under its template title. If retained, convert bracketed instructions to clearly labelled completion fields and state that completion is the learner's task.</w:t>
      </w:r>
    </w:p>
    <w:p>
      <w:pPr>
        <w:pStyle w:val="Heading2"/>
      </w:pPr>
      <w:r>
        <w:t>AQ07 — Suggested readings and missing subject-specific development</w:t>
      </w:r>
    </w:p>
    <w:p>
      <w:r>
        <w:rPr>
          <w:b w:val="0"/>
        </w:rPr>
        <w:t xml:space="preserve">• </w:t>
      </w:r>
      <w:r>
        <w:rPr>
          <w:b/>
        </w:rPr>
        <w:t>Location:</w:t>
      </w:r>
      <w:r>
        <w:rPr>
          <w:b w:val="0"/>
        </w:rPr>
        <w:t xml:space="preserve"> Recurrent chapter-end Suggested Readings; for example, page 1678.</w:t>
      </w:r>
    </w:p>
    <w:p>
      <w:r>
        <w:rPr>
          <w:b w:val="0"/>
        </w:rPr>
        <w:t xml:space="preserve">• </w:t>
      </w:r>
      <w:r>
        <w:rPr>
          <w:b/>
        </w:rPr>
        <w:t>Exact examples:</w:t>
      </w:r>
      <w:r>
        <w:rPr>
          <w:b w:val="0"/>
        </w:rPr>
        <w:t xml:space="preserve"> “A current neuroscience textbook chapter concerning research questions and theory and experimental design.”; “A recent systematic review concerning qualitative inquiry or mixed-methods research.”</w:t>
      </w:r>
    </w:p>
    <w:p>
      <w:r>
        <w:rPr>
          <w:b w:val="0"/>
        </w:rPr>
        <w:t xml:space="preserve">• </w:t>
      </w:r>
      <w:r>
        <w:rPr>
          <w:b/>
        </w:rPr>
        <w:t>Required:</w:t>
      </w:r>
      <w:r>
        <w:rPr>
          <w:b w:val="0"/>
        </w:rPr>
        <w:t xml:space="preserve"> Provide actual selected sources, or approve relabelling these instructions as literature-search activities. Also supply missing subject-specific explanation wherever the full review finds a generic paragraph in place of substantive coverage.</w:t>
      </w:r>
    </w:p>
    <w:p>
      <w:r>
        <w:rPr>
          <w:b w:val="0"/>
        </w:rPr>
        <w:t xml:space="preserve">• </w:t>
      </w:r>
      <w:r>
        <w:rPr>
          <w:b/>
        </w:rPr>
        <w:t>Why:</w:t>
      </w:r>
      <w:r>
        <w:rPr>
          <w:b w:val="0"/>
        </w:rPr>
        <w:t xml:space="preserve"> A description of a desired source is not a bibliographic entry. The editor cannot invent selections or evidence. reading-query-register.csv contains 80 matched reading instructions; it is a pattern-based screening subset, not a complete bibliography audit.</w:t>
      </w:r>
    </w:p>
    <w:p>
      <w:r>
        <w:rPr>
          <w:b w:val="0"/>
        </w:rPr>
        <w:t xml:space="preserve">• </w:t>
      </w:r>
      <w:r>
        <w:rPr>
          <w:b/>
        </w:rPr>
        <w:t>Suggested format:</w:t>
      </w:r>
      <w:r>
        <w:rPr>
          <w:b w:val="0"/>
        </w:rPr>
        <w:t xml:space="preserve"> Verified bibliographic entry, or an explicitly labelled learner search task with the existing scope retained.</w:t>
      </w:r>
    </w:p>
    <w:p>
      <w:pPr>
        <w:pStyle w:val="Heading2"/>
      </w:pPr>
      <w:r>
        <w:t>AQ08 — References and source access</w:t>
      </w:r>
    </w:p>
    <w:p>
      <w:r>
        <w:rPr>
          <w:b w:val="0"/>
        </w:rPr>
        <w:t xml:space="preserve">• </w:t>
      </w:r>
      <w:r>
        <w:rPr>
          <w:b/>
        </w:rPr>
        <w:t>Location:</w:t>
      </w:r>
      <w:r>
        <w:rPr>
          <w:b w:val="0"/>
        </w:rPr>
        <w:t xml:space="preserve"> Chapter reference lists and consolidated references, PDF pages 1714–1718; example abbreviation “Marek, S., Tervo-Clemmens, B., Calabro, F. J., et al. (2022).” on page 1717.</w:t>
      </w:r>
    </w:p>
    <w:p>
      <w:r>
        <w:rPr>
          <w:b w:val="0"/>
        </w:rPr>
        <w:t xml:space="preserve">• </w:t>
      </w:r>
      <w:r>
        <w:rPr>
          <w:b/>
        </w:rPr>
        <w:t>Required:</w:t>
      </w:r>
      <w:r>
        <w:rPr>
          <w:b w:val="0"/>
        </w:rPr>
        <w:t xml:space="preserve"> Supply any available reference-manager library, full bibliographic records for abbreviated entries, and source documents or stable links for checking questioned claims. Confirm whether the book should retain both chapter lists and a consolidated list.</w:t>
      </w:r>
    </w:p>
    <w:p>
      <w:r>
        <w:rPr>
          <w:b w:val="0"/>
        </w:rPr>
        <w:t xml:space="preserve">• </w:t>
      </w:r>
      <w:r>
        <w:rPr>
          <w:b/>
        </w:rPr>
        <w:t>Why:</w:t>
      </w:r>
      <w:r>
        <w:rPr>
          <w:b w:val="0"/>
        </w:rPr>
        <w:t xml:space="preserve"> APA 7 reference entries require appropriate author lists; missing names, DOIs, dates, or publication details cannot be guessed. Bibliographic existence and claim support are separate checks.</w:t>
      </w:r>
    </w:p>
    <w:p>
      <w:r>
        <w:rPr>
          <w:b w:val="0"/>
        </w:rPr>
        <w:t xml:space="preserve">• </w:t>
      </w:r>
      <w:r>
        <w:rPr>
          <w:b/>
        </w:rPr>
        <w:t>Suggested format:</w:t>
      </w:r>
      <w:r>
        <w:rPr>
          <w:b w:val="0"/>
        </w:rPr>
        <w:t xml:space="preserve"> RIS/BibTeX/EndNote export or verified full entries; source page/section supporting each questioned claim.</w:t>
      </w:r>
    </w:p>
    <w:p>
      <w:pPr>
        <w:pStyle w:val="Heading1"/>
      </w:pPr>
      <w:r>
        <w:t>4. Further substantive issues requiring verification</w:t>
      </w:r>
    </w:p>
    <w:p>
      <w:pPr>
        <w:pStyle w:val="Heading2"/>
      </w:pPr>
      <w:r>
        <w:t>Glossary is substantially unfinished</w:t>
      </w:r>
    </w:p>
    <w:p>
      <w:r>
        <w:rPr>
          <w:b w:val="0"/>
        </w:rPr>
        <w:t xml:space="preserve">The phrase “a technical term used in trauma neuroscience” occurs </w:t>
      </w:r>
      <w:r>
        <w:rPr>
          <w:b/>
        </w:rPr>
        <w:t>182 times</w:t>
      </w:r>
      <w:r>
        <w:rPr>
          <w:b w:val="0"/>
        </w:rPr>
        <w:t>. The register glossary-query-register.csv records 182 term-specific occurrences with page locations. For example, “Acetylcholine” on page 1680 is followed by the same generic instruction used for many unrelated terms. This is not an adequate definition. Definitions should first be recovered from accurate explanations already in the chapters; where absent, the subject author must supply or approve them with appropriate support. Do not replace all entries with newly invented scientific exposition.</w:t>
      </w:r>
    </w:p>
    <w:p>
      <w:pPr>
        <w:pStyle w:val="Heading2"/>
      </w:pPr>
      <w:r>
        <w:t>References require an evidence audit, not cosmetic reformatting</w:t>
      </w:r>
    </w:p>
    <w:p>
      <w:r>
        <w:rPr>
          <w:b w:val="0"/>
        </w:rPr>
        <w:t>Preserve the supplied citations during diagnostic work. Check every in-text citation against its reference entry, then check whether the source supports the nearby proposition. Repeated source-rotation language must not be retained simply because the bibliography contains the named work. Reference titles, institutional author names, and quotations must retain their authentic spelling even when surrounding prose uses British English. References containing “et al.” need full record verification before APA 7 author-list formatting. No external bibliographic or clinical-guideline verification has yet been completed.</w:t>
      </w:r>
    </w:p>
    <w:p>
      <w:pPr>
        <w:pStyle w:val="Heading2"/>
      </w:pPr>
      <w:r>
        <w:t>Apparent index is not a locatable index</w:t>
      </w:r>
    </w:p>
    <w:p>
      <w:r>
        <w:rPr>
          <w:b w:val="0"/>
        </w:rPr>
        <w:t>Pages 1720–1721 list alphabetised terms without page locators. Do not publish this as a working index. Either omit it or generate a reliable index from the final paginated text; a glossary and list of key terms can remain separate features.</w:t>
      </w:r>
    </w:p>
    <w:p>
      <w:pPr>
        <w:pStyle w:val="Heading2"/>
      </w:pPr>
      <w:r>
        <w:t>Visual lists and tables require reconciliation</w:t>
      </w:r>
    </w:p>
    <w:p>
      <w:r>
        <w:rPr>
          <w:b w:val="0"/>
        </w:rPr>
        <w:t>Pages 44–50 contain lists of tables, charts, diagrams, and illustrations. Some headings are generic, including “Teaching Illustration for Chapter 1”. These lists must be reconciled with the actual retained assets. Forty explicit unfinished figure briefs were detected; this does not establish that every other graphic is absent. The complete visual inventory, table reconstruction, data integrity check, and cross-reference audit remain outstanding. Review any numerical chart for an identified empirical source or an explicit conceptual/illustrative label; do not infer empirical validity from a professional appearance.</w:t>
      </w:r>
    </w:p>
    <w:p>
      <w:pPr>
        <w:pStyle w:val="Heading2"/>
      </w:pPr>
      <w:r>
        <w:t>Clinical and research safety</w:t>
      </w:r>
    </w:p>
    <w:p>
      <w:r>
        <w:rPr>
          <w:b w:val="0"/>
        </w:rPr>
        <w:t>The source's educational disclaimer on page 20 and distinctions between teaching composites and empirical evidence should be retained. Subject review should cover treatment recommendations, biomarker interpretation, neuroimaging reports, laboratory procedures, and current guideline status. This assessment neither validates procedures nor certifies that guidance is current.</w:t>
      </w:r>
    </w:p>
    <w:p>
      <w:pPr>
        <w:pStyle w:val="Heading1"/>
      </w:pPr>
      <w:r>
        <w:t>5. Secularisation policy and identified candidates</w:t>
      </w:r>
    </w:p>
    <w:p>
      <w:r>
        <w:rPr>
          <w:b w:val="0"/>
        </w:rPr>
        <w:t>The final academic text should remove devotional and promotional material while retaining academically relevant religious discussion in neutral terms. Pages 4–6 include ministerial biography and devotional language, including “teaching the Word of God” and “God-given calling”. These passages are candidates for removal from the textbook. A concise secular academic biography may be retained once authorship and factual details are confirmed.</w:t>
      </w:r>
    </w:p>
    <w:p>
      <w:r>
        <w:rPr>
          <w:b w:val="0"/>
        </w:rPr>
        <w:t>Pages 8–18 contain institutional programme/promotional material that should be assessed for removal from academic front matter. An institution's legal name must not be changed merely because it includes “Biblical”. Likewise, relevant discussion of religious coping or spirituality should be judged by its scholarly function, not deleted by keyword. Whole-book contextual secularisation has not yet been completed; no blanket keyword deletion has been performed.</w:t>
      </w:r>
    </w:p>
    <w:p>
      <w:pPr>
        <w:pStyle w:val="Heading1"/>
      </w:pPr>
      <w:r>
        <w:t>6. Proposed editorial and production style sheet</w:t>
      </w:r>
    </w:p>
    <w:p>
      <w:r>
        <w:rPr>
          <w:b w:val="0"/>
        </w:rPr>
        <w:t xml:space="preserve">• </w:t>
      </w:r>
      <w:r>
        <w:rPr>
          <w:b/>
        </w:rPr>
        <w:t>Language:</w:t>
      </w:r>
      <w:r>
        <w:rPr>
          <w:b w:val="0"/>
        </w:rPr>
        <w:t xml:space="preserve"> British English in original narrative; preserve authentic source titles, proper names, quotations, and instrument names.</w:t>
      </w:r>
    </w:p>
    <w:p>
      <w:r>
        <w:rPr>
          <w:b w:val="0"/>
        </w:rPr>
        <w:t xml:space="preserve">• </w:t>
      </w:r>
      <w:r>
        <w:rPr>
          <w:b/>
        </w:rPr>
        <w:t>Tone:</w:t>
      </w:r>
      <w:r>
        <w:rPr>
          <w:b w:val="0"/>
        </w:rPr>
        <w:t xml:space="preserve"> Precise, non-deterministic, analytical, and readable. Distinguish association, mechanism, inference, and clinical utility.</w:t>
      </w:r>
    </w:p>
    <w:p>
      <w:r>
        <w:rPr>
          <w:b w:val="0"/>
        </w:rPr>
        <w:t xml:space="preserve">• </w:t>
      </w:r>
      <w:r>
        <w:rPr>
          <w:b/>
        </w:rPr>
        <w:t>Terminology:</w:t>
      </w:r>
      <w:r>
        <w:rPr>
          <w:b w:val="0"/>
        </w:rPr>
        <w:t xml:space="preserve"> Define abbreviations at first substantive use; maintain an acronym register. Preserve distinctions among trauma exposure, traumatic stress, PTSD, and complex presentations.</w:t>
      </w:r>
    </w:p>
    <w:p>
      <w:r>
        <w:rPr>
          <w:b w:val="0"/>
        </w:rPr>
        <w:t xml:space="preserve">• </w:t>
      </w:r>
      <w:r>
        <w:rPr>
          <w:b/>
        </w:rPr>
        <w:t>Headings:</w:t>
      </w:r>
      <w:r>
        <w:rPr>
          <w:b w:val="0"/>
        </w:rPr>
        <w:t xml:space="preserve"> Chapter number and title; numbered primary sections (1.1), then subsections (1.1.1) only where useful. Use consistent sentence case without lowercasing technical acronyms such as GABA, HPA, PTSD, and MRI.</w:t>
      </w:r>
    </w:p>
    <w:p>
      <w:r>
        <w:rPr>
          <w:b w:val="0"/>
        </w:rPr>
        <w:t xml:space="preserve">• </w:t>
      </w:r>
      <w:r>
        <w:rPr>
          <w:b/>
        </w:rPr>
        <w:t>Learning design:</w:t>
      </w:r>
      <w:r>
        <w:rPr>
          <w:b w:val="0"/>
        </w:rPr>
        <w:t xml:space="preserve"> Concise objectives; conceptually ordered sections; supported examples; summary; distinct review/application/research tasks. Avoid duplicating objectives under another label.</w:t>
      </w:r>
    </w:p>
    <w:p>
      <w:r>
        <w:rPr>
          <w:b w:val="0"/>
        </w:rPr>
        <w:t xml:space="preserve">• </w:t>
      </w:r>
      <w:r>
        <w:rPr>
          <w:b/>
        </w:rPr>
        <w:t>Citations:</w:t>
      </w:r>
      <w:r>
        <w:rPr>
          <w:b w:val="0"/>
        </w:rPr>
        <w:t xml:space="preserve"> APA 7 provisionally; verify reference metadata before completing missing fields. Maintain citation-to-reference and reference-to-citation checks.</w:t>
      </w:r>
    </w:p>
    <w:p>
      <w:r>
        <w:rPr>
          <w:b w:val="0"/>
        </w:rPr>
        <w:t xml:space="preserve">• </w:t>
      </w:r>
      <w:r>
        <w:rPr>
          <w:b/>
        </w:rPr>
        <w:t>Visuals:</w:t>
      </w:r>
      <w:r>
        <w:rPr>
          <w:b w:val="0"/>
        </w:rPr>
        <w:t xml:space="preserve"> Prefer a consistent chapter-based figure sequence for diagrams/charts/illustrations, subject to asset review. Retain chapter-based table numbering. Record old-to-new identifiers before changing cross-references.</w:t>
      </w:r>
    </w:p>
    <w:p>
      <w:r>
        <w:rPr>
          <w:b w:val="0"/>
        </w:rPr>
        <w:t xml:space="preserve">• </w:t>
      </w:r>
      <w:r>
        <w:rPr>
          <w:b/>
        </w:rPr>
        <w:t>Print design proposal:</w:t>
      </w:r>
      <w:r>
        <w:rPr>
          <w:b w:val="0"/>
        </w:rPr>
        <w:t xml:space="preserve"> 7 × 10 inch text page; approximately 0.85 inch inner and 0.7 inch outer margins, adjusted after printer/binding specifications. Body: embedded Source Serif 4 or another properly licensed book serif, 11 pt on approximately 14 pt leading. Chapter titles: 24 pt; primary headings: 15 pt; subheadings: 12 pt. This is a production proposal, not typography already applied to the source.</w:t>
      </w:r>
    </w:p>
    <w:p>
      <w:r>
        <w:rPr>
          <w:b w:val="0"/>
        </w:rPr>
        <w:t xml:space="preserve">• </w:t>
      </w:r>
      <w:r>
        <w:rPr>
          <w:b/>
        </w:rPr>
        <w:t>Page furniture:</w:t>
      </w:r>
      <w:r>
        <w:rPr>
          <w:b w:val="0"/>
        </w:rPr>
        <w:t xml:space="preserve"> Roman-numbered front matter and Arabic-numbered main matter; restrained running heads; chapter-opening suppression of running heads; consistent folios; controlled widows/orphans and table breaks.</w:t>
      </w:r>
    </w:p>
    <w:p>
      <w:r>
        <w:rPr>
          <w:b w:val="0"/>
        </w:rPr>
        <w:t xml:space="preserve">• </w:t>
      </w:r>
      <w:r>
        <w:rPr>
          <w:b/>
        </w:rPr>
        <w:t>Navigation:</w:t>
      </w:r>
      <w:r>
        <w:rPr>
          <w:b w:val="0"/>
        </w:rPr>
        <w:t xml:space="preserve"> Generate contents and visual lists from retained headings and captions only after structural editing. Generate locators from actual pagination, never estimated page numbers.</w:t>
      </w:r>
    </w:p>
    <w:p>
      <w:pPr>
        <w:pStyle w:val="Heading1"/>
      </w:pPr>
      <w:r>
        <w:t>7. Quality-control status</w:t>
      </w:r>
    </w:p>
    <w:p>
      <w:pPr>
        <w:pStyle w:val="Heading2"/>
      </w:pPr>
      <w:r>
        <w:t>Completed for this preliminary assessment</w:t>
      </w:r>
    </w:p>
    <w:p>
      <w:r>
        <w:rPr>
          <w:b w:val="0"/>
        </w:rPr>
        <w:t>• Extracted text from all 1,722 PDF pages.</w:t>
      </w:r>
    </w:p>
    <w:p>
      <w:r>
        <w:rPr>
          <w:b w:val="0"/>
        </w:rPr>
        <w:t>• Located twenty chapter openings and recorded source-page boundaries.</w:t>
      </w:r>
    </w:p>
    <w:p>
      <w:r>
        <w:rPr>
          <w:b w:val="0"/>
        </w:rPr>
        <w:t xml:space="preserve">• Registered </w:t>
      </w:r>
      <w:r>
        <w:rPr>
          <w:b/>
        </w:rPr>
        <w:t>116 bracketed occurrences</w:t>
      </w:r>
      <w:r>
        <w:rPr>
          <w:b w:val="0"/>
        </w:rPr>
        <w:t xml:space="preserve">, including </w:t>
      </w:r>
      <w:r>
        <w:rPr>
          <w:b/>
        </w:rPr>
        <w:t>40 visual placeholders</w:t>
      </w:r>
      <w:r>
        <w:rPr>
          <w:b w:val="0"/>
        </w:rPr>
        <w:t>. Some matches span PDF text lines; 76 remaining occurrences are provisionally classified as teaching-template fields, pending confirmation.</w:t>
      </w:r>
    </w:p>
    <w:p>
      <w:r>
        <w:rPr>
          <w:b w:val="0"/>
        </w:rPr>
        <w:t>• Registered 182 generic glossary entries by term and source page.</w:t>
      </w:r>
    </w:p>
    <w:p>
      <w:r>
        <w:rPr>
          <w:b w:val="0"/>
        </w:rPr>
        <w:t>• Screened repeated exact extracted sentences: 301 sentence groups occur on at least five source pages. Sentence segmentation and PDF extraction can affect these figures.</w:t>
      </w:r>
    </w:p>
    <w:p>
      <w:r>
        <w:rPr>
          <w:b w:val="0"/>
        </w:rPr>
        <w:t>• Identified 41 occurrences of “programmeme” after whitespace normalisation as copyediting candidates; source-image checks will distinguish genuine source errors from extraction artefacts.</w:t>
      </w:r>
    </w:p>
    <w:p>
      <w:r>
        <w:rPr>
          <w:b w:val="0"/>
        </w:rPr>
        <w:t>• Recorded selected publication, audience, secularisation, attribution, and reference queries.</w:t>
      </w:r>
    </w:p>
    <w:p>
      <w:pPr>
        <w:pStyle w:val="Heading2"/>
      </w:pPr>
      <w:r>
        <w:t>Not yet completed; required before any final declaration</w:t>
      </w:r>
    </w:p>
    <w:p>
      <w:r>
        <w:rPr>
          <w:b w:val="0"/>
        </w:rPr>
        <w:t>• Complete beginning-to-end developmental reading and claim mapping.</w:t>
      </w:r>
    </w:p>
    <w:p>
      <w:r>
        <w:rPr>
          <w:b w:val="0"/>
        </w:rPr>
        <w:t>• Section-by-section editing with a substantive-content preservation log.</w:t>
      </w:r>
    </w:p>
    <w:p>
      <w:r>
        <w:rPr>
          <w:b w:val="0"/>
        </w:rPr>
        <w:t>• Whole-book contextual secularisation and review of retained religious discussion.</w:t>
      </w:r>
    </w:p>
    <w:p>
      <w:r>
        <w:rPr>
          <w:b w:val="0"/>
        </w:rPr>
        <w:t>• Source verification, citation reconciliation, and complete APA 7 reference editing.</w:t>
      </w:r>
    </w:p>
    <w:p>
      <w:r>
        <w:rPr>
          <w:b w:val="0"/>
        </w:rPr>
        <w:t>• Table/figure inventory, data and permissions checks, and finished artwork.</w:t>
      </w:r>
    </w:p>
    <w:p>
      <w:r>
        <w:rPr>
          <w:b w:val="0"/>
        </w:rPr>
        <w:t>• Glossary completion and teaching-template decisions.</w:t>
      </w:r>
    </w:p>
    <w:p>
      <w:r>
        <w:rPr>
          <w:b w:val="0"/>
        </w:rPr>
        <w:t>• Editable manuscript production, book typesetting, generated contents and visual lists, and pagination.</w:t>
      </w:r>
    </w:p>
    <w:p>
      <w:r>
        <w:rPr>
          <w:b w:val="0"/>
        </w:rPr>
        <w:t>• Independent proofreading of the edited text and final page proofs.</w:t>
      </w:r>
    </w:p>
    <w:p>
      <w:r>
        <w:rPr>
          <w:b w:val="0"/>
        </w:rPr>
        <w:t>• Final cross-reference, omission, consistency, accessibility, font-embedding, and print-preflight checks.</w:t>
      </w:r>
    </w:p>
    <w:p>
      <w:r>
        <w:rPr>
          <w:b w:val="0"/>
        </w:rPr>
      </w:r>
      <w:r>
        <w:rPr>
          <w:b/>
        </w:rPr>
        <w:t>Release decision: HOLD.</w:t>
      </w:r>
      <w:r>
        <w:rPr>
          <w:b w:val="0"/>
        </w:rPr>
        <w:t xml:space="preserve"> This is an initial assessment with unresolved author queries. Neither a completely edited book nor a final quality-control certificate is being delivered at this stage.</w:t>
      </w:r>
    </w:p>
    <w:p>
      <w:pPr>
        <w:pStyle w:val="Heading1"/>
      </w:pPr>
      <w:r>
        <w:t>8. Files supplied</w:t>
      </w:r>
    </w:p>
    <w:p>
      <w:r>
        <w:rPr>
          <w:b w:val="0"/>
        </w:rPr>
        <w:t>• Editorial_Assessment_and_Author_Queries.pdf — reader-friendly assessment and author queries.</w:t>
      </w:r>
    </w:p>
    <w:p>
      <w:r>
        <w:rPr>
          <w:b w:val="0"/>
        </w:rPr>
        <w:t>• Editorial_Assessment_and_Author_Queries.docx — editable version of this assessment.</w:t>
      </w:r>
    </w:p>
    <w:p>
      <w:r>
        <w:rPr>
          <w:b w:val="0"/>
        </w:rPr>
        <w:t>• Editorial_Assessment_and_Author_Queries.md — plain-text source of the assessment.</w:t>
      </w:r>
    </w:p>
    <w:p>
      <w:r>
        <w:rPr>
          <w:b w:val="0"/>
        </w:rPr>
        <w:t>• placeholder-register.csv — every bracketed occurrence detected, with context, information needed, reason, and suggested replacement format.</w:t>
      </w:r>
    </w:p>
    <w:p>
      <w:r>
        <w:rPr>
          <w:b w:val="0"/>
        </w:rPr>
        <w:t>• glossary-query-register.csv — 182 generic-definition entries requiring term-specific development.</w:t>
      </w:r>
    </w:p>
    <w:p>
      <w:r>
        <w:rPr>
          <w:b w:val="0"/>
        </w:rPr>
        <w:t>• reading-query-register.csv — matched generic reading instructions requiring selection or relabelling.</w:t>
      </w:r>
    </w:p>
    <w:p>
      <w:r>
        <w:rPr>
          <w:b w:val="0"/>
        </w:rPr>
        <w:t>• repetition-screen.csv — exact-sentence recurrence evidence for contextual review, not automated deletion.</w:t>
      </w:r>
    </w:p>
    <w:p>
      <w:r>
        <w:rPr>
          <w:b w:val="0"/>
        </w:rPr>
        <w:t>• chapter-map.csv — identified chapter titles and source-page ranges.</w:t>
      </w:r>
    </w:p>
    <w:p>
      <w:r>
        <w:rPr>
          <w:b w:val="0"/>
        </w:rPr>
        <w:t>Please answer AQ01–AQ08. If available, also supply the original Word/LaTeX manuscript and editable visual assets: they will improve structural recovery and reduce the risk of losing tables, equations, notes, or meaningful formatting during PDF reconstruction. The PDF remains a usable source if no editable original exists.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an edited manuscript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PRELIMINARY EDITORIAL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