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Development Across the Lifespan and Developmental Timing of Trauma</w:t>
      </w:r>
    </w:p>
    <w:p>
      <w:pPr>
        <w:pStyle w:val="Caption"/>
      </w:pPr>
      <w:r>
        <w:t>Chapter 3</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Why does the same adversity produce different outcomes at different ages, and what does developmental evidence actually license us to say about a person?</w:t>
      </w:r>
    </w:p>
    <w:p>
      <w:pPr>
        <w:pStyle w:val="Heading2"/>
      </w:pPr>
      <w:r>
        <w:t>Learning objectives</w:t>
      </w:r>
    </w:p>
    <w:p>
      <w:r>
        <w:rPr>
          <w:b w:val="0"/>
          <w:i w:val="0"/>
        </w:rPr>
        <w:t>• describe the principal events of prenatal and postnatal brain development;</w:t>
      </w:r>
    </w:p>
    <w:p>
      <w:r>
        <w:rPr>
          <w:b w:val="0"/>
          <w:i w:val="0"/>
        </w:rPr>
        <w:t>• explain why timing, duration and repetition of adversity matter biologically;</w:t>
      </w:r>
    </w:p>
    <w:p>
      <w:r>
        <w:rPr>
          <w:b w:val="0"/>
          <w:i w:val="0"/>
        </w:rPr>
        <w:t>• distinguish sensitive periods from critical periods, and evidence from inference;</w:t>
      </w:r>
    </w:p>
    <w:p>
      <w:r>
        <w:rPr>
          <w:b w:val="0"/>
          <w:i w:val="0"/>
        </w:rPr>
        <w:t>• evaluate claims that early adversity causes permanent brain damage;</w:t>
      </w:r>
    </w:p>
    <w:p>
      <w:r>
        <w:rPr>
          <w:b w:val="0"/>
          <w:i w:val="0"/>
        </w:rPr>
        <w:t>• apply developmental reasoning to assessment, education and service design.</w:t>
      </w:r>
    </w:p>
    <w:p>
      <w:pPr>
        <w:pStyle w:val="Heading1"/>
      </w:pPr>
      <w:r>
        <w:t>Introduction</w:t>
      </w:r>
    </w:p>
    <w:p>
      <w:r>
        <w:rPr>
          <w:b w:val="0"/>
          <w:i w:val="0"/>
        </w:rPr>
        <w:t>Development is not a single process that switches on at birth and off at maturity. It is a sequence of overlapping windows in which experience shapes structure and function at different rates. The prenatal period is dominated by cell proliferation, migration and the initial wiring of circuits. Infancy and early childhood are dominated by rapid synaptogenesis and activity-dependent pruning. Adolescence involves the maturation of association cortex and of the dopamine system, alongside hormonal change. Adulthood retains substantial plasticity, and ageing brings cumulative exposure and declining repair capacity.</w:t>
      </w:r>
    </w:p>
    <w:p>
      <w:r>
        <w:rPr>
          <w:b w:val="0"/>
          <w:i w:val="0"/>
        </w:rPr>
        <w:t>Trauma intersects this sequence unevenly. The same event—a violent assault, a bereavement, displacement—arrives at a brain at a particular stage of myelination, receptor expression and social dependence. That is why developmental timing is one of the most important variables in trauma research, and one of the most poorly measured. Most studies record the age at assessment, not the age at exposure; many record a single exposure category, not its chronicity or the presence of a safe caregiver.</w:t>
      </w:r>
    </w:p>
    <w:p>
      <w:r>
        <w:rPr>
          <w:b w:val="0"/>
          <w:i w:val="0"/>
        </w:rPr>
        <w:t>This chapter describes what is reasonably well established, separates that from what is inferred, and shows how developmental reasoning should change clinical and educational practice. It also states the limits clearly, because claims about "damaged developing brains" have been used to justify pessimism, stigma and fatalism that the evidence does not support.</w:t>
      </w:r>
    </w:p>
    <w:p>
      <w:pPr>
        <w:pStyle w:val="Quote"/>
      </w:pPr>
      <w:r>
        <w:rPr>
          <w:b w:val="0"/>
          <w:i w:val="0"/>
        </w:rPr>
      </w:r>
      <w:r>
        <w:rPr>
          <w:b/>
          <w:i w:val="0"/>
        </w:rPr>
        <w:t>A note on language.</w:t>
      </w:r>
      <w:r>
        <w:rPr>
          <w:b w:val="0"/>
          <w:i w:val="0"/>
        </w:rPr>
        <w:t xml:space="preserve"> "Sensitive period" is preferable to "critical period" for most human developmental phenomena. A sensitive period is a window of heightened plasticity during which experience has a particularly strong effect; it does not mean that later experience has no effect. Critical periods, in the strict sense, are windows after which a function cannot develop—as in early visual deprivation—and are rare in the domains that concern trauma clinicians.</w:t>
      </w:r>
    </w:p>
    <w:p>
      <w:pPr>
        <w:pStyle w:val="Heading1"/>
      </w:pPr>
      <w:r>
        <w:t>3.1 Prenatal neural development</w:t>
      </w:r>
    </w:p>
    <w:p>
      <w:r>
        <w:rPr>
          <w:b w:val="0"/>
          <w:i w:val="0"/>
        </w:rPr>
        <w:t>The neural plate forms in the third week of gestation, folds into the neural tube, and closes by about the fourth week. Failures of closure produce conditions such as spina bifida and anencephaly. From the neural tube, three vesicles emerge—prosencephalon, mesencephalon and rhombencephalon—which subdivide into the adult forebrain, midbrain and hindbrain (Chapter 2).</w:t>
      </w:r>
    </w:p>
    <w:p>
      <w:r>
        <w:rPr>
          <w:b w:val="0"/>
          <w:i w:val="0"/>
        </w:rPr>
        <w:t>Neurons are generated in the ventricular zone and migrate outward along radial glia to form the cortical plate. Migration follows an inside-out sequence: deeper cortical layers are generated first, superficial layers later. Synapse formation begins before birth, and the foetus responds to sound, movement and maternal physiology. The intrauterine environment is therefore already an environment: maternal nutrition, infection, alcohol, drugs, stress hormones and placental function influence the trajectory.</w:t>
      </w:r>
    </w:p>
    <w:p>
      <w:r>
        <w:rPr>
          <w:b w:val="0"/>
          <w:i w:val="0"/>
        </w:rPr>
        <w:t>Human evidence on prenatal stress comes largely from natural experiments and cohort studies. Maternal stress and anxiety during pregnancy are associated with altered infant reactivity and, in some cohorts, with differences in hippocampal and amygdala structure. These are associations, entangled with genetics, socioeconomic conditions and postnatal care. They establish plausibility, not a deterministic pathway from a stressful pregnancy to a disordered child.</w:t>
      </w:r>
    </w:p>
    <w:p>
      <w:pPr>
        <w:pStyle w:val="Heading1"/>
      </w:pPr>
      <w:r>
        <w:t>3.2 Infancy and early caregiving</w:t>
      </w:r>
    </w:p>
    <w:p>
      <w:r>
        <w:rPr>
          <w:b w:val="0"/>
          <w:i w:val="0"/>
        </w:rPr>
        <w:t>The infant brain is not a blank slate; it arrives with organised reflexes, sensory biases and a capacity for social engagement. What it lacks is calibration. Caregiving provides that calibration: repeated cycles of distress, response and soothing teach the infant that arousal is survivable and that another person can help regulate it. This is the biological core of attachment, and it is why neglect can be as damaging as abuse.</w:t>
      </w:r>
    </w:p>
    <w:p>
      <w:r>
        <w:rPr>
          <w:b w:val="0"/>
          <w:i w:val="0"/>
        </w:rPr>
        <w:t>Synaptogenesis peaks in the first years, particularly in sensory and language regions. Myelination proceeds rapidly in sensorimotor pathways. The hypothalamic–pituitary–adrenal axis matures partly through interaction with caregivers; in rodents, early handling alters stress reactivity in adulthood, and in humans, sensitive care is associated with more regulated cortisol patterns.</w:t>
      </w:r>
    </w:p>
    <w:p>
      <w:r>
        <w:rPr>
          <w:b w:val="0"/>
          <w:i w:val="0"/>
        </w:rPr>
        <w:t>Shonkoff and Garner (2012) distinguish positive stress, tolerable stress and toxic stress. Positive stress is brief and buffered by supportive relationships. Tolerable stress is severe but occurs within a context of adequate adult support, allowing recovery. Toxic stress is prolonged, severe and unbuffered, and is the condition under which stress systems may be chronically activated with consequences for learning, behaviour and health. The distinction is useful because it locates the problem not only in the event but in the availability of protection.</w:t>
      </w:r>
    </w:p>
    <w:p>
      <w:pPr>
        <w:pStyle w:val="Heading1"/>
      </w:pPr>
      <w:r>
        <w:t>3.3 Childhood synaptic refinement</w:t>
      </w:r>
    </w:p>
    <w:p>
      <w:r>
        <w:rPr>
          <w:b w:val="0"/>
          <w:i w:val="0"/>
        </w:rPr>
        <w:t>As childhood proceeds, the brain prunes. Synapses that are used are stabilised; those that are not are eliminated. This is not a loss of potential but a specialisation: pruning makes circuits faster and more efficient. It is experience-dependent, which means that the environment selects which connections survive.</w:t>
      </w:r>
    </w:p>
    <w:p>
      <w:r>
        <w:rPr>
          <w:b w:val="0"/>
          <w:i w:val="0"/>
        </w:rPr>
        <w:t>Language provides the clearest example. Children exposed to a language in early childhood acquire native phonology and grammar with an ease that declines markedly after puberty. Deaf children deprived of accessible language in early childhood show lasting differences in language and cognitive outcomes, even when they learn a signed language later. This is a genuine sensitive period with real policy consequences: access to language is a right, not an educational luxury.</w:t>
      </w:r>
    </w:p>
    <w:p>
      <w:r>
        <w:rPr>
          <w:b w:val="0"/>
          <w:i w:val="0"/>
        </w:rPr>
        <w:t>Adversity during this period interacts with refinement. Chronic threat may bias pruning toward circuits that support vigilance at the expense of those that support deliberate control. Teicher and Samson (2016) synthesise imaging evidence linking childhood maltreatment to altered development of the hippocampus, corpus callosum, anterior cingulate and orbitofrontal cortex, together with heightened amygdala reactivity and diminished reward response. Effect sizes are moderate, samples are often small, and the findings are heterogeneous—but the pattern is consistent with a system that has prioritised threat detection.</w:t>
      </w:r>
    </w:p>
    <w:p>
      <w:pPr>
        <w:pStyle w:val="Heading1"/>
      </w:pPr>
      <w:r>
        <w:t>3.4 Adolescent maturation</w:t>
      </w:r>
    </w:p>
    <w:p>
      <w:r>
        <w:rPr>
          <w:b w:val="0"/>
          <w:i w:val="0"/>
        </w:rPr>
        <w:t>Adolescence is a period of profound reorganisation, not a period of "immaturity" in the pejorative sense. Subcortical reward and threat systems mature earlier than prefrontal control systems, producing a developmental mismatch that is normal and adaptive in many contexts. Sensation-seeking and peer affiliation support independence. The same mismatch makes adolescents vulnerable to risk and, in the presence of threat, to persistent fear learning.</w:t>
      </w:r>
    </w:p>
    <w:p>
      <w:r>
        <w:rPr>
          <w:b w:val="0"/>
          <w:i w:val="0"/>
        </w:rPr>
        <w:t>Sex hormones shape this period. Puberty organises and activates differences in stress reactivity, and the onset of depression and anxiety is markedly more common in adolescent girls. Sleep timing shifts, and chronic sleep restriction impairs learning and emotional regulation. Substance use, which frequently begins in adolescence, alters the same circuits.</w:t>
      </w:r>
    </w:p>
    <w:p>
      <w:r>
        <w:rPr>
          <w:b w:val="0"/>
          <w:i w:val="0"/>
        </w:rPr>
        <w:t>Trauma during adolescence often occurs in the context of peer violence, sexual assault, bereavement, displacement and family conflict. These exposures rarely occur alone. A developmental formulation therefore asks not only "what happened?" but "what else was happening, and who was available to help?"</w:t>
      </w:r>
    </w:p>
    <w:p>
      <w:pPr>
        <w:pStyle w:val="Heading1"/>
      </w:pPr>
      <w:r>
        <w:t>3.5 Adult plasticity</w:t>
      </w:r>
    </w:p>
    <w:p>
      <w:r>
        <w:rPr>
          <w:b w:val="0"/>
          <w:i w:val="0"/>
        </w:rPr>
        <w:t>The adult brain is not fixed. It continues to form synapses, modify myelin, and reorganise cortical maps in response to practice and injury. Adult neurogenesis in the dentate gyrus remains an area of active investigation; the evidence for substantial adult human neurogenesis has been contested, and its functional significance is uncertain. Claims that a particular intervention "regrows" hippocampal neurons in adults should be treated cautiously.</w:t>
      </w:r>
    </w:p>
    <w:p>
      <w:r>
        <w:rPr>
          <w:b w:val="0"/>
          <w:i w:val="0"/>
        </w:rPr>
        <w:t>Learning in adulthood can be rapid and durable. Psychotherapy, skills training and rehabilitation all exploit adult plasticity. The difference from early development is not the absence of change but its conditions: adult plasticity is often slower, more dependent on attention and practice, and constrained by established patterns.</w:t>
      </w:r>
    </w:p>
    <w:p>
      <w:r>
        <w:rPr>
          <w:b w:val="0"/>
          <w:i w:val="0"/>
        </w:rPr>
        <w:t>For trauma, this means recovery is possible at any age, and it also means that the habits and interpretations formed after trauma—avoidance, vigilance, self-blame—are themselves learned and can be relearned. The clinical task is to create the conditions under which new learning is possible, not to wait for a developmental window to reopen.</w:t>
      </w:r>
    </w:p>
    <w:p>
      <w:r>
        <w:rPr>
          <w:b w:val="0"/>
          <w:i w:val="0"/>
        </w:rPr>
        <w:t>For a lifespan account of how stress hormones shape brain and behaviour, see Lupien et al. (2009).</w:t>
      </w:r>
    </w:p>
    <w:p>
      <w:pPr>
        <w:pStyle w:val="Heading1"/>
      </w:pPr>
      <w:r>
        <w:t>3.6 Ageing and cumulative stress</w:t>
      </w:r>
    </w:p>
    <w:p>
      <w:r>
        <w:rPr>
          <w:b w:val="0"/>
          <w:i w:val="0"/>
        </w:rPr>
        <w:t>Ageing brings changes in vascular health, sleep architecture, inflammatory tone and cognitive speed. Chronic stress across the lifespan accumulates: McEwen's (1998) concept of allostatic load describes the cost of repeatedly mounting stress responses, reflected in measures such as blood pressure, waist circumference, cortisol, inflammatory markers and cholesterol.</w:t>
      </w:r>
    </w:p>
    <w:p>
      <w:r>
        <w:rPr>
          <w:b w:val="0"/>
          <w:i w:val="0"/>
        </w:rPr>
        <w:t>Older adults with trauma histories may present with symptoms that are attributed to ageing: sleep disturbance, pain, memory complaints, irritability, withdrawal. These deserve assessment rather than dismissal. At the same time, not every late-life difficulty is trauma-related, and over-attribution can delay diagnosis of treatable conditions such as depression, thyroid disease, vitamin deficiency or dementia.</w:t>
      </w:r>
    </w:p>
    <w:p>
      <w:r>
        <w:rPr>
          <w:b w:val="0"/>
          <w:i w:val="0"/>
        </w:rPr>
        <w:t>There is evidence that trauma reminders can become salient again in later life, when roles change, spouses die, or retirement removes structure. This is not evidence that the trauma "returned" biologically; it is evidence that coping depends on resources that can be lost.</w:t>
      </w:r>
    </w:p>
    <w:p>
      <w:pPr>
        <w:pStyle w:val="Heading1"/>
      </w:pPr>
      <w:r>
        <w:t>3.7 Sensitive periods</w:t>
      </w:r>
    </w:p>
    <w:p>
      <w:r>
        <w:rPr>
          <w:b w:val="0"/>
          <w:i w:val="0"/>
        </w:rPr>
        <w:t>Sensitive periods are best understood as windows of elevated plasticity rather than gates that close absolutely. The evidence is strongest for sensory systems and language. For stress regulation and threat learning, the evidence is more indirect: developmental timing clearly matters, but the precise windows, mechanisms and individual variability are not established.</w:t>
      </w:r>
    </w:p>
    <w:p>
      <w:r>
        <w:rPr>
          <w:b w:val="0"/>
          <w:i w:val="0"/>
        </w:rPr>
        <w:t>Three cautions follow. First, animal models of sensitive periods typically involve controlled deprivation or stress, which differs from human adversity embedded in families and communities. Second, retrospective reports of the age at which abuse began are subject to recall error and are commonly used as if they were exact. Third, findings of "sensitive periods" in group data do not identify a threshold age for an individual.</w:t>
      </w:r>
    </w:p>
    <w:p>
      <w:r>
        <w:rPr>
          <w:b w:val="0"/>
          <w:i w:val="0"/>
        </w:rPr>
        <w:t>A developmental history should therefore record timing as carefully as possible—age at onset, duration, frequency, and the presence of protective relationships—while avoiding the implication that an event at a particular age has fixed a person's future.</w:t>
      </w:r>
    </w:p>
    <w:p>
      <w:r>
        <w:rPr>
          <w:b w:val="0"/>
          <w:i w:val="0"/>
        </w:rPr>
        <w:t>The distinction between sensitive and critical periods, and the evidence that early adversity alters developmental trajectories, are reviewed by Lupien et al. (2009) and Shonkoff and Garner (2012).</w:t>
      </w:r>
    </w:p>
    <w:p>
      <w:pPr>
        <w:pStyle w:val="Heading1"/>
      </w:pPr>
      <w:r>
        <w:t>3.8 Attachment-related regulation</w:t>
      </w:r>
    </w:p>
    <w:p>
      <w:r>
        <w:rPr>
          <w:b w:val="0"/>
          <w:i w:val="0"/>
        </w:rPr>
        <w:t>Attachment is a relational system, not a personality type. It describes how a child organises behaviour toward a caregiver under conditions of threat. Secure attachment develops when care is available and responsive; insecure patterns develop when it is inconsistent, rejecting or frightening. Disorganised attachment is associated with frightening or frightened caregiving and with later risk, though it is not itself a diagnosis.</w:t>
      </w:r>
    </w:p>
    <w:p>
      <w:r>
        <w:rPr>
          <w:b w:val="0"/>
          <w:i w:val="0"/>
        </w:rPr>
        <w:t>The neurobiology of attachment overlaps with the circuits of threat and reward. Caregiving signals—voice, touch, gaze—engage oxytocin and opioid systems, reduce amygdala reactivity, and support the development of prefrontal regulation. These findings are often oversimplified in popular accounts. Oxytocin is not a "love hormone"; it has context-dependent effects that can include increased in-group favouritism and defensive aggression.</w:t>
      </w:r>
    </w:p>
    <w:p>
      <w:r>
        <w:rPr>
          <w:b w:val="0"/>
          <w:i w:val="0"/>
        </w:rPr>
        <w:t>For practice, the important point is that regulation is first interpersonal and only later internalised. A child who has not experienced reliable co-regulation may need explicit, repeated help to tolerate arousal. Blaming such a child for "poor regulation" misreads the developmental evidence.</w:t>
      </w:r>
    </w:p>
    <w:p>
      <w:pPr>
        <w:pStyle w:val="Heading1"/>
      </w:pPr>
      <w:r>
        <w:t>3.9 Developmental adversity</w:t>
      </w:r>
    </w:p>
    <w:p>
      <w:r>
        <w:rPr>
          <w:b w:val="0"/>
          <w:i w:val="0"/>
        </w:rPr>
        <w:t>Adverse childhood experiences research established that cumulative exposure is common and associated with a graded increase in health risk. Felitti and colleagues (1998) reported that adults with four or more categories of childhood exposure had substantially elevated risks of substance misuse, depression, suicide attempt and physical disease. The study has been enormously influential and has shaped policy, but it is cross-sectional and retrospective, and it does not establish causation for any individual.</w:t>
      </w:r>
    </w:p>
    <w:p>
      <w:r>
        <w:rPr>
          <w:b w:val="0"/>
          <w:i w:val="0"/>
        </w:rPr>
        <w:t>Later work has refined the picture. Adversity is not a single exposure but a constellation that includes deprivation (absence of expected input) and threat (presence of harmful input), which may have different developmental consequences. Poverty, discrimination, neighbourhood violence and displacement are forms of structural adversity that operate alongside family-level events. Interventions that address material conditions may be as biologically relevant as those that address individual symptoms.</w:t>
      </w:r>
    </w:p>
    <w:p>
      <w:r>
        <w:rPr>
          <w:b w:val="0"/>
          <w:i w:val="0"/>
        </w:rPr>
        <w:t>Estimates of the proportion of childhood-onset disorder attributable to maltreatment come from Teicher and Samson (2016); the original dose–response findings are reported by Felitti et al. (1998).</w:t>
      </w:r>
    </w:p>
    <w:p>
      <w:pPr>
        <w:pStyle w:val="Heading1"/>
      </w:pPr>
      <w:r>
        <w:t>3.10 Lifespan recovery</w:t>
      </w:r>
    </w:p>
    <w:p>
      <w:r>
        <w:rPr>
          <w:b w:val="0"/>
          <w:i w:val="0"/>
        </w:rPr>
        <w:t>Recovery is not a return to a pre-trauma state; it is the development of a life that is livable after it. Developmental evidence supports several principles. Safety and predictability matter. Relationships matter. Sleep matters. Access to language, education and economic participation matters. And timing matters—not because windows close, but because the earlier the support, the less secondary harm accumulates.</w:t>
      </w:r>
    </w:p>
    <w:p>
      <w:r>
        <w:rPr>
          <w:b w:val="0"/>
          <w:i w:val="0"/>
        </w:rPr>
        <w:t>The most defensible claim is therefore modest and hopeful: early adversity increases risk and shapes trajectories, and it does not determine outcomes. The factors that modify risk—safe relationships, stable housing, access to care, community support—are precisely the factors that policy can influence.</w:t>
      </w:r>
    </w:p>
    <w:p>
      <w:pPr>
        <w:pStyle w:val="Heading1"/>
      </w:pPr>
      <w:r>
        <w:t>Synthesis</w:t>
      </w:r>
    </w:p>
    <w:p>
      <w:r>
        <w:rPr>
          <w:b w:val="0"/>
          <w:i w:val="0"/>
        </w:rPr>
        <w:t>Table 3.1 summarises developmental periods, dominant processes, and the aspects of trauma response most plausibly linked to each.</w:t>
      </w:r>
    </w:p>
    <w:p>
      <w:pPr>
        <w:pStyle w:val="Caption"/>
      </w:pPr>
      <w:r>
        <w:rPr>
          <w:b w:val="0"/>
          <w:i w:val="0"/>
        </w:rPr>
        <w:t>Table 3.1. Developmental periods and trauma-relevant processes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Period</w:t>
            </w:r>
          </w:p>
        </w:tc>
        <w:tc>
          <w:tcPr>
            <w:tcW w:type="dxa" w:w="1962"/>
          </w:tcPr>
          <w:p>
            <w:r>
              <w:rPr>
                <w:sz w:val="18"/>
              </w:rPr>
              <w:t>Dominant processes</w:t>
            </w:r>
          </w:p>
        </w:tc>
        <w:tc>
          <w:tcPr>
            <w:tcW w:type="dxa" w:w="1962"/>
          </w:tcPr>
          <w:p>
            <w:r>
              <w:rPr>
                <w:sz w:val="18"/>
              </w:rPr>
              <w:t>Plausible trauma-relevant effects</w:t>
            </w:r>
          </w:p>
        </w:tc>
        <w:tc>
          <w:tcPr>
            <w:tcW w:type="dxa" w:w="1962"/>
          </w:tcPr>
          <w:p>
            <w:r>
              <w:rPr>
                <w:sz w:val="18"/>
              </w:rPr>
              <w:t>Evidence strength</w:t>
            </w:r>
          </w:p>
        </w:tc>
      </w:tr>
      <w:tr>
        <w:trPr>
          <w:cantSplit/>
        </w:trPr>
        <w:tc>
          <w:tcPr>
            <w:tcW w:type="dxa" w:w="1962"/>
          </w:tcPr>
          <w:p>
            <w:r>
              <w:rPr>
                <w:sz w:val="18"/>
              </w:rPr>
              <w:t>Prenatal</w:t>
            </w:r>
          </w:p>
        </w:tc>
        <w:tc>
          <w:tcPr>
            <w:tcW w:type="dxa" w:w="1962"/>
          </w:tcPr>
          <w:p>
            <w:r>
              <w:rPr>
                <w:sz w:val="18"/>
              </w:rPr>
              <w:t>Neurogenesis, migration, initial wiring</w:t>
            </w:r>
          </w:p>
        </w:tc>
        <w:tc>
          <w:tcPr>
            <w:tcW w:type="dxa" w:w="1962"/>
          </w:tcPr>
          <w:p>
            <w:r>
              <w:rPr>
                <w:sz w:val="18"/>
              </w:rPr>
              <w:t>Altered reactivity; small structural differences in some cohorts</w:t>
            </w:r>
          </w:p>
        </w:tc>
        <w:tc>
          <w:tcPr>
            <w:tcW w:type="dxa" w:w="1962"/>
          </w:tcPr>
          <w:p>
            <w:r>
              <w:rPr>
                <w:sz w:val="18"/>
              </w:rPr>
              <w:t>Moderate, confounded</w:t>
            </w:r>
          </w:p>
        </w:tc>
      </w:tr>
      <w:tr>
        <w:trPr>
          <w:cantSplit/>
        </w:trPr>
        <w:tc>
          <w:tcPr>
            <w:tcW w:type="dxa" w:w="1962"/>
          </w:tcPr>
          <w:p>
            <w:r>
              <w:rPr>
                <w:sz w:val="18"/>
              </w:rPr>
              <w:t>Infancy</w:t>
            </w:r>
          </w:p>
        </w:tc>
        <w:tc>
          <w:tcPr>
            <w:tcW w:type="dxa" w:w="1962"/>
          </w:tcPr>
          <w:p>
            <w:r>
              <w:rPr>
                <w:sz w:val="18"/>
              </w:rPr>
              <w:t>Synaptogenesis, HPA calibration</w:t>
            </w:r>
          </w:p>
        </w:tc>
        <w:tc>
          <w:tcPr>
            <w:tcW w:type="dxa" w:w="1962"/>
          </w:tcPr>
          <w:p>
            <w:r>
              <w:rPr>
                <w:sz w:val="18"/>
              </w:rPr>
              <w:t>Dysregulated stress response where caregiving is unavailable</w:t>
            </w:r>
          </w:p>
        </w:tc>
        <w:tc>
          <w:tcPr>
            <w:tcW w:type="dxa" w:w="1962"/>
          </w:tcPr>
          <w:p>
            <w:r>
              <w:rPr>
                <w:sz w:val="18"/>
              </w:rPr>
              <w:t>Moderate</w:t>
            </w:r>
          </w:p>
        </w:tc>
      </w:tr>
      <w:tr>
        <w:trPr>
          <w:cantSplit/>
        </w:trPr>
        <w:tc>
          <w:tcPr>
            <w:tcW w:type="dxa" w:w="1962"/>
          </w:tcPr>
          <w:p>
            <w:r>
              <w:rPr>
                <w:sz w:val="18"/>
              </w:rPr>
              <w:t>Childhood</w:t>
            </w:r>
          </w:p>
        </w:tc>
        <w:tc>
          <w:tcPr>
            <w:tcW w:type="dxa" w:w="1962"/>
          </w:tcPr>
          <w:p>
            <w:r>
              <w:rPr>
                <w:sz w:val="18"/>
              </w:rPr>
              <w:t>Pruning, myelination, language</w:t>
            </w:r>
          </w:p>
        </w:tc>
        <w:tc>
          <w:tcPr>
            <w:tcW w:type="dxa" w:w="1962"/>
          </w:tcPr>
          <w:p>
            <w:r>
              <w:rPr>
                <w:sz w:val="18"/>
              </w:rPr>
              <w:t>Biased threat learning; altered hippocampal and prefrontal development</w:t>
            </w:r>
          </w:p>
        </w:tc>
        <w:tc>
          <w:tcPr>
            <w:tcW w:type="dxa" w:w="1962"/>
          </w:tcPr>
          <w:p>
            <w:r>
              <w:rPr>
                <w:sz w:val="18"/>
              </w:rPr>
              <w:t>Moderate, heterogeneous</w:t>
            </w:r>
          </w:p>
        </w:tc>
      </w:tr>
      <w:tr>
        <w:trPr>
          <w:cantSplit/>
        </w:trPr>
        <w:tc>
          <w:tcPr>
            <w:tcW w:type="dxa" w:w="1962"/>
          </w:tcPr>
          <w:p>
            <w:r>
              <w:rPr>
                <w:sz w:val="18"/>
              </w:rPr>
              <w:t>Adolescence</w:t>
            </w:r>
          </w:p>
        </w:tc>
        <w:tc>
          <w:tcPr>
            <w:tcW w:type="dxa" w:w="1962"/>
          </w:tcPr>
          <w:p>
            <w:r>
              <w:rPr>
                <w:sz w:val="18"/>
              </w:rPr>
              <w:t>Prefrontal maturation, hormonal change</w:t>
            </w:r>
          </w:p>
        </w:tc>
        <w:tc>
          <w:tcPr>
            <w:tcW w:type="dxa" w:w="1962"/>
          </w:tcPr>
          <w:p>
            <w:r>
              <w:rPr>
                <w:sz w:val="18"/>
              </w:rPr>
              <w:t>Heightened fear learning; risk exposure; sleep disruption</w:t>
            </w:r>
          </w:p>
        </w:tc>
        <w:tc>
          <w:tcPr>
            <w:tcW w:type="dxa" w:w="1962"/>
          </w:tcPr>
          <w:p>
            <w:r>
              <w:rPr>
                <w:sz w:val="18"/>
              </w:rPr>
              <w:t>Moderate</w:t>
            </w:r>
          </w:p>
        </w:tc>
      </w:tr>
      <w:tr>
        <w:trPr>
          <w:cantSplit/>
        </w:trPr>
        <w:tc>
          <w:tcPr>
            <w:tcW w:type="dxa" w:w="1962"/>
          </w:tcPr>
          <w:p>
            <w:r>
              <w:rPr>
                <w:sz w:val="18"/>
              </w:rPr>
              <w:t>Adulthood</w:t>
            </w:r>
          </w:p>
        </w:tc>
        <w:tc>
          <w:tcPr>
            <w:tcW w:type="dxa" w:w="1962"/>
          </w:tcPr>
          <w:p>
            <w:r>
              <w:rPr>
                <w:sz w:val="18"/>
              </w:rPr>
              <w:t>Synaptic and myelin plasticity</w:t>
            </w:r>
          </w:p>
        </w:tc>
        <w:tc>
          <w:tcPr>
            <w:tcW w:type="dxa" w:w="1962"/>
          </w:tcPr>
          <w:p>
            <w:r>
              <w:rPr>
                <w:sz w:val="18"/>
              </w:rPr>
              <w:t>Persistent avoidance and appraisal patterns; capacity for new learning</w:t>
            </w:r>
          </w:p>
        </w:tc>
        <w:tc>
          <w:tcPr>
            <w:tcW w:type="dxa" w:w="1962"/>
          </w:tcPr>
          <w:p>
            <w:r>
              <w:rPr>
                <w:sz w:val="18"/>
              </w:rPr>
              <w:t>Strong for learning, weaker for structural change</w:t>
            </w:r>
          </w:p>
        </w:tc>
      </w:tr>
      <w:tr>
        <w:trPr>
          <w:cantSplit/>
        </w:trPr>
        <w:tc>
          <w:tcPr>
            <w:tcW w:type="dxa" w:w="1962"/>
          </w:tcPr>
          <w:p>
            <w:r>
              <w:rPr>
                <w:sz w:val="18"/>
              </w:rPr>
              <w:t>Later life</w:t>
            </w:r>
          </w:p>
        </w:tc>
        <w:tc>
          <w:tcPr>
            <w:tcW w:type="dxa" w:w="1962"/>
          </w:tcPr>
          <w:p>
            <w:r>
              <w:rPr>
                <w:sz w:val="18"/>
              </w:rPr>
              <w:t>Vascular and inflammatory change, cumulative load</w:t>
            </w:r>
          </w:p>
        </w:tc>
        <w:tc>
          <w:tcPr>
            <w:tcW w:type="dxa" w:w="1962"/>
          </w:tcPr>
          <w:p>
            <w:r>
              <w:rPr>
                <w:sz w:val="18"/>
              </w:rPr>
              <w:t>Re-emergence of symptoms when resources diminish</w:t>
            </w:r>
          </w:p>
        </w:tc>
        <w:tc>
          <w:tcPr>
            <w:tcW w:type="dxa" w:w="1962"/>
          </w:tcPr>
          <w:p>
            <w:r>
              <w:rPr>
                <w:sz w:val="18"/>
              </w:rPr>
              <w:t>Limited</w:t>
            </w:r>
          </w:p>
        </w:tc>
      </w:tr>
    </w:tbl>
    <w:p/>
    <w:p>
      <w:pPr>
        <w:pStyle w:val="Heading1"/>
      </w:pPr>
      <w:r>
        <w:t>Composite case study</w:t>
      </w:r>
    </w:p>
    <w:p>
      <w:r>
        <w:rPr>
          <w:b w:val="0"/>
          <w:i w:val="0"/>
        </w:rPr>
        <w:t>A twelve-year-old is referred after two years of escalating conflict at home. The history reveals domestic violence, three school changes, and a mother who is herself unwell. The child is vigilant, sleeps badly, and has stopped attending football. A developmental formulation notes the chronicity of threat, the absence of a consistent protective adult, the loss of a valued activity, and the onset of puberty. It does not conclude that the child's brain is damaged. It identifies what would reduce threat, restore predictable adult support, protect sleep, and re-open a source of competence. The school is asked to provide a named adult and predictable routines. The mother is offered support in her own right.</w:t>
      </w:r>
    </w:p>
    <w:p>
      <w:pPr>
        <w:pStyle w:val="Heading1"/>
      </w:pPr>
      <w:r>
        <w:t>Review and discussion questions</w:t>
      </w:r>
    </w:p>
    <w:p>
      <w:r>
        <w:rPr>
          <w:b w:val="0"/>
          <w:i w:val="0"/>
        </w:rPr>
        <w:t>Why is "sensitive period" a better term than "critical period" for most trauma-related questions?</w:t>
      </w:r>
    </w:p>
    <w:p>
      <w:r>
        <w:rPr>
          <w:b w:val="0"/>
          <w:i w:val="0"/>
        </w:rPr>
        <w:t>What does the concept of toxic stress add to a simple count of adverse events, and what does it risk obscuring?</w:t>
      </w:r>
    </w:p>
    <w:p>
      <w:r>
        <w:rPr>
          <w:b w:val="0"/>
          <w:i w:val="0"/>
        </w:rPr>
        <w:t>How should a clinician record developmental timing without implying deterministic conclusions?</w:t>
      </w:r>
    </w:p>
    <w:p>
      <w:r>
        <w:rPr>
          <w:b w:val="0"/>
          <w:i w:val="0"/>
        </w:rPr>
        <w:t>What are the policy implications of the language sensitive period for deaf children?</w:t>
      </w:r>
    </w:p>
    <w:p>
      <w:r>
        <w:rPr>
          <w:b w:val="0"/>
          <w:i w:val="0"/>
        </w:rPr>
        <w:t>Why might adolescent risk-taking be better understood as adaptive than as a deficit?</w:t>
      </w:r>
    </w:p>
    <w:p>
      <w:r>
        <w:rPr>
          <w:b w:val="0"/>
          <w:i w:val="0"/>
        </w:rPr>
        <w:t>What would a study need to do to distinguish pre-existing differences from adversity-related change?</w:t>
      </w:r>
    </w:p>
    <w:p>
      <w:pPr>
        <w:pStyle w:val="Heading1"/>
      </w:pPr>
      <w:r>
        <w:t>Research assignments</w:t>
      </w:r>
    </w:p>
    <w:p>
      <w:r>
        <w:rPr>
          <w:b w:val="0"/>
          <w:i w:val="0"/>
        </w:rPr>
        <w:t>• Design a prospective cohort study of childhood adversity that measures exposure timing, chronicity and protective relationships, and specify how attrition will be handled.</w:t>
      </w:r>
    </w:p>
    <w:p>
      <w:r>
        <w:rPr>
          <w:b w:val="0"/>
          <w:i w:val="0"/>
        </w:rPr>
        <w:t>• Critically appraise the ACE literature: what can cumulative risk scores support, and what can they not?</w:t>
      </w:r>
    </w:p>
    <w:p>
      <w:r>
        <w:rPr>
          <w:b w:val="0"/>
          <w:i w:val="0"/>
        </w:rPr>
        <w:t>• Propose an evaluation of a school-based intervention that aims to improve regulation without diagnosing children.</w:t>
      </w:r>
    </w:p>
    <w:p>
      <w:pPr>
        <w:pStyle w:val="Heading1"/>
      </w:pPr>
      <w:r>
        <w:t>Chapter summary</w:t>
      </w:r>
    </w:p>
    <w:p>
      <w:r>
        <w:rPr>
          <w:b w:val="0"/>
          <w:i w:val="0"/>
        </w:rPr>
        <w:t>Development is a sequence of overlapping windows in which experience shapes a brain that is already organised to learn from its environment. Timing matters, but it does not fix outcomes. The strongest evidence concerns the importance of safe, responsive relationships and of protection from chronic, unbuffered threat. Claims of permanent developmental damage exceed the evidence and can cause harm. A developmental formulation should be specific about what happened, when, for how long, and with whom—and should identify the conditions that would support recovery now.</w:t>
      </w:r>
    </w:p>
    <w:p>
      <w:pPr>
        <w:pStyle w:val="Heading1"/>
      </w:pPr>
      <w:r>
        <w:t>References</w:t>
      </w:r>
    </w:p>
    <w:p>
      <w:pPr>
        <w:ind w:left="280" w:hanging="280"/>
      </w:pPr>
      <w:r>
        <w:rPr>
          <w:b w:val="0"/>
          <w:i w:val="0"/>
        </w:rPr>
        <w:t xml:space="preserve">Felitti, V. J., Anda, R. F., Nordenberg, D., Williamson, D. F., Spitz, A. M., Edwards, V., Koss, M. P., &amp; Marks, J. S. (1998). Relationship of childhood abuse and household dysfunction to many of the leading causes of death in adults: The Adverse Childhood Experiences (ACE) Study. </w:t>
      </w:r>
      <w:r>
        <w:rPr>
          <w:b w:val="0"/>
          <w:i/>
        </w:rPr>
        <w:t>American Journal of Preventive Medicine, 14</w:t>
      </w:r>
      <w:r>
        <w:rPr>
          <w:b w:val="0"/>
          <w:i w:val="0"/>
        </w:rPr>
        <w:t>(4), 245–258. https://doi.org/10.1016/S0749-3797(98)00017-8</w:t>
      </w:r>
    </w:p>
    <w:p>
      <w:pPr>
        <w:ind w:left="280" w:hanging="280"/>
      </w:pPr>
      <w:r>
        <w:rPr>
          <w:b w:val="0"/>
          <w:i w:val="0"/>
        </w:rPr>
        <w:t xml:space="preserve">Lupien, S. J., McEwen, B. S., Gunnar, M. R., &amp; Heim, C. (2009). Effects of stress throughout the lifespan on the brain, behaviour and cognition. </w:t>
      </w:r>
      <w:r>
        <w:rPr>
          <w:b w:val="0"/>
          <w:i/>
        </w:rPr>
        <w:t>Nature Reviews Neuroscience, 10</w:t>
      </w:r>
      <w:r>
        <w:rPr>
          <w:b w:val="0"/>
          <w:i w:val="0"/>
        </w:rPr>
        <w:t>(6), 434–445. https://doi.org/10.1038/nrn2639</w:t>
      </w:r>
    </w:p>
    <w:p>
      <w:pPr>
        <w:ind w:left="280" w:hanging="280"/>
      </w:pPr>
      <w:r>
        <w:rPr>
          <w:b w:val="0"/>
          <w:i w:val="0"/>
        </w:rPr>
        <w:t xml:space="preserve">McEwen, B. S. (1998). Protective and damaging effects of stress mediators. </w:t>
      </w:r>
      <w:r>
        <w:rPr>
          <w:b w:val="0"/>
          <w:i/>
        </w:rPr>
        <w:t>New England Journal of Medicine, 338</w:t>
      </w:r>
      <w:r>
        <w:rPr>
          <w:b w:val="0"/>
          <w:i w:val="0"/>
        </w:rPr>
        <w:t>(3), 171–179. https://doi.org/10.1056/NEJM199801153380307</w:t>
      </w:r>
    </w:p>
    <w:p>
      <w:pPr>
        <w:ind w:left="280" w:hanging="280"/>
      </w:pPr>
      <w:r>
        <w:rPr>
          <w:b w:val="0"/>
          <w:i w:val="0"/>
        </w:rPr>
        <w:t xml:space="preserve">Shonkoff, J. P., &amp; Garner, A. S. (2012). The lifelong effects of early childhood adversity and toxic stress. </w:t>
      </w:r>
      <w:r>
        <w:rPr>
          <w:b w:val="0"/>
          <w:i/>
        </w:rPr>
        <w:t>Pediatrics, 129</w:t>
      </w:r>
      <w:r>
        <w:rPr>
          <w:b w:val="0"/>
          <w:i w:val="0"/>
        </w:rPr>
        <w:t>(1), e232–e246. https://doi.org/10.1542/peds.2011-2663</w:t>
      </w:r>
    </w:p>
    <w:p>
      <w:pPr>
        <w:ind w:left="280" w:hanging="280"/>
      </w:pPr>
      <w:r>
        <w:rPr>
          <w:b w:val="0"/>
          <w:i w:val="0"/>
        </w:rPr>
        <w:t xml:space="preserve">Teicher, M. H., &amp; Samson, J. A. (2016). Annual research review: Enduring neurobiological effects of childhood abuse and neglect. </w:t>
      </w:r>
      <w:r>
        <w:rPr>
          <w:b w:val="0"/>
          <w:i/>
        </w:rPr>
        <w:t>Journal of Child Psychology and Psychiatry, 57</w:t>
      </w:r>
      <w:r>
        <w:rPr>
          <w:b w:val="0"/>
          <w:i w:val="0"/>
        </w:rPr>
        <w:t>(3), 241–266. https://doi.org/10.1111/jcpp.12507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3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