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Developmental Trauma and Adverse Childhood Experiences</w:t>
      </w:r>
    </w:p>
    <w:p>
      <w:pPr>
        <w:pStyle w:val="Caption"/>
      </w:pPr>
      <w:r>
        <w:t>Chapter 15</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Why does the timing of adversity matter, and how does early experience shape the developing brain and body?</w:t>
      </w:r>
    </w:p>
    <w:p>
      <w:pPr>
        <w:pStyle w:val="Heading2"/>
      </w:pPr>
      <w:r>
        <w:t>Learning objectives</w:t>
      </w:r>
    </w:p>
    <w:p>
      <w:r>
        <w:rPr>
          <w:b w:val="0"/>
          <w:i w:val="0"/>
        </w:rPr>
        <w:t>• describe the concept of adverse childhood experiences;</w:t>
      </w:r>
    </w:p>
    <w:p>
      <w:r>
        <w:rPr>
          <w:b w:val="0"/>
          <w:i w:val="0"/>
        </w:rPr>
        <w:t>• explain developmental timing and sensitive periods;</w:t>
      </w:r>
    </w:p>
    <w:p>
      <w:r>
        <w:rPr>
          <w:b w:val="0"/>
          <w:i w:val="0"/>
        </w:rPr>
        <w:t>• distinguish threat, deprivation and unpredictability;</w:t>
      </w:r>
    </w:p>
    <w:p>
      <w:r>
        <w:rPr>
          <w:b w:val="0"/>
          <w:i w:val="0"/>
        </w:rPr>
        <w:t>• evaluate the evidence on developmental trauma as a diagnostic construct;</w:t>
      </w:r>
    </w:p>
    <w:p>
      <w:r>
        <w:rPr>
          <w:b w:val="0"/>
          <w:i w:val="0"/>
        </w:rPr>
        <w:t>• explain resilience as a developmental process.</w:t>
      </w:r>
    </w:p>
    <w:p>
      <w:pPr>
        <w:pStyle w:val="Heading1"/>
      </w:pPr>
      <w:r>
        <w:t>Introduction</w:t>
      </w:r>
    </w:p>
    <w:p>
      <w:r>
        <w:rPr>
          <w:b w:val="0"/>
          <w:i w:val="0"/>
        </w:rPr>
        <w:t>The developing brain is not a smaller version of the adult brain. It is in the process of building circuits, pruning connections, and calibrating systems to the environment it expects to encounter. Adversity during development can therefore have effects that differ from adversity in adulthood: not only on how the system responds in the moment, but on how it is built.</w:t>
      </w:r>
    </w:p>
    <w:p>
      <w:r>
        <w:rPr>
          <w:b w:val="0"/>
          <w:i w:val="0"/>
        </w:rPr>
        <w:t>This chapter examines the developmental dimension of trauma. It begins with the adverse childhood experiences literature, then considers developmental timing, the distinction between threat and deprivation, the concept of developmental trauma, and the evidence on resilience. It closes with implications for assessment and intervention.</w:t>
      </w:r>
    </w:p>
    <w:p>
      <w:pPr>
        <w:pStyle w:val="Quote"/>
      </w:pPr>
      <w:r>
        <w:rPr>
          <w:b w:val="0"/>
          <w:i w:val="0"/>
        </w:rPr>
      </w:r>
      <w:r>
        <w:rPr>
          <w:b/>
          <w:i w:val="0"/>
        </w:rPr>
        <w:t>A note on causality.</w:t>
      </w:r>
      <w:r>
        <w:rPr>
          <w:b w:val="0"/>
          <w:i w:val="0"/>
        </w:rPr>
        <w:t xml:space="preserve"> Childhood adversity is associated with a wide range of later outcomes, but association is not causation. Adversity often co-occurs with poverty, discrimination, family instability and inadequate services. Teasing apart the effects of adversity from the effects of these correlated conditions requires careful designs, and many studies do not achieve this.</w:t>
      </w:r>
    </w:p>
    <w:p>
      <w:pPr>
        <w:pStyle w:val="Heading1"/>
      </w:pPr>
      <w:r>
        <w:t>15.1 Adverse childhood experiences</w:t>
      </w:r>
    </w:p>
    <w:p>
      <w:r>
        <w:rPr>
          <w:b w:val="0"/>
          <w:i w:val="0"/>
        </w:rPr>
        <w:t>The adverse childhood experiences (ACE) study asked adults about childhood abuse, neglect and household dysfunction, and related them to later health. The initial study of more than 13,000 respondents found graded relationships between the number of categories and risks for alcoholism, drug abuse, depression, suicide attempt and other outcomes (Felitti et al., 1998).</w:t>
      </w:r>
    </w:p>
    <w:p>
      <w:r>
        <w:rPr>
          <w:b w:val="0"/>
          <w:i w:val="0"/>
        </w:rPr>
        <w:t>The ACE score is a count of categories, not a measure of severity, frequency or meaning. It has been enormously influential in public health because it is simple and demonstrates that childhood adversity is common and consequential. It has also been criticised for reducing complex experiences to a number and for neglecting protective factors.</w:t>
      </w:r>
    </w:p>
    <w:p>
      <w:r>
        <w:rPr>
          <w:b w:val="0"/>
          <w:i w:val="0"/>
        </w:rPr>
        <w:t>The public health implication is important: if childhood adversity is common, then prevention and early intervention have large potential benefits. This is the rationale for trauma-informed approaches in schools, health care and social services.</w:t>
      </w:r>
    </w:p>
    <w:p>
      <w:r>
        <w:rPr>
          <w:b w:val="0"/>
          <w:i w:val="0"/>
        </w:rPr>
        <w:t>The broader public-health argument for early intervention is set out by Shonkoff and Garner (2012).</w:t>
      </w:r>
    </w:p>
    <w:p>
      <w:pPr>
        <w:pStyle w:val="Heading1"/>
      </w:pPr>
      <w:r>
        <w:t>15.2 Developmental timing</w:t>
      </w:r>
    </w:p>
    <w:p>
      <w:r>
        <w:rPr>
          <w:b w:val="0"/>
          <w:i w:val="0"/>
        </w:rPr>
        <w:t>The timing of adversity matters. Different brain systems develop at different rates, and the same exposure may have different effects depending on when it occurs.</w:t>
      </w:r>
    </w:p>
    <w:p>
      <w:r>
        <w:rPr>
          <w:b w:val="0"/>
          <w:i w:val="0"/>
        </w:rPr>
        <w:t>Sensory systems mature early, language develops rapidly in early childhood, and prefrontal circuits continue to develop into early adulthood. Stress-sensitive systems, including the HPA axis and the amygdala, are shaped by experience throughout development but may be particularly sensitive during certain windows.</w:t>
      </w:r>
    </w:p>
    <w:p>
      <w:r>
        <w:rPr>
          <w:b w:val="0"/>
          <w:i w:val="0"/>
        </w:rPr>
        <w:t>The concept of sensitive periods describes windows of heightened plasticity during which experience has especially strong effects. Critical periods are narrower and are defined by the absence of plasticity afterwards. Most human development involves sensitive rather than critical periods, meaning that later experience can still have effects, though sometimes less efficiently.</w:t>
      </w:r>
    </w:p>
    <w:p>
      <w:pPr>
        <w:pStyle w:val="Heading1"/>
      </w:pPr>
      <w:r>
        <w:t>15.3 Threat versus deprivation</w:t>
      </w:r>
    </w:p>
    <w:p>
      <w:r>
        <w:rPr>
          <w:b w:val="0"/>
          <w:i w:val="0"/>
        </w:rPr>
        <w:t>Research on childhood adversity has increasingly distinguished threat (abuse, violence, fear) from deprivation (neglect, lack of stimulation, poverty). These dimensions are associated with different outcomes: threat with fear learning and emotion regulation difficulties, deprivation with language and cognitive delays.</w:t>
      </w:r>
    </w:p>
    <w:p>
      <w:r>
        <w:rPr>
          <w:b w:val="0"/>
          <w:i w:val="0"/>
        </w:rPr>
        <w:t>The distinction is useful but not absolute. Many children experience both, and the categories overlap. Measurement is also imperfect: retrospective reports are affected by memory and current state, and prospective records may miss experiences.</w:t>
      </w:r>
    </w:p>
    <w:p>
      <w:r>
        <w:rPr>
          <w:b w:val="0"/>
          <w:i w:val="0"/>
        </w:rPr>
        <w:t>The practical implication is that interventions should address the specific dimension of adversity. A child exposed to violence needs safety and trauma-focused care; a child exposed to neglect needs stimulation, stable caregiving and enrichment.</w:t>
      </w:r>
    </w:p>
    <w:p>
      <w:pPr>
        <w:pStyle w:val="Heading1"/>
      </w:pPr>
      <w:r>
        <w:t>15.4 Unpredictability and chronicity</w:t>
      </w:r>
    </w:p>
    <w:p>
      <w:r>
        <w:rPr>
          <w:b w:val="0"/>
          <w:i w:val="0"/>
        </w:rPr>
        <w:t>Unpredictability may be as important as severity. An environment that is sometimes safe and sometimes dangerous is harder to adapt to than one that is consistently harsh, because the child cannot learn stable expectations.</w:t>
      </w:r>
    </w:p>
    <w:p>
      <w:r>
        <w:rPr>
          <w:b w:val="0"/>
          <w:i w:val="0"/>
        </w:rPr>
        <w:t>Chronicity matters too. A single traumatic event and years of ongoing threat produce different adaptations. Chronic threat may produce hypervigilance and rapid threat detection; single events may produce more circumscribed fear learning.</w:t>
      </w:r>
    </w:p>
    <w:p>
      <w:r>
        <w:rPr>
          <w:b w:val="0"/>
          <w:i w:val="0"/>
        </w:rPr>
        <w:t>These distinctions are relevant to assessment: asking "what happened" is not enough; clinicians should ask "how often", "for how long", "who was involved" and "what happened afterwards".</w:t>
      </w:r>
    </w:p>
    <w:p>
      <w:pPr>
        <w:pStyle w:val="Heading1"/>
      </w:pPr>
      <w:r>
        <w:t>15.5 Developmental trauma</w:t>
      </w:r>
    </w:p>
    <w:p>
      <w:r>
        <w:rPr>
          <w:b w:val="0"/>
          <w:i w:val="0"/>
        </w:rPr>
        <w:t>Developmental trauma disorder was proposed as a diagnosis for children and adolescents exposed to chronic interpersonal trauma, with symptoms including affect dysregulation, attentional and behavioural problems, self-concept disturbance and relationship difficulties. It was not included in DSM-5, though complex PTSD was included in ICD-11.</w:t>
      </w:r>
    </w:p>
    <w:p>
      <w:r>
        <w:rPr>
          <w:b w:val="0"/>
          <w:i w:val="0"/>
        </w:rPr>
        <w:t>The debate about diagnosis is partly about whether a new category adds value beyond existing diagnoses, and partly about access to services. A diagnosis can open doors to funding and treatment; it can also pathologise children and families.</w:t>
      </w:r>
    </w:p>
    <w:p>
      <w:r>
        <w:rPr>
          <w:b w:val="0"/>
          <w:i w:val="0"/>
        </w:rPr>
        <w:t>The construct has clinical utility even without formal diagnostic status: it reminds clinicians that chronic developmental adversity produces a broad pattern of difficulties that do not map neatly onto PTSD criteria.</w:t>
      </w:r>
    </w:p>
    <w:p>
      <w:pPr>
        <w:pStyle w:val="Heading1"/>
      </w:pPr>
      <w:r>
        <w:t>15.6 Neurodevelopment under adversity</w:t>
      </w:r>
    </w:p>
    <w:p>
      <w:r>
        <w:rPr>
          <w:b w:val="0"/>
          <w:i w:val="0"/>
        </w:rPr>
        <w:t>Studies of children exposed to adversity report differences in brain structure and function, including altered amygdala reactivity, reduced hippocampal volume, altered prefrontal connectivity and differences in white-matter organisation. These findings are group-level and heterogeneous.</w:t>
      </w:r>
    </w:p>
    <w:p>
      <w:r>
        <w:rPr>
          <w:b w:val="0"/>
          <w:i w:val="0"/>
        </w:rPr>
        <w:t>The interpretation is complicated by confounding and by the fact that brain development is plastic. Differences observed in childhood may reflect adaptation rather than damage, and may change with intervention.</w:t>
      </w:r>
    </w:p>
    <w:p>
      <w:r>
        <w:rPr>
          <w:b w:val="0"/>
          <w:i w:val="0"/>
        </w:rPr>
        <w:t>It is important not to overstate the findings. Claims that adversity causes irreversible brain damage are not supported and can be stigmatising. The evidence is more consistent with altered developmental trajectories that are responsive to environment and experience.</w:t>
      </w:r>
    </w:p>
    <w:p>
      <w:r>
        <w:rPr>
          <w:b w:val="0"/>
          <w:i w:val="0"/>
        </w:rPr>
        <w:t>For a review of the neurobiological correlates of maltreatment, see Teicher and Samson (2016).</w:t>
      </w:r>
    </w:p>
    <w:p>
      <w:pPr>
        <w:pStyle w:val="Heading1"/>
      </w:pPr>
      <w:r>
        <w:t>15.7 Attachment and caregiving</w:t>
      </w:r>
    </w:p>
    <w:p>
      <w:r>
        <w:rPr>
          <w:b w:val="0"/>
          <w:i w:val="0"/>
        </w:rPr>
        <w:t>Attachment theory describes the development of emotional bonds between children and caregivers. Secure attachment is associated with better emotion regulation and social functioning; insecure patterns are associated with increased risk.</w:t>
      </w:r>
    </w:p>
    <w:p>
      <w:r>
        <w:rPr>
          <w:b w:val="0"/>
          <w:i w:val="0"/>
        </w:rPr>
        <w:t>Trauma can affect caregiving directly, through injury, death or separation, and indirectly, through parental distress. Parents who are struggling may be less available, more irritable or inconsistent, which affects the child's environment.</w:t>
      </w:r>
    </w:p>
    <w:p>
      <w:r>
        <w:rPr>
          <w:b w:val="0"/>
          <w:i w:val="0"/>
        </w:rPr>
        <w:t>Interventions that support caregiving—parenting programmes, treatment for parental mental health, economic support—can improve child outcomes. This is a public health approach as much as a clinical one.</w:t>
      </w:r>
    </w:p>
    <w:p>
      <w:pPr>
        <w:pStyle w:val="Heading1"/>
      </w:pPr>
      <w:r>
        <w:t>15.8 Resilience</w:t>
      </w:r>
    </w:p>
    <w:p>
      <w:r>
        <w:rPr>
          <w:b w:val="0"/>
          <w:i w:val="0"/>
        </w:rPr>
        <w:t>Resilience is the capacity to maintain or regain functioning in the face of adversity. It is not a fixed trait, and it is not the same as never being affected. It involves individual factors, family factors and community factors.</w:t>
      </w:r>
    </w:p>
    <w:p>
      <w:r>
        <w:rPr>
          <w:b w:val="0"/>
          <w:i w:val="0"/>
        </w:rPr>
        <w:t>Protective factors include secure relationships, adequate income, safe neighbourhoods, good schools, access to health care and cultural continuity. These are not merely personal qualities; they are resources that can be strengthened by policy.</w:t>
      </w:r>
    </w:p>
    <w:p>
      <w:r>
        <w:rPr>
          <w:b w:val="0"/>
          <w:i w:val="0"/>
        </w:rPr>
        <w:t>The concept of resilience has sometimes been used to imply that people should cope without help. This is a misuse. Resilience is supported by environments, and asking individuals to be resilient in the absence of resources is unjust.</w:t>
      </w:r>
    </w:p>
    <w:p>
      <w:pPr>
        <w:pStyle w:val="Heading1"/>
      </w:pPr>
      <w:r>
        <w:t>15.9 Assessment in children</w:t>
      </w:r>
    </w:p>
    <w:p>
      <w:r>
        <w:rPr>
          <w:b w:val="0"/>
          <w:i w:val="0"/>
        </w:rPr>
        <w:t>Assessment should be developmentally appropriate, trauma-informed and multi-informant. Young children may express distress through behaviour, play and somatic complaints; adolescents may express it through risk-taking, withdrawal or irritability.</w:t>
      </w:r>
    </w:p>
    <w:p>
      <w:r>
        <w:rPr>
          <w:b w:val="0"/>
          <w:i w:val="0"/>
        </w:rPr>
        <w:t>Standardised instruments exist for trauma exposure and symptoms, but they should be used alongside clinical interview and collateral information. Consent and confidentiality require careful handling, particularly when caregivers are involved in the trauma.</w:t>
      </w:r>
    </w:p>
    <w:p>
      <w:r>
        <w:rPr>
          <w:b w:val="0"/>
          <w:i w:val="0"/>
        </w:rPr>
        <w:t>Assessment should also identify strengths and resources, not only problems. This informs treatment planning and supports engagement.</w:t>
      </w:r>
    </w:p>
    <w:p>
      <w:pPr>
        <w:pStyle w:val="Heading1"/>
      </w:pPr>
      <w:r>
        <w:t>15.10 Intervention implications</w:t>
      </w:r>
    </w:p>
    <w:p>
      <w:r>
        <w:rPr>
          <w:b w:val="0"/>
          <w:i w:val="0"/>
        </w:rPr>
        <w:t>Interventions for developmental trauma should address safety, caregiving, regulation and, where appropriate, trauma processing. Trauma-focused cognitive behavioural therapy has good evidence in children. Parent–child interventions can improve relationships and reduce symptoms.</w:t>
      </w:r>
    </w:p>
    <w:p>
      <w:r>
        <w:rPr>
          <w:b w:val="0"/>
          <w:i w:val="0"/>
        </w:rPr>
        <w:t>School-based approaches can provide universal support and identify children who need more intensive help. Community-based approaches can address social determinants and reduce stigma.</w:t>
      </w:r>
    </w:p>
    <w:p>
      <w:r>
        <w:rPr>
          <w:b w:val="0"/>
          <w:i w:val="0"/>
        </w:rPr>
        <w:t>Interventions should be sequenced: safety and stabilisation before processing, and processing only when the child has sufficient support. This is not a rigid rule but a sensible default.</w:t>
      </w:r>
    </w:p>
    <w:p>
      <w:r>
        <w:rPr>
          <w:b w:val="0"/>
          <w:i w:val="0"/>
        </w:rPr>
        <w:t>Service descriptions of complex trauma in children are provided by the National Child Traumatic Stress Network (n.d.).</w:t>
      </w:r>
    </w:p>
    <w:p>
      <w:pPr>
        <w:pStyle w:val="Heading1"/>
      </w:pPr>
      <w:r>
        <w:t>15.11 Stability, foster care and reunification</w:t>
      </w:r>
    </w:p>
    <w:p>
      <w:r>
        <w:rPr>
          <w:b w:val="0"/>
          <w:i w:val="0"/>
        </w:rPr>
        <w:t>Continuity of caregiving is one of the strongest protective factors in child development, and disruption of care is one of the most reliable sources of additional harm. Children who experience multiple placements, repeated school changes and uncertain reunification carry a cumulative burden that is partly independent of the original maltreatment.</w:t>
      </w:r>
    </w:p>
    <w:p>
      <w:r>
        <w:rPr>
          <w:b w:val="0"/>
          <w:i w:val="0"/>
        </w:rPr>
        <w:t>Practice implications follow. Placement decisions should prioritise stability and kinship where safe, minimise unnecessary moves, and prepare children for transitions. Siblings should be placed together where possible. Contact arrangements should be predictable rather than erratic, because unpredictability is itself a stressor.</w:t>
      </w:r>
    </w:p>
    <w:p>
      <w:r>
        <w:rPr>
          <w:b w:val="0"/>
          <w:i w:val="0"/>
        </w:rPr>
        <w:t>Reunification should be planned and paced. Sudden return to a caregiver after long separation can be experienced as another loss of control, and both caregiver and child may need support. Parenting interventions that address trauma-related behaviour—rather than treating it as disobedience—are more likely to succeed.</w:t>
      </w:r>
    </w:p>
    <w:p>
      <w:r>
        <w:rPr>
          <w:b w:val="0"/>
          <w:i w:val="0"/>
        </w:rPr>
        <w:t>Foster carers and kinship carers need training, respite and access to consultation. Without support, carers may interpret trauma-driven behaviour as personal rejection, and the placement may break down. The evidence for training programmes is moderate, but the rationale for supporting carers is strong.</w:t>
      </w:r>
    </w:p>
    <w:p>
      <w:r>
        <w:rPr>
          <w:b w:val="0"/>
          <w:i w:val="0"/>
        </w:rPr>
        <w:t>Children in care are also entitled to honest information about their history at a pace they can manage. Concealment, when it later emerges, can damage trust; disclosure handled well can support identity and coherence.</w:t>
      </w:r>
    </w:p>
    <w:p>
      <w:pPr>
        <w:pStyle w:val="Heading1"/>
      </w:pPr>
      <w:r>
        <w:t>15.12 Prevention and early intervention</w:t>
      </w:r>
    </w:p>
    <w:p>
      <w:r>
        <w:rPr>
          <w:b w:val="0"/>
          <w:i w:val="0"/>
        </w:rPr>
        <w:t>Prevention operates at several levels. Universal measures—income support, housing, childcare, education and health visiting—address the conditions in which adversity occurs. Targeted measures identify families at elevated risk and offer additional support. Indicated measures treat children and families already affected.</w:t>
      </w:r>
    </w:p>
    <w:p>
      <w:r>
        <w:rPr>
          <w:b w:val="0"/>
          <w:i w:val="0"/>
        </w:rPr>
        <w:t>The evidence is strongest for some targeted programmes. Home visiting by nurses or trained visitors improves some parenting and child outcomes, particularly when programmes are well implemented and reach families who need them. Parenting programmes based on social learning principles reduce harsh discipline and improve behaviour in many trials. School-based programmes can improve emotional literacy and reduce bullying, though effects on trauma symptoms are smaller.</w:t>
      </w:r>
    </w:p>
    <w:p>
      <w:r>
        <w:rPr>
          <w:b w:val="0"/>
          <w:i w:val="0"/>
        </w:rPr>
        <w:t>None of these is a panacea. Effect sizes are modest, implementation quality varies, and benefits are often greatest for families with the fewest difficulties—a pattern that can widen inequalities if services are not designed to reach the most disadvantaged.</w:t>
      </w:r>
    </w:p>
    <w:p>
      <w:r>
        <w:rPr>
          <w:b w:val="0"/>
          <w:i w:val="0"/>
        </w:rPr>
        <w:t>Screening raises ethical questions. Identifying adversity without providing help can stigmatise families and erode trust. Screening should be linked to services, accompanied by consent and followed by offers of support rather than surveillance.</w:t>
      </w:r>
    </w:p>
    <w:p>
      <w:r>
        <w:rPr>
          <w:b w:val="0"/>
          <w:i w:val="0"/>
        </w:rPr>
        <w:t>The strongest prevention is social. Reducing child poverty, improving housing and supporting caregivers may do more for child mental health than any clinical intervention delivered after harm has occurred.</w:t>
      </w:r>
    </w:p>
    <w:p>
      <w:pPr>
        <w:pStyle w:val="Heading1"/>
      </w:pPr>
      <w:r>
        <w:t>Synthesis</w:t>
      </w:r>
    </w:p>
    <w:p>
      <w:r>
        <w:rPr>
          <w:b w:val="0"/>
          <w:i w:val="0"/>
        </w:rPr>
        <w:t>Table 15.1 summarises developmental concepts.</w:t>
      </w:r>
    </w:p>
    <w:p>
      <w:pPr>
        <w:pStyle w:val="Caption"/>
      </w:pPr>
      <w:r>
        <w:rPr>
          <w:b w:val="0"/>
          <w:i w:val="0"/>
        </w:rPr>
        <w:t>Table 15.1. Developmental concepts and implications</w:t>
      </w:r>
    </w:p>
    <w:tbl>
      <w:tblPr>
        <w:tblStyle w:val="LightShading-Accent1"/>
        <w:tblW w:type="auto" w:w="0"/>
        <w:tblLook w:firstColumn="1" w:firstRow="1" w:lastColumn="0" w:lastRow="0" w:noHBand="0" w:noVBand="1" w:val="04A0"/>
      </w:tblPr>
      <w:tblGrid>
        <w:gridCol w:w="2616"/>
        <w:gridCol w:w="2616"/>
        <w:gridCol w:w="2616"/>
      </w:tblGrid>
      <w:tr>
        <w:trPr>
          <w:tblHeader/>
          <w:cantSplit/>
        </w:trPr>
        <w:tc>
          <w:tcPr>
            <w:tcW w:type="dxa" w:w="2616"/>
          </w:tcPr>
          <w:p>
            <w:r>
              <w:rPr>
                <w:sz w:val="18"/>
              </w:rPr>
              <w:t>Concept</w:t>
            </w:r>
          </w:p>
        </w:tc>
        <w:tc>
          <w:tcPr>
            <w:tcW w:type="dxa" w:w="2616"/>
          </w:tcPr>
          <w:p>
            <w:r>
              <w:rPr>
                <w:sz w:val="18"/>
              </w:rPr>
              <w:t>Meaning</w:t>
            </w:r>
          </w:p>
        </w:tc>
        <w:tc>
          <w:tcPr>
            <w:tcW w:type="dxa" w:w="2616"/>
          </w:tcPr>
          <w:p>
            <w:r>
              <w:rPr>
                <w:sz w:val="18"/>
              </w:rPr>
              <w:t>Implication</w:t>
            </w:r>
          </w:p>
        </w:tc>
      </w:tr>
      <w:tr>
        <w:trPr>
          <w:cantSplit/>
        </w:trPr>
        <w:tc>
          <w:tcPr>
            <w:tcW w:type="dxa" w:w="2616"/>
          </w:tcPr>
          <w:p>
            <w:r>
              <w:rPr>
                <w:sz w:val="18"/>
              </w:rPr>
              <w:t>ACE score</w:t>
            </w:r>
          </w:p>
        </w:tc>
        <w:tc>
          <w:tcPr>
            <w:tcW w:type="dxa" w:w="2616"/>
          </w:tcPr>
          <w:p>
            <w:r>
              <w:rPr>
                <w:sz w:val="18"/>
              </w:rPr>
              <w:t>Count of adversity categories</w:t>
            </w:r>
          </w:p>
        </w:tc>
        <w:tc>
          <w:tcPr>
            <w:tcW w:type="dxa" w:w="2616"/>
          </w:tcPr>
          <w:p>
            <w:r>
              <w:rPr>
                <w:sz w:val="18"/>
              </w:rPr>
              <w:t>Useful for public health, not individual diagnosis</w:t>
            </w:r>
          </w:p>
        </w:tc>
      </w:tr>
      <w:tr>
        <w:trPr>
          <w:cantSplit/>
        </w:trPr>
        <w:tc>
          <w:tcPr>
            <w:tcW w:type="dxa" w:w="2616"/>
          </w:tcPr>
          <w:p>
            <w:r>
              <w:rPr>
                <w:sz w:val="18"/>
              </w:rPr>
              <w:t>Sensitive period</w:t>
            </w:r>
          </w:p>
        </w:tc>
        <w:tc>
          <w:tcPr>
            <w:tcW w:type="dxa" w:w="2616"/>
          </w:tcPr>
          <w:p>
            <w:r>
              <w:rPr>
                <w:sz w:val="18"/>
              </w:rPr>
              <w:t>Window of heightened plasticity</w:t>
            </w:r>
          </w:p>
        </w:tc>
        <w:tc>
          <w:tcPr>
            <w:tcW w:type="dxa" w:w="2616"/>
          </w:tcPr>
          <w:p>
            <w:r>
              <w:rPr>
                <w:sz w:val="18"/>
              </w:rPr>
              <w:t>Timing matters but later change is possible</w:t>
            </w:r>
          </w:p>
        </w:tc>
      </w:tr>
      <w:tr>
        <w:trPr>
          <w:cantSplit/>
        </w:trPr>
        <w:tc>
          <w:tcPr>
            <w:tcW w:type="dxa" w:w="2616"/>
          </w:tcPr>
          <w:p>
            <w:r>
              <w:rPr>
                <w:sz w:val="18"/>
              </w:rPr>
              <w:t>Threat</w:t>
            </w:r>
          </w:p>
        </w:tc>
        <w:tc>
          <w:tcPr>
            <w:tcW w:type="dxa" w:w="2616"/>
          </w:tcPr>
          <w:p>
            <w:r>
              <w:rPr>
                <w:sz w:val="18"/>
              </w:rPr>
              <w:t>Abuse, violence</w:t>
            </w:r>
          </w:p>
        </w:tc>
        <w:tc>
          <w:tcPr>
            <w:tcW w:type="dxa" w:w="2616"/>
          </w:tcPr>
          <w:p>
            <w:r>
              <w:rPr>
                <w:sz w:val="18"/>
              </w:rPr>
              <w:t>Fear learning, hypervigilance</w:t>
            </w:r>
          </w:p>
        </w:tc>
      </w:tr>
      <w:tr>
        <w:trPr>
          <w:cantSplit/>
        </w:trPr>
        <w:tc>
          <w:tcPr>
            <w:tcW w:type="dxa" w:w="2616"/>
          </w:tcPr>
          <w:p>
            <w:r>
              <w:rPr>
                <w:sz w:val="18"/>
              </w:rPr>
              <w:t>Deprivation</w:t>
            </w:r>
          </w:p>
        </w:tc>
        <w:tc>
          <w:tcPr>
            <w:tcW w:type="dxa" w:w="2616"/>
          </w:tcPr>
          <w:p>
            <w:r>
              <w:rPr>
                <w:sz w:val="18"/>
              </w:rPr>
              <w:t>Neglect, lack of stimulation</w:t>
            </w:r>
          </w:p>
        </w:tc>
        <w:tc>
          <w:tcPr>
            <w:tcW w:type="dxa" w:w="2616"/>
          </w:tcPr>
          <w:p>
            <w:r>
              <w:rPr>
                <w:sz w:val="18"/>
              </w:rPr>
              <w:t>Cognitive and language delays</w:t>
            </w:r>
          </w:p>
        </w:tc>
      </w:tr>
      <w:tr>
        <w:trPr>
          <w:cantSplit/>
        </w:trPr>
        <w:tc>
          <w:tcPr>
            <w:tcW w:type="dxa" w:w="2616"/>
          </w:tcPr>
          <w:p>
            <w:r>
              <w:rPr>
                <w:sz w:val="18"/>
              </w:rPr>
              <w:t>Developmental trauma</w:t>
            </w:r>
          </w:p>
        </w:tc>
        <w:tc>
          <w:tcPr>
            <w:tcW w:type="dxa" w:w="2616"/>
          </w:tcPr>
          <w:p>
            <w:r>
              <w:rPr>
                <w:sz w:val="18"/>
              </w:rPr>
              <w:t>Chronic interpersonal adversity</w:t>
            </w:r>
          </w:p>
        </w:tc>
        <w:tc>
          <w:tcPr>
            <w:tcW w:type="dxa" w:w="2616"/>
          </w:tcPr>
          <w:p>
            <w:r>
              <w:rPr>
                <w:sz w:val="18"/>
              </w:rPr>
              <w:t>Broad difficulties beyond PTSD criteria</w:t>
            </w:r>
          </w:p>
        </w:tc>
      </w:tr>
      <w:tr>
        <w:trPr>
          <w:cantSplit/>
        </w:trPr>
        <w:tc>
          <w:tcPr>
            <w:tcW w:type="dxa" w:w="2616"/>
          </w:tcPr>
          <w:p>
            <w:r>
              <w:rPr>
                <w:sz w:val="18"/>
              </w:rPr>
              <w:t>Resilience</w:t>
            </w:r>
          </w:p>
        </w:tc>
        <w:tc>
          <w:tcPr>
            <w:tcW w:type="dxa" w:w="2616"/>
          </w:tcPr>
          <w:p>
            <w:r>
              <w:rPr>
                <w:sz w:val="18"/>
              </w:rPr>
              <w:t>Capacity to maintain functioning</w:t>
            </w:r>
          </w:p>
        </w:tc>
        <w:tc>
          <w:tcPr>
            <w:tcW w:type="dxa" w:w="2616"/>
          </w:tcPr>
          <w:p>
            <w:r>
              <w:rPr>
                <w:sz w:val="18"/>
              </w:rPr>
              <w:t>Supported by relationships and resources</w:t>
            </w:r>
          </w:p>
        </w:tc>
      </w:tr>
    </w:tbl>
    <w:p/>
    <w:p>
      <w:pPr>
        <w:pStyle w:val="Heading1"/>
      </w:pPr>
      <w:r>
        <w:t>Composite case study</w:t>
      </w:r>
    </w:p>
    <w:p>
      <w:r>
        <w:rPr>
          <w:b w:val="0"/>
          <w:i w:val="0"/>
        </w:rPr>
        <w:t>A 10-year-old is referred for aggression and difficulty concentrating. Assessment reveals years of domestic violence, separation from a caregiver and housing instability. The plan includes safety planning, caregiver support, school liaison and trauma-focused therapy. The clinician avoids describing the child as damaged and emphasises the potential for change with the right environment.</w:t>
      </w:r>
    </w:p>
    <w:p>
      <w:pPr>
        <w:pStyle w:val="Heading1"/>
      </w:pPr>
      <w:r>
        <w:t>Review and discussion questions</w:t>
      </w:r>
    </w:p>
    <w:p>
      <w:r>
        <w:rPr>
          <w:b w:val="0"/>
          <w:i w:val="0"/>
        </w:rPr>
        <w:t>What are the strengths and limits of the ACE score?</w:t>
      </w:r>
    </w:p>
    <w:p>
      <w:r>
        <w:rPr>
          <w:b w:val="0"/>
          <w:i w:val="0"/>
        </w:rPr>
        <w:t>Why is the distinction between threat and deprivation useful?</w:t>
      </w:r>
    </w:p>
    <w:p>
      <w:r>
        <w:rPr>
          <w:b w:val="0"/>
          <w:i w:val="0"/>
        </w:rPr>
        <w:t>Why was developmental trauma disorder not included in DSM-5?</w:t>
      </w:r>
    </w:p>
    <w:p>
      <w:r>
        <w:rPr>
          <w:b w:val="0"/>
          <w:i w:val="0"/>
        </w:rPr>
        <w:t>How should clinicians avoid overstating neurodevelopmental findings?</w:t>
      </w:r>
    </w:p>
    <w:p>
      <w:r>
        <w:rPr>
          <w:b w:val="0"/>
          <w:i w:val="0"/>
        </w:rPr>
        <w:t>What makes resilience a relational rather than an individual property?</w:t>
      </w:r>
    </w:p>
    <w:p>
      <w:r>
        <w:rPr>
          <w:b w:val="0"/>
          <w:i w:val="0"/>
        </w:rPr>
        <w:t>How should assessment be adapted for young children?</w:t>
      </w:r>
    </w:p>
    <w:p>
      <w:pPr>
        <w:pStyle w:val="Heading1"/>
      </w:pPr>
      <w:r>
        <w:t>Research assignments</w:t>
      </w:r>
    </w:p>
    <w:p>
      <w:r>
        <w:rPr>
          <w:b w:val="0"/>
          <w:i w:val="0"/>
        </w:rPr>
        <w:t>• Design a prospective study of threat and deprivation that separates their effects.</w:t>
      </w:r>
    </w:p>
    <w:p>
      <w:r>
        <w:rPr>
          <w:b w:val="0"/>
          <w:i w:val="0"/>
        </w:rPr>
        <w:t>• Critically appraise the evidence for trauma-focused CBT in children.</w:t>
      </w:r>
    </w:p>
    <w:p>
      <w:r>
        <w:rPr>
          <w:b w:val="0"/>
          <w:i w:val="0"/>
        </w:rPr>
        <w:t>• Write a policy brief on adverse childhood experiences for a local authority.</w:t>
      </w:r>
    </w:p>
    <w:p>
      <w:pPr>
        <w:pStyle w:val="Heading1"/>
      </w:pPr>
      <w:r>
        <w:t>Chapter summary</w:t>
      </w:r>
    </w:p>
    <w:p>
      <w:r>
        <w:rPr>
          <w:b w:val="0"/>
          <w:i w:val="0"/>
        </w:rPr>
        <w:t>Early adversity shapes development through timing, chronicity, type and context. The ACE literature demonstrates that childhood adversity is common and consequential but is not a diagnostic tool. Threat and deprivation have partly distinct effects. Developmental trauma captures the broad difficulties associated with chronic interpersonal adversity. Resilience is supported by relationships and resources, and interventions should address safety, caregiving and the environment as well as individual symptoms.</w:t>
      </w:r>
    </w:p>
    <w:p>
      <w:pPr>
        <w:pStyle w:val="Heading1"/>
      </w:pPr>
      <w:r>
        <w:t>References</w:t>
      </w:r>
    </w:p>
    <w:p>
      <w:pPr>
        <w:ind w:left="280" w:hanging="280"/>
      </w:pPr>
      <w:r>
        <w:rPr>
          <w:b w:val="0"/>
          <w:i w:val="0"/>
        </w:rPr>
        <w:t xml:space="preserve">Felitti, V. J., Anda, R. F., Nordenberg, D., Williamson, D. F., Spitz, A. M., Edwards, V., Koss, M. P., &amp; Marks, J. S. (1998). Relationship of childhood abuse and household dysfunction to many of the leading causes of death in adults: The Adverse Childhood Experiences (ACE) Study. </w:t>
      </w:r>
      <w:r>
        <w:rPr>
          <w:b w:val="0"/>
          <w:i/>
        </w:rPr>
        <w:t>American Journal of Preventive Medicine, 14</w:t>
      </w:r>
      <w:r>
        <w:rPr>
          <w:b w:val="0"/>
          <w:i w:val="0"/>
        </w:rPr>
        <w:t>(4), 245–258. https://doi.org/10.1016/S0749-3797(98)00017-8</w:t>
      </w:r>
    </w:p>
    <w:p>
      <w:pPr>
        <w:ind w:left="280" w:hanging="280"/>
      </w:pPr>
      <w:r>
        <w:rPr>
          <w:b w:val="0"/>
          <w:i w:val="0"/>
        </w:rPr>
        <w:t xml:space="preserve">National Child Traumatic Stress Network. (n.d.). </w:t>
      </w:r>
      <w:r>
        <w:rPr>
          <w:b w:val="0"/>
          <w:i/>
        </w:rPr>
        <w:t>Complex trauma: Effects</w:t>
      </w:r>
      <w:r>
        <w:rPr>
          <w:b w:val="0"/>
          <w:i w:val="0"/>
        </w:rPr>
        <w:t>. https://www.nctsn.org/what-is-child-trauma/trauma-types/complex-trauma/effects</w:t>
      </w:r>
    </w:p>
    <w:p>
      <w:pPr>
        <w:ind w:left="280" w:hanging="280"/>
      </w:pPr>
      <w:r>
        <w:rPr>
          <w:b w:val="0"/>
          <w:i w:val="0"/>
        </w:rPr>
        <w:t xml:space="preserve">Shonkoff, J. P., &amp; Garner, A. S. (2012). The lifelong effects of early childhood adversity and toxic stress. </w:t>
      </w:r>
      <w:r>
        <w:rPr>
          <w:b w:val="0"/>
          <w:i/>
        </w:rPr>
        <w:t>Pediatrics, 129</w:t>
      </w:r>
      <w:r>
        <w:rPr>
          <w:b w:val="0"/>
          <w:i w:val="0"/>
        </w:rPr>
        <w:t>(1), e232–e246. https://doi.org/10.1542/peds.2011-2663</w:t>
      </w:r>
    </w:p>
    <w:p>
      <w:pPr>
        <w:ind w:left="280" w:hanging="280"/>
      </w:pPr>
      <w:r>
        <w:rPr>
          <w:b w:val="0"/>
          <w:i w:val="0"/>
        </w:rPr>
        <w:t xml:space="preserve">Teicher, M. H., &amp; Samson, J. A. (2016). Annual research review: Enduring neurobiological effects of childhood abuse and neglect. </w:t>
      </w:r>
      <w:r>
        <w:rPr>
          <w:b w:val="0"/>
          <w:i/>
        </w:rPr>
        <w:t>Journal of Child Psychology and Psychiatry, 57</w:t>
      </w:r>
      <w:r>
        <w:rPr>
          <w:b w:val="0"/>
          <w:i w:val="0"/>
        </w:rPr>
        <w:t>(3), 241–266. https://doi.org/10.1111/jcpp.12507</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15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