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Therapeutic Translation: From Mechanism to Intervention</w:t>
      </w:r>
    </w:p>
    <w:p>
      <w:pPr>
        <w:pStyle w:val="Caption"/>
      </w:pPr>
      <w:r>
        <w:t>Chapter 18</w:t>
      </w:r>
    </w:p>
    <w:p>
      <w:r>
        <w:br w:type="page"/>
      </w:r>
    </w:p>
    <w:p>
      <w:pPr>
        <w:pStyle w:val="Heading1"/>
      </w:pPr>
      <w:r>
        <w:t>Chapter contents</w:t>
      </w:r>
    </w:p>
    <w:p>
      <w:fldSimple w:instr="TOC \o &quot;1-2&quot; \h \z \u"/>
    </w:p>
    <w:p>
      <w:pPr>
        <w:pStyle w:val="Caption"/>
      </w:pPr>
      <w:r>
        <w:t>The PDF contains generated contents and page numbers. Refresh the contents field in Word after editing.</w:t>
      </w:r>
    </w:p>
    <w:p>
      <w:r>
        <w:br w:type="page"/>
      </w:r>
    </w:p>
    <w:p>
      <w:r>
        <w:rPr>
          <w:b w:val="0"/>
          <w:i w:val="0"/>
        </w:rPr>
      </w:r>
      <w:r>
        <w:rPr>
          <w:b/>
          <w:i w:val="0"/>
        </w:rPr>
        <w:t>Central question.</w:t>
      </w:r>
      <w:r>
        <w:rPr>
          <w:b w:val="0"/>
          <w:i w:val="0"/>
        </w:rPr>
        <w:t xml:space="preserve"> How do findings about trauma neurobiology become treatments, and why do so many promising mechanisms fail to translate?</w:t>
      </w:r>
    </w:p>
    <w:p>
      <w:pPr>
        <w:pStyle w:val="Heading2"/>
      </w:pPr>
      <w:r>
        <w:t>Learning objectives</w:t>
      </w:r>
    </w:p>
    <w:p>
      <w:r>
        <w:rPr>
          <w:b w:val="0"/>
          <w:i w:val="0"/>
        </w:rPr>
        <w:t>• describe the stages of translational research;</w:t>
      </w:r>
    </w:p>
    <w:p>
      <w:r>
        <w:rPr>
          <w:b w:val="0"/>
          <w:i w:val="0"/>
        </w:rPr>
        <w:t>• distinguish efficacy, effectiveness and implementation;</w:t>
      </w:r>
    </w:p>
    <w:p>
      <w:r>
        <w:rPr>
          <w:b w:val="0"/>
          <w:i w:val="0"/>
        </w:rPr>
        <w:t>• explain common reasons for translation failure;</w:t>
      </w:r>
    </w:p>
    <w:p>
      <w:r>
        <w:rPr>
          <w:b w:val="0"/>
          <w:i w:val="0"/>
        </w:rPr>
        <w:t>• evaluate mechanism-based treatments for trauma;</w:t>
      </w:r>
    </w:p>
    <w:p>
      <w:r>
        <w:rPr>
          <w:b w:val="0"/>
          <w:i w:val="0"/>
        </w:rPr>
        <w:t>• apply evidence standards to new interventions.</w:t>
      </w:r>
    </w:p>
    <w:p>
      <w:pPr>
        <w:pStyle w:val="Heading1"/>
      </w:pPr>
      <w:r>
        <w:t>Introduction</w:t>
      </w:r>
    </w:p>
    <w:p>
      <w:r>
        <w:rPr>
          <w:b w:val="0"/>
          <w:i w:val="0"/>
        </w:rPr>
        <w:t>Translation is the process by which basic science becomes clinical practice. It is slower and less linear than the word suggests. A mechanism discovered in a laboratory may take decades to yield a treatment, and many mechanisms never do.</w:t>
      </w:r>
    </w:p>
    <w:p>
      <w:r>
        <w:rPr>
          <w:b w:val="0"/>
          <w:i w:val="0"/>
        </w:rPr>
        <w:t>This chapter examines translation in trauma research. It describes the stages of translational research, the difference between efficacy and effectiveness, common reasons for failure, and specific examples of mechanism-based treatments. It closes with practical guidance for evaluating new interventions.</w:t>
      </w:r>
    </w:p>
    <w:p>
      <w:pPr>
        <w:pStyle w:val="Quote"/>
      </w:pPr>
      <w:r>
        <w:rPr>
          <w:b w:val="0"/>
          <w:i w:val="0"/>
        </w:rPr>
      </w:r>
      <w:r>
        <w:rPr>
          <w:b/>
          <w:i w:val="0"/>
        </w:rPr>
        <w:t>A note on mechanism.</w:t>
      </w:r>
      <w:r>
        <w:rPr>
          <w:b w:val="0"/>
          <w:i w:val="0"/>
        </w:rPr>
        <w:t xml:space="preserve"> A treatment can work without knowing its mechanism, and a mechanism can be real without yielding an effective treatment. Mechanism and efficacy are separate questions, and conflating them leads to overconfidence.</w:t>
      </w:r>
    </w:p>
    <w:p>
      <w:pPr>
        <w:pStyle w:val="Heading1"/>
      </w:pPr>
      <w:r>
        <w:t>18.1 Stages of translational research</w:t>
      </w:r>
    </w:p>
    <w:p>
      <w:r>
        <w:rPr>
          <w:b w:val="0"/>
          <w:i w:val="0"/>
        </w:rPr>
        <w:t>Translational research is often described in stages: T1, from basic discovery to candidate intervention; T2, from candidate to efficacy trials; T3, from efficacy to effectiveness and implementation; T4, from implementation to population health impact.</w:t>
      </w:r>
    </w:p>
    <w:p>
      <w:r>
        <w:rPr>
          <w:b w:val="0"/>
          <w:i w:val="0"/>
        </w:rPr>
        <w:t>The stages are not strictly sequential. Implementation problems can reveal efficacy problems, and basic discoveries can emerge from clinical observation. The model is a map, not a recipe.</w:t>
      </w:r>
    </w:p>
    <w:p>
      <w:r>
        <w:rPr>
          <w:b w:val="0"/>
          <w:i w:val="0"/>
        </w:rPr>
        <w:t>For trauma, T1 research includes animal models of fear learning and stress physiology; T2 includes randomised trials of exposure therapy and medication; T3 includes dissemination studies in community settings; T4 includes policy and population-level evaluation.</w:t>
      </w:r>
    </w:p>
    <w:p>
      <w:pPr>
        <w:pStyle w:val="Heading1"/>
      </w:pPr>
      <w:r>
        <w:t>18.2 Efficacy and effectiveness</w:t>
      </w:r>
    </w:p>
    <w:p>
      <w:r>
        <w:rPr>
          <w:b w:val="0"/>
          <w:i w:val="0"/>
        </w:rPr>
        <w:t>Efficacy trials test whether an intervention works under ideal conditions: carefully selected participants, standardised delivery, rigorous monitoring. Effectiveness trials test whether it works under routine conditions: diverse participants, variable delivery, competing demands.</w:t>
      </w:r>
    </w:p>
    <w:p>
      <w:r>
        <w:rPr>
          <w:b w:val="0"/>
          <w:i w:val="0"/>
        </w:rPr>
        <w:t>Many interventions that are efficacious in trials are less effective in practice. This is not necessarily because the intervention is flawed; it may be because the context, population or delivery differs.</w:t>
      </w:r>
    </w:p>
    <w:p>
      <w:r>
        <w:rPr>
          <w:b w:val="0"/>
          <w:i w:val="0"/>
        </w:rPr>
        <w:t>For trauma, effectiveness research is essential because most people are treated in generalist settings with limited resources, not in specialist research clinics.</w:t>
      </w:r>
    </w:p>
    <w:p>
      <w:pPr>
        <w:pStyle w:val="Heading1"/>
      </w:pPr>
      <w:r>
        <w:t>18.3 Why translation fails</w:t>
      </w:r>
    </w:p>
    <w:p>
      <w:r>
        <w:rPr>
          <w:b w:val="0"/>
          <w:i w:val="0"/>
        </w:rPr>
        <w:t>Translation can fail at several points. The mechanism may not be causally important in humans. The intervention may not engage the mechanism as intended. The effect size may be too small to be clinically meaningful. The intervention may be unacceptable, unaffordable or unsafe. Implementation may be inadequate.</w:t>
      </w:r>
    </w:p>
    <w:p>
      <w:r>
        <w:rPr>
          <w:b w:val="0"/>
          <w:i w:val="0"/>
        </w:rPr>
        <w:t>Failures are informative. Negative trials can reveal that a mechanism is less important than assumed, or that the intervention was poorly designed or delivered. They should be reported and discussed, not buried.</w:t>
      </w:r>
    </w:p>
    <w:p>
      <w:pPr>
        <w:pStyle w:val="Heading1"/>
      </w:pPr>
      <w:r>
        <w:t>18.4 Exposure therapy</w:t>
      </w:r>
    </w:p>
    <w:p>
      <w:r>
        <w:rPr>
          <w:b w:val="0"/>
          <w:i w:val="0"/>
        </w:rPr>
        <w:t>Exposure therapy is the best-established mechanism-based treatment for trauma. It is grounded in extinction learning: repeated exposure to feared cues without adverse outcome produces new inhibitory learning.</w:t>
      </w:r>
    </w:p>
    <w:p>
      <w:r>
        <w:rPr>
          <w:b w:val="0"/>
          <w:i w:val="0"/>
        </w:rPr>
        <w:t>Efficacy is well established across trauma populations. Effectiveness in routine settings is good, though access remains limited. Variants include prolonged exposure, cognitive processing therapy, narrative exposure therapy and virtual reality exposure.</w:t>
      </w:r>
    </w:p>
    <w:p>
      <w:r>
        <w:rPr>
          <w:b w:val="0"/>
          <w:i w:val="0"/>
        </w:rPr>
        <w:t>Exposure is not the same as reliving. It is structured, paced and collaborative, with attention to safety and to the person's goals.</w:t>
      </w:r>
    </w:p>
    <w:p>
      <w:r>
        <w:rPr>
          <w:b w:val="0"/>
          <w:i w:val="0"/>
        </w:rPr>
        <w:t>The inhibitory-learning account of exposure, and its implications for optimising practice, are set out by Craske et al. (2014).</w:t>
      </w:r>
    </w:p>
    <w:p>
      <w:pPr>
        <w:pStyle w:val="Heading1"/>
      </w:pPr>
      <w:r>
        <w:t>18.5 Medication</w:t>
      </w:r>
    </w:p>
    <w:p>
      <w:r>
        <w:rPr>
          <w:b w:val="0"/>
          <w:i w:val="0"/>
        </w:rPr>
        <w:t>Medication can target specific mechanisms: selective serotonin reuptake inhibitors modulate serotonergic function; alpha-1 antagonists target noradrenergic arousal; glucocorticoids have been studied for consolidation and prevention.</w:t>
      </w:r>
    </w:p>
    <w:p>
      <w:r>
        <w:rPr>
          <w:b w:val="0"/>
          <w:i w:val="0"/>
        </w:rPr>
        <w:t>Evidence varies. SSRIs have moderate evidence for PTSD. Prazosin has mixed evidence for nightmares. Hydrocortisone has been studied for prevention after trauma with some promising findings but is not standard care.</w:t>
      </w:r>
    </w:p>
    <w:p>
      <w:r>
        <w:rPr>
          <w:b w:val="0"/>
          <w:i w:val="0"/>
        </w:rPr>
        <w:t>Medication is often used alongside psychotherapy. Sequencing, interactions and patient preference should guide decisions.</w:t>
      </w:r>
    </w:p>
    <w:p>
      <w:r>
        <w:rPr>
          <w:b w:val="0"/>
          <w:i w:val="0"/>
        </w:rPr>
        <w:t>For a review of the pharmacological evidence in PTSD, see Yehuda et al. (2015).</w:t>
      </w:r>
    </w:p>
    <w:p>
      <w:pPr>
        <w:pStyle w:val="Heading1"/>
      </w:pPr>
      <w:r>
        <w:t>18.6 Neuromodulation</w:t>
      </w:r>
    </w:p>
    <w:p>
      <w:r>
        <w:rPr>
          <w:b w:val="0"/>
          <w:i w:val="0"/>
        </w:rPr>
        <w:t>Neuromodulation includes transcranial magnetic stimulation, transcranial direct current stimulation and, more invasively, deep brain stimulation. These methods alter brain activity in targeted regions.</w:t>
      </w:r>
    </w:p>
    <w:p>
      <w:r>
        <w:rPr>
          <w:b w:val="0"/>
          <w:i w:val="0"/>
        </w:rPr>
        <w:t>Repetitive transcranial magnetic stimulation has been studied for PTSD, with some positive trials and considerable heterogeneity. It is not yet a first-line treatment. Invasive methods are experimental for trauma.</w:t>
      </w:r>
    </w:p>
    <w:p>
      <w:r>
        <w:rPr>
          <w:b w:val="0"/>
          <w:i w:val="0"/>
        </w:rPr>
        <w:t>Neuromodulation raises ethical questions about consent, access and the risk of premature commercialisation.</w:t>
      </w:r>
    </w:p>
    <w:p>
      <w:pPr>
        <w:pStyle w:val="Heading1"/>
      </w:pPr>
      <w:r>
        <w:t>18.7 Digital and self-guided interventions</w:t>
      </w:r>
    </w:p>
    <w:p>
      <w:r>
        <w:rPr>
          <w:b w:val="0"/>
          <w:i w:val="0"/>
        </w:rPr>
        <w:t>Digital interventions can increase access and reduce cost. They include internet-delivered CBT, mobile apps, virtual reality and guided self-help.</w:t>
      </w:r>
    </w:p>
    <w:p>
      <w:r>
        <w:rPr>
          <w:b w:val="0"/>
          <w:i w:val="0"/>
        </w:rPr>
        <w:t>Evidence is strongest for guided interventions with human support. Unguided self-help has smaller effects and higher dropout. Digital tools should be evaluated with the same rigour as other interventions.</w:t>
      </w:r>
    </w:p>
    <w:p>
      <w:r>
        <w:rPr>
          <w:b w:val="0"/>
          <w:i w:val="0"/>
        </w:rPr>
        <w:t>Digital interventions also raise concerns about data privacy, safety and the quality of content. Regulation is uneven.</w:t>
      </w:r>
    </w:p>
    <w:p>
      <w:pPr>
        <w:pStyle w:val="Heading1"/>
      </w:pPr>
      <w:r>
        <w:t>18.8 Implementation science</w:t>
      </w:r>
    </w:p>
    <w:p>
      <w:r>
        <w:rPr>
          <w:b w:val="0"/>
          <w:i w:val="0"/>
        </w:rPr>
        <w:t>Implementation science studies how evidence-based practices are adopted, delivered and sustained. It uses frameworks to identify barriers and facilitators at the level of individuals, teams, organisations and systems.</w:t>
      </w:r>
    </w:p>
    <w:p>
      <w:r>
        <w:rPr>
          <w:b w:val="0"/>
          <w:i w:val="0"/>
        </w:rPr>
        <w:t>Common barriers include lack of training, time, funding and leadership support. Common facilitators include clear protocols, supervision, feedback and alignment with organisational priorities.</w:t>
      </w:r>
    </w:p>
    <w:p>
      <w:r>
        <w:rPr>
          <w:b w:val="0"/>
          <w:i w:val="0"/>
        </w:rPr>
        <w:t>For trauma, implementation research is essential because effective treatments are often unavailable outside specialist centres.</w:t>
      </w:r>
    </w:p>
    <w:p>
      <w:pPr>
        <w:pStyle w:val="Heading1"/>
      </w:pPr>
      <w:r>
        <w:t>18.9 Evidence standards</w:t>
      </w:r>
    </w:p>
    <w:p>
      <w:r>
        <w:rPr>
          <w:b w:val="0"/>
          <w:i w:val="0"/>
        </w:rPr>
        <w:t>Evaluating a new intervention requires attention to study design, sample size, blinding, outcome measurement, follow-up, adverse events and conflicts of interest.</w:t>
      </w:r>
    </w:p>
    <w:p>
      <w:r>
        <w:rPr>
          <w:b w:val="0"/>
          <w:i w:val="0"/>
        </w:rPr>
        <w:t>Systematic reviews and meta-analyses synthesise evidence but depend on the quality of included studies. Guidelines translate evidence into recommendations, with attention to values and resources.</w:t>
      </w:r>
    </w:p>
    <w:p>
      <w:r>
        <w:rPr>
          <w:b w:val="0"/>
          <w:i w:val="0"/>
        </w:rPr>
        <w:t>Clinicians should be cautious about interventions supported only by case series, testimonials or mechanistic reasoning. Enthusiasm is not evidence.</w:t>
      </w:r>
    </w:p>
    <w:p>
      <w:pPr>
        <w:pStyle w:val="Heading1"/>
      </w:pPr>
      <w:r>
        <w:t>18.10 Ethical translation</w:t>
      </w:r>
    </w:p>
    <w:p>
      <w:r>
        <w:rPr>
          <w:b w:val="0"/>
          <w:i w:val="0"/>
        </w:rPr>
        <w:t>Translation raises ethical questions: who benefits, who bears risk, who can access the intervention and who decides. Research in low-resource settings must be fair and reciprocal.</w:t>
      </w:r>
    </w:p>
    <w:p>
      <w:r>
        <w:rPr>
          <w:b w:val="0"/>
          <w:i w:val="0"/>
        </w:rPr>
        <w:t>Commercial interests can distort translation. Marketing may outpace evidence, and patients may be offered interventions that are not yet established.</w:t>
      </w:r>
    </w:p>
    <w:p>
      <w:r>
        <w:rPr>
          <w:b w:val="0"/>
          <w:i w:val="0"/>
        </w:rPr>
        <w:t>A responsible field communicates uncertainty, reports negative findings and prioritises interventions that are effective, acceptable and accessible.</w:t>
      </w:r>
    </w:p>
    <w:p>
      <w:pPr>
        <w:pStyle w:val="Heading1"/>
      </w:pPr>
      <w:r>
        <w:t>18.11 Workforce, training and supervision</w:t>
      </w:r>
    </w:p>
    <w:p>
      <w:r>
        <w:rPr>
          <w:b w:val="0"/>
          <w:i w:val="0"/>
        </w:rPr>
        <w:t>Even well-evidenced treatments fail if there are too few trained clinicians, too little supervision and too few hours in the week. Implementation is a workforce problem as much as a scientific one.</w:t>
      </w:r>
    </w:p>
    <w:p>
      <w:r>
        <w:rPr>
          <w:b w:val="0"/>
          <w:i w:val="0"/>
        </w:rPr>
        <w:t>Training should include more than attendance at a workshop. Competence develops through observation, practice with feedback, supervised cases and routine outcome monitoring. Short workshops alone rarely change practice; they may improve knowledge and confidence, which are not the same as skill.</w:t>
      </w:r>
    </w:p>
    <w:p>
      <w:r>
        <w:rPr>
          <w:b w:val="0"/>
          <w:i w:val="0"/>
        </w:rPr>
        <w:t>Task-shifting—training non-specialists to deliver structured interventions—has been studied chiefly in low- and middle-income settings, where specialist capacity is scarce (Patel et al., 2018). Trials of lay-counsellor-delivered treatments for depression and trauma-related conditions have reported benefits, but the evidence base is uneven and supervision remains essential. Task-shifting should extend capacity, not substitute an unaccountable service for adequate staffing.</w:t>
      </w:r>
    </w:p>
    <w:p>
      <w:r>
        <w:rPr>
          <w:b w:val="0"/>
          <w:i w:val="0"/>
        </w:rPr>
        <w:t>Supervision protects patients and clinicians. It provides a setting to review complex cases, notice drift from protocol, manage risk and address the emotional impact of trauma work. Where supervision is unavailable, clinicians should create peer consultation and be explicit about the limits of their practice.</w:t>
      </w:r>
    </w:p>
    <w:p>
      <w:r>
        <w:rPr>
          <w:b w:val="0"/>
          <w:i w:val="0"/>
        </w:rPr>
        <w:t>Staff wellbeing is an organisational responsibility. Heavy caseloads, inadequate time and unsupportive management predict burnout more strongly than the content of the work itself.</w:t>
      </w:r>
    </w:p>
    <w:p>
      <w:pPr>
        <w:pStyle w:val="Heading1"/>
      </w:pPr>
      <w:r>
        <w:t>18.12 Routine outcome monitoring and service evaluation</w:t>
      </w:r>
    </w:p>
    <w:p>
      <w:r>
        <w:rPr>
          <w:b w:val="0"/>
          <w:i w:val="0"/>
        </w:rPr>
        <w:t>Routine outcome monitoring uses standardised measures at the start, during and end of treatment. It can identify deterioration early, support supervision and provide accountability to commissioners and patients.</w:t>
      </w:r>
    </w:p>
    <w:p>
      <w:r>
        <w:rPr>
          <w:b w:val="0"/>
          <w:i w:val="0"/>
        </w:rPr>
        <w:t>Measures should be brief, validated in the population served, and used to inform care rather than to rank clinicians. The PTSD Checklist for DSM-5 and measures of depression and functioning are common choices. Session-by-session measures are useful for feedback but add administrative burden.</w:t>
      </w:r>
    </w:p>
    <w:p>
      <w:r>
        <w:rPr>
          <w:b w:val="0"/>
          <w:i w:val="0"/>
        </w:rPr>
        <w:t>Three pitfalls are common. The first is missing data: people who drop out often have the worst outcomes, and analysing only completers flatters a service. The second is gaming: targets can incentivise discharging complex cases early or selecting easier referrals. The third is inequity: aggregated data can conceal poorer access or outcomes for particular groups, which requires disaggregation.</w:t>
      </w:r>
    </w:p>
    <w:p>
      <w:r>
        <w:rPr>
          <w:b w:val="0"/>
          <w:i w:val="0"/>
        </w:rPr>
        <w:t>Feedback-informed treatment has intuitive appeal, but trials show modest and inconsistent effects on outcomes. Monitoring is most valuable when it changes a clinical decision—adjusting the plan, arranging supervision, or offering an alternative—rather than when it generates reports that nobody uses.</w:t>
      </w:r>
    </w:p>
    <w:p>
      <w:r>
        <w:rPr>
          <w:b w:val="0"/>
          <w:i w:val="0"/>
        </w:rPr>
        <w:t>Service evaluation should include access, waiting times, dropout, outcomes, adverse events and patient experience. A service that treats a selected minority very well is not equivalent to one that reaches the population it exists to serve.</w:t>
      </w:r>
    </w:p>
    <w:p>
      <w:pPr>
        <w:pStyle w:val="Heading1"/>
      </w:pPr>
      <w:r>
        <w:t>Synthesis</w:t>
      </w:r>
    </w:p>
    <w:p>
      <w:r>
        <w:rPr>
          <w:b w:val="0"/>
          <w:i w:val="0"/>
        </w:rPr>
        <w:t>Table 18.1 summarises translational stages and trauma examples.</w:t>
      </w:r>
    </w:p>
    <w:p>
      <w:pPr>
        <w:pStyle w:val="Caption"/>
      </w:pPr>
      <w:r>
        <w:rPr>
          <w:b w:val="0"/>
          <w:i w:val="0"/>
        </w:rPr>
        <w:t>Table 18.1. Translational stages</w:t>
      </w:r>
    </w:p>
    <w:tbl>
      <w:tblPr>
        <w:tblStyle w:val="LightShading-Accent1"/>
        <w:tblW w:type="auto" w:w="0"/>
        <w:tblLook w:firstColumn="1" w:firstRow="1" w:lastColumn="0" w:lastRow="0" w:noHBand="0" w:noVBand="1" w:val="04A0"/>
      </w:tblPr>
      <w:tblGrid>
        <w:gridCol w:w="1962"/>
        <w:gridCol w:w="1962"/>
        <w:gridCol w:w="1962"/>
        <w:gridCol w:w="1962"/>
      </w:tblGrid>
      <w:tr>
        <w:trPr>
          <w:tblHeader/>
          <w:cantSplit/>
        </w:trPr>
        <w:tc>
          <w:tcPr>
            <w:tcW w:type="dxa" w:w="1962"/>
          </w:tcPr>
          <w:p>
            <w:r>
              <w:rPr>
                <w:sz w:val="18"/>
              </w:rPr>
              <w:t>Stage</w:t>
            </w:r>
          </w:p>
        </w:tc>
        <w:tc>
          <w:tcPr>
            <w:tcW w:type="dxa" w:w="1962"/>
          </w:tcPr>
          <w:p>
            <w:r>
              <w:rPr>
                <w:sz w:val="18"/>
              </w:rPr>
              <w:t>Question</w:t>
            </w:r>
          </w:p>
        </w:tc>
        <w:tc>
          <w:tcPr>
            <w:tcW w:type="dxa" w:w="1962"/>
          </w:tcPr>
          <w:p>
            <w:r>
              <w:rPr>
                <w:sz w:val="18"/>
              </w:rPr>
              <w:t>Trauma example</w:t>
            </w:r>
          </w:p>
        </w:tc>
        <w:tc>
          <w:tcPr>
            <w:tcW w:type="dxa" w:w="1962"/>
          </w:tcPr>
          <w:p>
            <w:r>
              <w:rPr>
                <w:sz w:val="18"/>
              </w:rPr>
              <w:t>Common failure</w:t>
            </w:r>
          </w:p>
        </w:tc>
      </w:tr>
      <w:tr>
        <w:trPr>
          <w:cantSplit/>
        </w:trPr>
        <w:tc>
          <w:tcPr>
            <w:tcW w:type="dxa" w:w="1962"/>
          </w:tcPr>
          <w:p>
            <w:r>
              <w:rPr>
                <w:sz w:val="18"/>
              </w:rPr>
              <w:t>T1</w:t>
            </w:r>
          </w:p>
        </w:tc>
        <w:tc>
          <w:tcPr>
            <w:tcW w:type="dxa" w:w="1962"/>
          </w:tcPr>
          <w:p>
            <w:r>
              <w:rPr>
                <w:sz w:val="18"/>
              </w:rPr>
              <w:t>Does the mechanism work?</w:t>
            </w:r>
          </w:p>
        </w:tc>
        <w:tc>
          <w:tcPr>
            <w:tcW w:type="dxa" w:w="1962"/>
          </w:tcPr>
          <w:p>
            <w:r>
              <w:rPr>
                <w:sz w:val="18"/>
              </w:rPr>
              <w:t>Fear conditioning</w:t>
            </w:r>
          </w:p>
        </w:tc>
        <w:tc>
          <w:tcPr>
            <w:tcW w:type="dxa" w:w="1962"/>
          </w:tcPr>
          <w:p>
            <w:r>
              <w:rPr>
                <w:sz w:val="18"/>
              </w:rPr>
              <w:t>Animal model mismatch</w:t>
            </w:r>
          </w:p>
        </w:tc>
      </w:tr>
      <w:tr>
        <w:trPr>
          <w:cantSplit/>
        </w:trPr>
        <w:tc>
          <w:tcPr>
            <w:tcW w:type="dxa" w:w="1962"/>
          </w:tcPr>
          <w:p>
            <w:r>
              <w:rPr>
                <w:sz w:val="18"/>
              </w:rPr>
              <w:t>T2</w:t>
            </w:r>
          </w:p>
        </w:tc>
        <w:tc>
          <w:tcPr>
            <w:tcW w:type="dxa" w:w="1962"/>
          </w:tcPr>
          <w:p>
            <w:r>
              <w:rPr>
                <w:sz w:val="18"/>
              </w:rPr>
              <w:t>Does it work in ideal conditions?</w:t>
            </w:r>
          </w:p>
        </w:tc>
        <w:tc>
          <w:tcPr>
            <w:tcW w:type="dxa" w:w="1962"/>
          </w:tcPr>
          <w:p>
            <w:r>
              <w:rPr>
                <w:sz w:val="18"/>
              </w:rPr>
              <w:t>Exposure therapy trial</w:t>
            </w:r>
          </w:p>
        </w:tc>
        <w:tc>
          <w:tcPr>
            <w:tcW w:type="dxa" w:w="1962"/>
          </w:tcPr>
          <w:p>
            <w:r>
              <w:rPr>
                <w:sz w:val="18"/>
              </w:rPr>
              <w:t>Small effect</w:t>
            </w:r>
          </w:p>
        </w:tc>
      </w:tr>
      <w:tr>
        <w:trPr>
          <w:cantSplit/>
        </w:trPr>
        <w:tc>
          <w:tcPr>
            <w:tcW w:type="dxa" w:w="1962"/>
          </w:tcPr>
          <w:p>
            <w:r>
              <w:rPr>
                <w:sz w:val="18"/>
              </w:rPr>
              <w:t>T3</w:t>
            </w:r>
          </w:p>
        </w:tc>
        <w:tc>
          <w:tcPr>
            <w:tcW w:type="dxa" w:w="1962"/>
          </w:tcPr>
          <w:p>
            <w:r>
              <w:rPr>
                <w:sz w:val="18"/>
              </w:rPr>
              <w:t>Does it work in practice?</w:t>
            </w:r>
          </w:p>
        </w:tc>
        <w:tc>
          <w:tcPr>
            <w:tcW w:type="dxa" w:w="1962"/>
          </w:tcPr>
          <w:p>
            <w:r>
              <w:rPr>
                <w:sz w:val="18"/>
              </w:rPr>
              <w:t>Community implementation</w:t>
            </w:r>
          </w:p>
        </w:tc>
        <w:tc>
          <w:tcPr>
            <w:tcW w:type="dxa" w:w="1962"/>
          </w:tcPr>
          <w:p>
            <w:r>
              <w:rPr>
                <w:sz w:val="18"/>
              </w:rPr>
              <w:t>Poor fidelity</w:t>
            </w:r>
          </w:p>
        </w:tc>
      </w:tr>
      <w:tr>
        <w:trPr>
          <w:cantSplit/>
        </w:trPr>
        <w:tc>
          <w:tcPr>
            <w:tcW w:type="dxa" w:w="1962"/>
          </w:tcPr>
          <w:p>
            <w:r>
              <w:rPr>
                <w:sz w:val="18"/>
              </w:rPr>
              <w:t>T4</w:t>
            </w:r>
          </w:p>
        </w:tc>
        <w:tc>
          <w:tcPr>
            <w:tcW w:type="dxa" w:w="1962"/>
          </w:tcPr>
          <w:p>
            <w:r>
              <w:rPr>
                <w:sz w:val="18"/>
              </w:rPr>
              <w:t>Does it improve population health?</w:t>
            </w:r>
          </w:p>
        </w:tc>
        <w:tc>
          <w:tcPr>
            <w:tcW w:type="dxa" w:w="1962"/>
          </w:tcPr>
          <w:p>
            <w:r>
              <w:rPr>
                <w:sz w:val="18"/>
              </w:rPr>
              <w:t>National policy</w:t>
            </w:r>
          </w:p>
        </w:tc>
        <w:tc>
          <w:tcPr>
            <w:tcW w:type="dxa" w:w="1962"/>
          </w:tcPr>
          <w:p>
            <w:r>
              <w:rPr>
                <w:sz w:val="18"/>
              </w:rPr>
              <w:t>Unequal access</w:t>
            </w:r>
          </w:p>
        </w:tc>
      </w:tr>
    </w:tbl>
    <w:p/>
    <w:p>
      <w:pPr>
        <w:pStyle w:val="Heading1"/>
      </w:pPr>
      <w:r>
        <w:t>Composite case study</w:t>
      </w:r>
    </w:p>
    <w:p>
      <w:r>
        <w:rPr>
          <w:b w:val="0"/>
          <w:i w:val="0"/>
        </w:rPr>
        <w:t>A service considers adopting a new digital trauma therapy. The team reviews the evidence: efficacy in a small trial, no effectiveness data, high dropout in unguided use. They decide to pilot the intervention with human support, collect routine outcome data and review after six months. The decision is based on evidence and context, not marketing.</w:t>
      </w:r>
    </w:p>
    <w:p>
      <w:pPr>
        <w:pStyle w:val="Heading1"/>
      </w:pPr>
      <w:r>
        <w:t>Review and discussion questions</w:t>
      </w:r>
    </w:p>
    <w:p>
      <w:r>
        <w:rPr>
          <w:b w:val="0"/>
          <w:i w:val="0"/>
        </w:rPr>
        <w:t>Why is efficacy not sufficient for clinical adoption?</w:t>
      </w:r>
    </w:p>
    <w:p>
      <w:r>
        <w:rPr>
          <w:b w:val="0"/>
          <w:i w:val="0"/>
        </w:rPr>
        <w:t>What are the most common reasons for translation failure?</w:t>
      </w:r>
    </w:p>
    <w:p>
      <w:r>
        <w:rPr>
          <w:b w:val="0"/>
          <w:i w:val="0"/>
        </w:rPr>
        <w:t>How strong is the evidence for neuromodulation in PTSD?</w:t>
      </w:r>
    </w:p>
    <w:p>
      <w:r>
        <w:rPr>
          <w:b w:val="0"/>
          <w:i w:val="0"/>
        </w:rPr>
        <w:t>What distinguishes guided from unguided digital interventions?</w:t>
      </w:r>
    </w:p>
    <w:p>
      <w:r>
        <w:rPr>
          <w:b w:val="0"/>
          <w:i w:val="0"/>
        </w:rPr>
        <w:t>Which implementation factors most affect sustainability?</w:t>
      </w:r>
    </w:p>
    <w:p>
      <w:r>
        <w:rPr>
          <w:b w:val="0"/>
          <w:i w:val="0"/>
        </w:rPr>
        <w:t>How should conflicts of interest be managed in translational research?</w:t>
      </w:r>
    </w:p>
    <w:p>
      <w:pPr>
        <w:pStyle w:val="Heading1"/>
      </w:pPr>
      <w:r>
        <w:t>Research assignments</w:t>
      </w:r>
    </w:p>
    <w:p>
      <w:r>
        <w:rPr>
          <w:b w:val="0"/>
          <w:i w:val="0"/>
        </w:rPr>
        <w:t>• Design an effectiveness trial of exposure therapy in a low-resource setting.</w:t>
      </w:r>
    </w:p>
    <w:p>
      <w:r>
        <w:rPr>
          <w:b w:val="0"/>
          <w:i w:val="0"/>
        </w:rPr>
        <w:t>• Critically appraise the evidence for rTMS in PTSD.</w:t>
      </w:r>
    </w:p>
    <w:p>
      <w:r>
        <w:rPr>
          <w:b w:val="0"/>
          <w:i w:val="0"/>
        </w:rPr>
        <w:t>• Write an implementation plan for a trauma-focused therapy in a general hospital.</w:t>
      </w:r>
    </w:p>
    <w:p>
      <w:pPr>
        <w:pStyle w:val="Heading1"/>
      </w:pPr>
      <w:r>
        <w:t>Chapter summary</w:t>
      </w:r>
    </w:p>
    <w:p>
      <w:r>
        <w:rPr>
          <w:b w:val="0"/>
          <w:i w:val="0"/>
        </w:rPr>
        <w:t>Translation from mechanism to intervention is slow, uncertain and context-dependent. Efficacy trials are necessary but not sufficient; effectiveness and implementation determine real-world benefit. Exposure therapy has the strongest evidence base, medication and neuromodulation have narrower roles, and digital interventions require rigorous evaluation. Ethical translation requires attention to access, commercial influence and honest reporting of negative findings.</w:t>
      </w:r>
    </w:p>
    <w:p>
      <w:pPr>
        <w:pStyle w:val="Heading1"/>
      </w:pPr>
      <w:r>
        <w:t>References</w:t>
      </w:r>
    </w:p>
    <w:p>
      <w:pPr>
        <w:ind w:left="280" w:hanging="280"/>
      </w:pPr>
      <w:r>
        <w:rPr>
          <w:b w:val="0"/>
          <w:i w:val="0"/>
        </w:rPr>
        <w:t xml:space="preserve">Craske, M. G., Treanor, M., Conway, C. C., Zbozinek, T., &amp; Vervliet, B. (2014). Maximizing exposure therapy: An inhibitory learning approach. </w:t>
      </w:r>
      <w:r>
        <w:rPr>
          <w:b w:val="0"/>
          <w:i/>
        </w:rPr>
        <w:t>Behaviour Research and Therapy, 58</w:t>
      </w:r>
      <w:r>
        <w:rPr>
          <w:b w:val="0"/>
          <w:i w:val="0"/>
        </w:rPr>
        <w:t>, 10–23. https://doi.org/10.1016/j.brat.2014.04.006</w:t>
      </w:r>
    </w:p>
    <w:p>
      <w:pPr>
        <w:ind w:left="280" w:hanging="280"/>
      </w:pPr>
      <w:r>
        <w:rPr>
          <w:b w:val="0"/>
          <w:i w:val="0"/>
        </w:rPr>
        <w:t xml:space="preserve">Patel, V., Saxena, S., Lund, C., Thornicroft, G., Baingana, F., Bolton, P., Chisholm, D., Collins, P. Y., Cooper, J. L., Eaton, J., Herrman, H., Herzallah, M. M., Huang, Y., Jordans, M. J. D., Kleinman, A., Medina-Mora, M. E., Morgan, E., Niaz, U., Omigbodun, O., … UnÜtzer, J. (2018). The Lancet Commission on global mental health and sustainable development. </w:t>
      </w:r>
      <w:r>
        <w:rPr>
          <w:b w:val="0"/>
          <w:i/>
        </w:rPr>
        <w:t>The Lancet, 392</w:t>
      </w:r>
      <w:r>
        <w:rPr>
          <w:b w:val="0"/>
          <w:i w:val="0"/>
        </w:rPr>
        <w:t>(10157), 1553–1598. https://doi.org/10.1016/S0140-6736(18)31612-X</w:t>
      </w:r>
    </w:p>
    <w:p>
      <w:pPr>
        <w:ind w:left="280" w:hanging="280"/>
      </w:pPr>
      <w:r>
        <w:rPr>
          <w:b w:val="0"/>
          <w:i w:val="0"/>
        </w:rPr>
        <w:t xml:space="preserve">Yehuda, R., Hoge, C. W., McFarlane, A. C., Vermetten, E., Lanius, R. A., Nievergelt, C. M., Hobfoll, S. E., Koenen, K. C., Neylan, T. C., &amp; Hyman, S. E. (2015). Post-traumatic stress disorder. </w:t>
      </w:r>
      <w:r>
        <w:rPr>
          <w:b w:val="0"/>
          <w:i/>
        </w:rPr>
        <w:t>Nature Reviews Disease Primers, 1</w:t>
      </w:r>
      <w:r>
        <w:rPr>
          <w:b w:val="0"/>
          <w:i w:val="0"/>
        </w:rPr>
        <w:t>, Article 15057. https://doi.org/10.1038/nrdp.2015.57</w:t>
      </w:r>
    </w:p>
    <w:sectPr w:rsidR="00FC693F" w:rsidRPr="0006063C" w:rsidSect="00034616">
      <w:headerReference w:type="default" r:id="rId9"/>
      <w:footerReference w:type="default" r:id="rId10"/>
      <w:pgSz w:w="10080" w:h="14400"/>
      <w:pgMar w:top="960" w:right="1008" w:bottom="96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Not approved for publication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TRT 903  |  CHAPTER 18  |  DEVELOPMENTAL PROOF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4" w:lineRule="exact" w:after="140"/>
    </w:pPr>
    <w:rPr>
      <w:rFonts w:ascii="Source Serif 4" w:hAnsi="Source Serif 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erif 4" w:hAnsi="Source Serif 4"/>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erif 4" w:hAnsi="Source Serif 4"/>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erif 4" w:hAnsi="Source Serif 4"/>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erif 4" w:hAnsi="Source Serif 4"/>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