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PUBH 115: Introduction to Environmental Health and Safety</w:t>
      </w:r>
    </w:p>
    <w:p>
      <w:pPr>
        <w:spacing w:after="320"/>
      </w:pPr>
      <w:r>
        <w:rPr>
          <w:b/>
          <w:i w:val="0"/>
        </w:rPr>
        <w:t>Course Syllabus | Fall 2026 | California State University, Fullerton</w:t>
      </w:r>
    </w:p>
    <w:p>
      <w:pPr>
        <w:pStyle w:val="Heading1"/>
      </w:pPr>
      <w:r>
        <w:t>Course Information</w:t>
      </w:r>
    </w:p>
    <w:tbl>
      <w:tblPr>
        <w:tblStyle w:val="TableGrid"/>
        <w:tblW w:type="auto" w:w="0"/>
        <w:jc w:val="left"/>
        <w:tblLayout w:type="autofit"/>
        <w:tblLook w:firstColumn="0" w:firstRow="1" w:lastColumn="0" w:lastRow="0" w:noHBand="0" w:noVBand="1" w:val="04A0"/>
        <w:tblCaption w:val="Course Information"/>
        <w:tblDescription w:val="Two-column table listing basic course facts: title, number, section, class number, units, term, modality, meeting times, prerequisites, General Education area, learning management system, and course website."/>
      </w:tblPr>
      <w:tblGrid>
        <w:gridCol w:w="4680"/>
        <w:gridCol w:w="4680"/>
      </w:tblGrid>
      <w:tr>
        <w:trPr>
          <w:tblHeader w:val="true"/>
        </w:trPr>
        <w:tc>
          <w:tcPr>
            <w:tcW w:type="dxa" w:w="2736"/>
          </w:tcPr>
          <w:p>
            <w:pPr>
              <w:spacing w:after="40"/>
            </w:pPr>
            <w:r/>
            <w:r>
              <w:rPr>
                <w:b/>
                <w:sz w:val="22"/>
              </w:rPr>
              <w:t>Item</w:t>
            </w:r>
          </w:p>
        </w:tc>
        <w:tc>
          <w:tcPr>
            <w:tcW w:type="dxa" w:w="6624"/>
          </w:tcPr>
          <w:p>
            <w:pPr>
              <w:spacing w:after="40"/>
            </w:pPr>
            <w:r/>
            <w:r>
              <w:rPr>
                <w:b/>
                <w:sz w:val="22"/>
              </w:rPr>
              <w:t>Detail</w:t>
            </w:r>
          </w:p>
        </w:tc>
      </w:tr>
      <w:tr>
        <w:tc>
          <w:tcPr>
            <w:tcW w:type="dxa" w:w="2736"/>
          </w:tcPr>
          <w:p>
            <w:pPr>
              <w:spacing w:after="40"/>
            </w:pPr>
            <w:r/>
            <w:r>
              <w:rPr>
                <w:sz w:val="22"/>
              </w:rPr>
              <w:t>Course title</w:t>
            </w:r>
          </w:p>
        </w:tc>
        <w:tc>
          <w:tcPr>
            <w:tcW w:type="dxa" w:w="6624"/>
          </w:tcPr>
          <w:p>
            <w:pPr>
              <w:spacing w:after="40"/>
            </w:pPr>
            <w:r/>
            <w:r>
              <w:rPr>
                <w:sz w:val="22"/>
              </w:rPr>
              <w:t>Introduction to Environmental Health and Safety</w:t>
            </w:r>
          </w:p>
        </w:tc>
      </w:tr>
      <w:tr>
        <w:tc>
          <w:tcPr>
            <w:tcW w:type="dxa" w:w="2736"/>
          </w:tcPr>
          <w:p>
            <w:pPr>
              <w:spacing w:after="40"/>
            </w:pPr>
            <w:r/>
            <w:r>
              <w:rPr>
                <w:sz w:val="22"/>
              </w:rPr>
              <w:t>Course number</w:t>
            </w:r>
          </w:p>
        </w:tc>
        <w:tc>
          <w:tcPr>
            <w:tcW w:type="dxa" w:w="6624"/>
          </w:tcPr>
          <w:p>
            <w:pPr>
              <w:spacing w:after="40"/>
            </w:pPr>
            <w:r/>
            <w:r>
              <w:rPr>
                <w:sz w:val="22"/>
              </w:rPr>
              <w:t>PUBH 115</w:t>
            </w:r>
          </w:p>
        </w:tc>
      </w:tr>
      <w:tr>
        <w:tc>
          <w:tcPr>
            <w:tcW w:type="dxa" w:w="2736"/>
          </w:tcPr>
          <w:p>
            <w:pPr>
              <w:spacing w:after="40"/>
            </w:pPr>
            <w:r/>
            <w:r>
              <w:rPr>
                <w:sz w:val="22"/>
              </w:rPr>
              <w:t>Section</w:t>
            </w:r>
          </w:p>
        </w:tc>
        <w:tc>
          <w:tcPr>
            <w:tcW w:type="dxa" w:w="6624"/>
          </w:tcPr>
          <w:p>
            <w:pPr>
              <w:spacing w:after="40"/>
            </w:pPr>
            <w:r/>
            <w:r>
              <w:rPr>
                <w:sz w:val="22"/>
              </w:rPr>
              <w:t>____  (enter your section number)</w:t>
            </w:r>
          </w:p>
        </w:tc>
      </w:tr>
      <w:tr>
        <w:tc>
          <w:tcPr>
            <w:tcW w:type="dxa" w:w="2736"/>
          </w:tcPr>
          <w:p>
            <w:pPr>
              <w:spacing w:after="40"/>
            </w:pPr>
            <w:r/>
            <w:r>
              <w:rPr>
                <w:sz w:val="22"/>
              </w:rPr>
              <w:t>Class number</w:t>
            </w:r>
          </w:p>
        </w:tc>
        <w:tc>
          <w:tcPr>
            <w:tcW w:type="dxa" w:w="6624"/>
          </w:tcPr>
          <w:p>
            <w:pPr>
              <w:spacing w:after="40"/>
            </w:pPr>
            <w:r/>
            <w:r>
              <w:rPr>
                <w:sz w:val="22"/>
              </w:rPr>
              <w:t>____  (enter your class number)</w:t>
            </w:r>
          </w:p>
        </w:tc>
      </w:tr>
      <w:tr>
        <w:tc>
          <w:tcPr>
            <w:tcW w:type="dxa" w:w="2736"/>
          </w:tcPr>
          <w:p>
            <w:pPr>
              <w:spacing w:after="40"/>
            </w:pPr>
            <w:r/>
            <w:r>
              <w:rPr>
                <w:sz w:val="22"/>
              </w:rPr>
              <w:t>Units</w:t>
            </w:r>
          </w:p>
        </w:tc>
        <w:tc>
          <w:tcPr>
            <w:tcW w:type="dxa" w:w="6624"/>
          </w:tcPr>
          <w:p>
            <w:pPr>
              <w:spacing w:after="40"/>
            </w:pPr>
            <w:r/>
            <w:r>
              <w:rPr>
                <w:sz w:val="22"/>
              </w:rPr>
              <w:t>3</w:t>
            </w:r>
          </w:p>
        </w:tc>
      </w:tr>
      <w:tr>
        <w:tc>
          <w:tcPr>
            <w:tcW w:type="dxa" w:w="2736"/>
          </w:tcPr>
          <w:p>
            <w:pPr>
              <w:spacing w:after="40"/>
            </w:pPr>
            <w:r/>
            <w:r>
              <w:rPr>
                <w:sz w:val="22"/>
              </w:rPr>
              <w:t>Term</w:t>
            </w:r>
          </w:p>
        </w:tc>
        <w:tc>
          <w:tcPr>
            <w:tcW w:type="dxa" w:w="6624"/>
          </w:tcPr>
          <w:p>
            <w:pPr>
              <w:spacing w:after="40"/>
            </w:pPr>
            <w:r/>
            <w:r>
              <w:rPr>
                <w:sz w:val="22"/>
              </w:rPr>
              <w:t>Fall 2026 (August 24 - December 19, 2026)</w:t>
            </w:r>
          </w:p>
        </w:tc>
      </w:tr>
      <w:tr>
        <w:tc>
          <w:tcPr>
            <w:tcW w:type="dxa" w:w="2736"/>
          </w:tcPr>
          <w:p>
            <w:pPr>
              <w:spacing w:after="40"/>
            </w:pPr>
            <w:r/>
            <w:r>
              <w:rPr>
                <w:sz w:val="22"/>
              </w:rPr>
              <w:t>Modality</w:t>
            </w:r>
          </w:p>
        </w:tc>
        <w:tc>
          <w:tcPr>
            <w:tcW w:type="dxa" w:w="6624"/>
          </w:tcPr>
          <w:p>
            <w:pPr>
              <w:spacing w:after="40"/>
            </w:pPr>
            <w:r/>
            <w:r>
              <w:rPr>
                <w:sz w:val="22"/>
              </w:rPr>
              <w:t>Fully online, asynchronous</w:t>
            </w:r>
          </w:p>
        </w:tc>
      </w:tr>
      <w:tr>
        <w:tc>
          <w:tcPr>
            <w:tcW w:type="dxa" w:w="2736"/>
          </w:tcPr>
          <w:p>
            <w:pPr>
              <w:spacing w:after="40"/>
            </w:pPr>
            <w:r/>
            <w:r>
              <w:rPr>
                <w:sz w:val="22"/>
              </w:rPr>
              <w:t>Meeting times and dates</w:t>
            </w:r>
          </w:p>
        </w:tc>
        <w:tc>
          <w:tcPr>
            <w:tcW w:type="dxa" w:w="6624"/>
          </w:tcPr>
          <w:p>
            <w:pPr>
              <w:spacing w:after="40"/>
            </w:pPr>
            <w:r/>
            <w:r>
              <w:rPr>
                <w:sz w:val="22"/>
              </w:rPr>
              <w:t>None. This course has no scheduled class meetings, in person or on Zoom. All work is completed asynchronously on your own schedule, within the weekly deadlines given in the Course Calendar below.</w:t>
            </w:r>
          </w:p>
        </w:tc>
      </w:tr>
      <w:tr>
        <w:tc>
          <w:tcPr>
            <w:tcW w:type="dxa" w:w="2736"/>
          </w:tcPr>
          <w:p>
            <w:pPr>
              <w:spacing w:after="40"/>
            </w:pPr>
            <w:r/>
            <w:r>
              <w:rPr>
                <w:sz w:val="22"/>
              </w:rPr>
              <w:t>Prerequisites</w:t>
            </w:r>
          </w:p>
        </w:tc>
        <w:tc>
          <w:tcPr>
            <w:tcW w:type="dxa" w:w="6624"/>
          </w:tcPr>
          <w:p>
            <w:pPr>
              <w:spacing w:after="40"/>
            </w:pPr>
            <w:r/>
            <w:r>
              <w:rPr>
                <w:sz w:val="22"/>
              </w:rPr>
              <w:t>None</w:t>
            </w:r>
          </w:p>
        </w:tc>
      </w:tr>
      <w:tr>
        <w:tc>
          <w:tcPr>
            <w:tcW w:type="dxa" w:w="2736"/>
          </w:tcPr>
          <w:p>
            <w:pPr>
              <w:spacing w:after="40"/>
            </w:pPr>
            <w:r/>
            <w:r>
              <w:rPr>
                <w:sz w:val="22"/>
              </w:rPr>
              <w:t>General Education</w:t>
            </w:r>
          </w:p>
        </w:tc>
        <w:tc>
          <w:tcPr>
            <w:tcW w:type="dxa" w:w="6624"/>
          </w:tcPr>
          <w:p>
            <w:pPr>
              <w:spacing w:after="40"/>
            </w:pPr>
            <w:r/>
            <w:r>
              <w:rPr>
                <w:sz w:val="22"/>
              </w:rPr>
              <w:t>Area E - Lifelong Learning</w:t>
            </w:r>
          </w:p>
        </w:tc>
      </w:tr>
      <w:tr>
        <w:tc>
          <w:tcPr>
            <w:tcW w:type="dxa" w:w="2736"/>
          </w:tcPr>
          <w:p>
            <w:pPr>
              <w:spacing w:after="40"/>
            </w:pPr>
            <w:r/>
            <w:r>
              <w:rPr>
                <w:sz w:val="22"/>
              </w:rPr>
              <w:t>Learning management system</w:t>
            </w:r>
          </w:p>
        </w:tc>
        <w:tc>
          <w:tcPr>
            <w:tcW w:type="dxa" w:w="6624"/>
          </w:tcPr>
          <w:p>
            <w:pPr>
              <w:spacing w:after="40"/>
            </w:pPr>
            <w:r/>
            <w:r>
              <w:rPr>
                <w:sz w:val="22"/>
              </w:rPr>
              <w:t>Canvas. All assignments are submitted in Canvas and all grades are posted there.</w:t>
            </w:r>
          </w:p>
        </w:tc>
      </w:tr>
      <w:tr>
        <w:tc>
          <w:tcPr>
            <w:tcW w:type="dxa" w:w="2736"/>
          </w:tcPr>
          <w:p>
            <w:pPr>
              <w:spacing w:after="40"/>
            </w:pPr>
            <w:r/>
            <w:r>
              <w:rPr>
                <w:sz w:val="22"/>
              </w:rPr>
              <w:t>Course website</w:t>
            </w:r>
          </w:p>
        </w:tc>
        <w:tc>
          <w:tcPr>
            <w:tcW w:type="dxa" w:w="6624"/>
          </w:tcPr>
          <w:p>
            <w:pPr>
              <w:spacing w:after="40"/>
            </w:pPr>
            <w:r/>
            <w:r>
              <w:rPr>
                <w:sz w:val="22"/>
              </w:rPr>
              <w:t>Prof. Smith's Classes (course materials, calendar, and policies)</w:t>
            </w:r>
          </w:p>
        </w:tc>
      </w:tr>
    </w:tbl>
    <w:p>
      <w:pPr>
        <w:spacing w:before="160"/>
      </w:pPr>
      <w:r>
        <w:rPr>
          <w:b w:val="0"/>
          <w:i w:val="0"/>
        </w:rPr>
        <w:t xml:space="preserve">Course website: </w:t>
      </w:r>
      <w:hyperlink r:id="rId9">
        <w:r>
          <w:rPr>
            <w:rStyle w:val="Hyperlink"/>
          </w:rPr>
          <w:t xml:space="preserve">Prof. Smith's Classes course site for PUBH 115</w:t>
        </w:r>
      </w:hyperlink>
    </w:p>
    <w:p>
      <w:pPr>
        <w:pStyle w:val="Heading1"/>
      </w:pPr>
      <w:r>
        <w:t>Instructor Information</w:t>
      </w:r>
    </w:p>
    <w:tbl>
      <w:tblPr>
        <w:tblStyle w:val="TableGrid"/>
        <w:tblW w:type="auto" w:w="0"/>
        <w:jc w:val="left"/>
        <w:tblLayout w:type="autofit"/>
        <w:tblLook w:firstColumn="0" w:firstRow="1" w:lastColumn="0" w:lastRow="0" w:noHBand="0" w:noVBand="1" w:val="04A0"/>
        <w:tblCaption w:val="Instructor Information"/>
        <w:tblDescription w:val="Two-column table listing the instructor's name, office location, telephone number, email address, office hours and modality, and the guaranteed email response time."/>
      </w:tblPr>
      <w:tblGrid>
        <w:gridCol w:w="4680"/>
        <w:gridCol w:w="4680"/>
      </w:tblGrid>
      <w:tr>
        <w:trPr>
          <w:tblHeader w:val="true"/>
        </w:trPr>
        <w:tc>
          <w:tcPr>
            <w:tcW w:type="dxa" w:w="2736"/>
          </w:tcPr>
          <w:p>
            <w:pPr>
              <w:spacing w:after="40"/>
            </w:pPr>
            <w:r/>
            <w:r>
              <w:rPr>
                <w:b/>
                <w:sz w:val="22"/>
              </w:rPr>
              <w:t>Item</w:t>
            </w:r>
          </w:p>
        </w:tc>
        <w:tc>
          <w:tcPr>
            <w:tcW w:type="dxa" w:w="6624"/>
          </w:tcPr>
          <w:p>
            <w:pPr>
              <w:spacing w:after="40"/>
            </w:pPr>
            <w:r/>
            <w:r>
              <w:rPr>
                <w:b/>
                <w:sz w:val="22"/>
              </w:rPr>
              <w:t>Detail</w:t>
            </w:r>
          </w:p>
        </w:tc>
      </w:tr>
      <w:tr>
        <w:tc>
          <w:tcPr>
            <w:tcW w:type="dxa" w:w="2736"/>
          </w:tcPr>
          <w:p>
            <w:pPr>
              <w:spacing w:after="40"/>
            </w:pPr>
            <w:r/>
            <w:r>
              <w:rPr>
                <w:sz w:val="22"/>
              </w:rPr>
              <w:t>Instructor</w:t>
            </w:r>
          </w:p>
        </w:tc>
        <w:tc>
          <w:tcPr>
            <w:tcW w:type="dxa" w:w="6624"/>
          </w:tcPr>
          <w:p>
            <w:pPr>
              <w:spacing w:after="40"/>
            </w:pPr>
            <w:r/>
            <w:r>
              <w:rPr>
                <w:sz w:val="22"/>
              </w:rPr>
              <w:t>Jason A. Smith</w:t>
            </w:r>
          </w:p>
        </w:tc>
      </w:tr>
      <w:tr>
        <w:tc>
          <w:tcPr>
            <w:tcW w:type="dxa" w:w="2736"/>
          </w:tcPr>
          <w:p>
            <w:pPr>
              <w:spacing w:after="40"/>
            </w:pPr>
            <w:r/>
            <w:r>
              <w:rPr>
                <w:sz w:val="22"/>
              </w:rPr>
              <w:t>Office location</w:t>
            </w:r>
          </w:p>
        </w:tc>
        <w:tc>
          <w:tcPr>
            <w:tcW w:type="dxa" w:w="6624"/>
          </w:tcPr>
          <w:p>
            <w:pPr>
              <w:spacing w:after="40"/>
            </w:pPr>
            <w:r/>
            <w:r>
              <w:rPr>
                <w:sz w:val="22"/>
              </w:rPr>
              <w:t>KHS 241</w:t>
            </w:r>
          </w:p>
        </w:tc>
      </w:tr>
      <w:tr>
        <w:tc>
          <w:tcPr>
            <w:tcW w:type="dxa" w:w="2736"/>
          </w:tcPr>
          <w:p>
            <w:pPr>
              <w:spacing w:after="40"/>
            </w:pPr>
            <w:r/>
            <w:r>
              <w:rPr>
                <w:sz w:val="22"/>
              </w:rPr>
              <w:t>Telephone</w:t>
            </w:r>
          </w:p>
        </w:tc>
        <w:tc>
          <w:tcPr>
            <w:tcW w:type="dxa" w:w="6624"/>
          </w:tcPr>
          <w:p>
            <w:pPr>
              <w:spacing w:after="40"/>
            </w:pPr>
            <w:r/>
            <w:r>
              <w:rPr>
                <w:sz w:val="22"/>
              </w:rPr>
              <w:t>+1 657-278-5606</w:t>
            </w:r>
          </w:p>
        </w:tc>
      </w:tr>
      <w:tr>
        <w:tc>
          <w:tcPr>
            <w:tcW w:type="dxa" w:w="2736"/>
          </w:tcPr>
          <w:p>
            <w:pPr>
              <w:spacing w:after="40"/>
            </w:pPr>
            <w:r/>
            <w:r>
              <w:rPr>
                <w:sz w:val="22"/>
              </w:rPr>
              <w:t>Email</w:t>
            </w:r>
          </w:p>
        </w:tc>
        <w:tc>
          <w:tcPr>
            <w:tcW w:type="dxa" w:w="6624"/>
          </w:tcPr>
          <w:p>
            <w:pPr>
              <w:spacing w:after="40"/>
            </w:pPr>
            <w:r/>
            <w:r>
              <w:rPr>
                <w:sz w:val="22"/>
              </w:rPr>
              <w:t>jasosmith@fullerton.edu</w:t>
            </w:r>
          </w:p>
        </w:tc>
      </w:tr>
      <w:tr>
        <w:tc>
          <w:tcPr>
            <w:tcW w:type="dxa" w:w="2736"/>
          </w:tcPr>
          <w:p>
            <w:pPr>
              <w:spacing w:after="40"/>
            </w:pPr>
            <w:r/>
            <w:r>
              <w:rPr>
                <w:sz w:val="22"/>
              </w:rPr>
              <w:t>Office hours</w:t>
            </w:r>
          </w:p>
        </w:tc>
        <w:tc>
          <w:tcPr>
            <w:tcW w:type="dxa" w:w="6624"/>
          </w:tcPr>
          <w:p>
            <w:pPr>
              <w:spacing w:after="40"/>
            </w:pPr>
            <w:r/>
            <w:r>
              <w:rPr>
                <w:sz w:val="22"/>
              </w:rPr>
              <w:t>Tuesday 9:00-10:30 a.m. and Wednesday 10:00-11:30 a.m., held via Zoom. Use the scheduling link in Canvas to reserve a time and to get the Zoom link. If neither block works for you, email me and we will find another time.</w:t>
            </w:r>
          </w:p>
        </w:tc>
      </w:tr>
      <w:tr>
        <w:tc>
          <w:tcPr>
            <w:tcW w:type="dxa" w:w="2736"/>
          </w:tcPr>
          <w:p>
            <w:pPr>
              <w:spacing w:after="40"/>
            </w:pPr>
            <w:r/>
            <w:r>
              <w:rPr>
                <w:sz w:val="22"/>
              </w:rPr>
              <w:t>Email response time</w:t>
            </w:r>
          </w:p>
        </w:tc>
        <w:tc>
          <w:tcPr>
            <w:tcW w:type="dxa" w:w="6624"/>
          </w:tcPr>
          <w:p>
            <w:pPr>
              <w:spacing w:after="40"/>
            </w:pPr>
            <w:r/>
            <w:r>
              <w:rPr>
                <w:sz w:val="22"/>
              </w:rPr>
              <w:t>Within 48 hours. Messages sent Friday afternoon through the weekend may be answered on the next business day.</w:t>
            </w:r>
          </w:p>
        </w:tc>
      </w:tr>
    </w:tbl>
    <w:p>
      <w:pPr>
        <w:pStyle w:val="Heading2"/>
      </w:pPr>
      <w:r>
        <w:t>How to Contact Me</w:t>
      </w:r>
    </w:p>
    <w:p>
      <w:r>
        <w:rPr>
          <w:b w:val="0"/>
          <w:i w:val="0"/>
        </w:rPr>
        <w:t xml:space="preserve">The best way to reach me is by email at </w:t>
      </w:r>
      <w:hyperlink r:id="rId10">
        <w:r>
          <w:rPr>
            <w:rStyle w:val="Hyperlink"/>
          </w:rPr>
          <w:t xml:space="preserve">jasosmith@fullerton.edu</w:t>
        </w:r>
      </w:hyperlink>
      <w:r>
        <w:rPr>
          <w:b w:val="0"/>
          <w:i w:val="0"/>
        </w:rPr>
        <w:t xml:space="preserve">. Put the course number and your section in the subject line, for example "PUBH 115-01 - question about Essay 1." I respond to email within 48 hours. You may also call </w:t>
      </w:r>
      <w:hyperlink r:id="rId11">
        <w:r>
          <w:rPr>
            <w:rStyle w:val="Hyperlink"/>
          </w:rPr>
          <w:t xml:space="preserve">+1 657-278-5606</w:t>
        </w:r>
      </w:hyperlink>
      <w:r>
        <w:rPr>
          <w:b w:val="0"/>
          <w:i w:val="0"/>
        </w:rPr>
        <w:t xml:space="preserve"> or come to a Zoom office hour.</w:t>
      </w:r>
    </w:p>
    <w:p>
      <w:r>
        <w:rPr>
          <w:b w:val="0"/>
          <w:i w:val="0"/>
        </w:rPr>
        <w:t>Because this course never meets, email and office hours are your direct line to me. Use them early rather than after a deadline has passed.</w:t>
      </w:r>
    </w:p>
    <w:p>
      <w:pPr>
        <w:pStyle w:val="Heading1"/>
      </w:pPr>
      <w:r>
        <w:t>Course Description</w:t>
      </w:r>
    </w:p>
    <w:p>
      <w:r>
        <w:rPr>
          <w:b w:val="0"/>
          <w:i w:val="0"/>
        </w:rPr>
        <w:t>How environmental and safety hazards influence public health and sustainability. Multiple perspectives on water, air, and solid waste pollution, sustainability and public safety issues.</w:t>
      </w:r>
    </w:p>
    <w:p>
      <w:r>
        <w:rPr>
          <w:b w:val="0"/>
          <w:i w:val="0"/>
        </w:rPr>
        <w:t>This class is focused on providing you an introduction to the relationship between the environment and health; an introduction to environmental health; and, most importantly, an opportunity for you to reflect on your own values, learning, and goals in the context of your existence and the planet that you live on.</w:t>
      </w:r>
    </w:p>
    <w:p>
      <w:pPr>
        <w:pStyle w:val="Heading2"/>
      </w:pPr>
      <w:r>
        <w:t>What an Asynchronous Online Course Means Here</w:t>
      </w:r>
    </w:p>
    <w:p>
      <w:r>
        <w:rPr>
          <w:b w:val="0"/>
          <w:i w:val="0"/>
        </w:rPr>
        <w:t>This course is fully online and asynchronous. We will not meet in person or on Zoom as a class. Your progress through the course is self-paced within the weekly structure below. I generally do not post recorded lectures; instead you review the assigned materials, work through each module, and bring questions to me by email or in office hours.</w:t>
      </w:r>
    </w:p>
    <w:p>
      <w:pPr>
        <w:pStyle w:val="Heading1"/>
      </w:pPr>
      <w:r>
        <w:t>General Education</w:t>
      </w:r>
    </w:p>
    <w:p>
      <w:pPr>
        <w:spacing w:after="0"/>
      </w:pPr>
      <w:r>
        <w:rPr>
          <w:b w:val="0"/>
          <w:i w:val="0"/>
        </w:rPr>
        <w:t xml:space="preserve">PUBH 115 satisfies the General Education requirement for </w:t>
      </w:r>
      <w:r>
        <w:rPr>
          <w:b/>
          <w:i w:val="0"/>
        </w:rPr>
        <w:t>Area E - Lifelong Learning</w:t>
      </w:r>
      <w:r>
        <w:rPr>
          <w:b w:val="0"/>
          <w:i w:val="0"/>
        </w:rPr>
        <w:t>.</w:t>
      </w:r>
    </w:p>
    <w:p>
      <w:r>
        <w:rPr>
          <w:b/>
          <w:i w:val="0"/>
        </w:rPr>
        <w:t>A grade of D (1.0) or higher is required to meet this General Education requirement. A grade of D- (0.7) or below will not satisfy this General Education requirement.</w:t>
      </w:r>
    </w:p>
    <w:p>
      <w:pPr>
        <w:pStyle w:val="Heading2"/>
      </w:pPr>
      <w:r>
        <w:t>General Education Writing Requirement</w:t>
      </w:r>
    </w:p>
    <w:p>
      <w:r>
        <w:rPr>
          <w:b w:val="0"/>
          <w:i w:val="0"/>
        </w:rPr>
        <w:t>PUBH 115 is not a designated writing course and does not carry the General Education writing requirement.</w:t>
      </w:r>
    </w:p>
    <w:p>
      <w:r>
        <w:rPr>
          <w:b w:val="0"/>
          <w:i w:val="0"/>
        </w:rPr>
        <w:t>You will nevertheless do a substantial amount of writing here. The Values Exercise and both Reflection Essays are written assignments, and each is assessed with the rubric attached to that assignment in Canvas. Writing quality - clarity, organization, and evidence that you engaged the course materials - is part of every one of those rubrics.</w:t>
      </w:r>
    </w:p>
    <w:p>
      <w:pPr>
        <w:pStyle w:val="Heading1"/>
      </w:pPr>
      <w:r>
        <w:t>Course Student Learning Outcomes</w:t>
      </w:r>
    </w:p>
    <w:p>
      <w:r>
        <w:rPr>
          <w:b w:val="0"/>
          <w:i w:val="0"/>
        </w:rPr>
        <w:t>On successful completion of this course, you will be able to:</w:t>
      </w:r>
    </w:p>
    <w:p>
      <w:pPr>
        <w:pStyle w:val="ListBullet"/>
      </w:pPr>
      <w:r>
        <w:t>Further your own critical self-understanding and acquire the knowledge, skills, and attitudes necessary to engage and reflect in learning and self-development practices.</w:t>
      </w:r>
    </w:p>
    <w:p>
      <w:pPr>
        <w:pStyle w:val="ListBullet"/>
      </w:pPr>
      <w:r>
        <w:t>Develop strategies to be an integrated physiological, socio-cultural, and psychological being, to promote a holistic awareness of lifelong learning throughout your life.</w:t>
      </w:r>
    </w:p>
    <w:p>
      <w:pPr>
        <w:pStyle w:val="ListBullet"/>
      </w:pPr>
      <w:r>
        <w:t>Develop yourself as a responsible citizen, employee and employer, family member, and member of the global society.</w:t>
      </w:r>
    </w:p>
    <w:p>
      <w:pPr>
        <w:pStyle w:val="ListBullet"/>
      </w:pPr>
      <w:r>
        <w:t>Actively apply and participate in developing a lifelong commitment to health for both personal well-being (physical, financial, emotional, intellectual, spiritual, social/interpersonal, and environmental) and societal responsibility.</w:t>
      </w:r>
    </w:p>
    <w:p>
      <w:pPr>
        <w:pStyle w:val="ListBullet"/>
      </w:pPr>
      <w:r>
        <w:t>Discuss concepts of sustainability associated with natural resources and human population.</w:t>
      </w:r>
    </w:p>
    <w:p>
      <w:pPr>
        <w:pStyle w:val="ListBullet"/>
      </w:pPr>
      <w:r>
        <w:t>Explore people's attitudes and motivations to change consumptive practices to preserve natural resources.</w:t>
      </w:r>
    </w:p>
    <w:p>
      <w:pPr>
        <w:pStyle w:val="ListBullet"/>
      </w:pPr>
      <w:r>
        <w:t>Characterize the health outcomes of exposure to environmental pollutants, including air, water, and food.</w:t>
      </w:r>
    </w:p>
    <w:p>
      <w:pPr>
        <w:pStyle w:val="ListBullet"/>
      </w:pPr>
      <w:r>
        <w:t>Understand the importance of safety in protecting the public and workers from various hazards at home and in workplaces.</w:t>
      </w:r>
    </w:p>
    <w:p>
      <w:pPr>
        <w:pStyle w:val="ListBullet"/>
      </w:pPr>
      <w:r>
        <w:t>Review careers available in environmental health and safety.</w:t>
      </w:r>
    </w:p>
    <w:p>
      <w:pPr>
        <w:pStyle w:val="Heading1"/>
      </w:pPr>
      <w:r>
        <w:t>Required Course Materials and Equipment</w:t>
      </w:r>
    </w:p>
    <w:p>
      <w:pPr>
        <w:pStyle w:val="Heading2"/>
      </w:pPr>
      <w:r>
        <w:t>Textbook You Must Purchase</w:t>
      </w:r>
    </w:p>
    <w:p>
      <w:r>
        <w:rPr>
          <w:b w:val="0"/>
          <w:i w:val="0"/>
        </w:rPr>
        <w:t>Hsu, H. L. (2023). Air conditioning. Bloomsbury Academic.</w:t>
      </w:r>
    </w:p>
    <w:p>
      <w:r>
        <w:rPr>
          <w:b w:val="0"/>
          <w:i w:val="0"/>
        </w:rPr>
        <w:t>This is the only item you need to buy. Every other reading, video, and film listed below is provided to you at no cost through the library.</w:t>
      </w:r>
    </w:p>
    <w:p>
      <w:pPr>
        <w:pStyle w:val="Heading2"/>
      </w:pPr>
      <w:r>
        <w:t>Materials Provided Through Leganto</w:t>
      </w:r>
    </w:p>
    <w:p>
      <w:r>
        <w:rPr>
          <w:b w:val="0"/>
          <w:i w:val="0"/>
        </w:rPr>
        <w:t xml:space="preserve">All remaining course materials are on the course reading list in Leganto, the library's reading-list system. Each module in the Course Calendar links to its own Leganto section, and the same links are in Canvas. </w:t>
      </w:r>
      <w:r>
        <w:rPr>
          <w:b/>
          <w:i w:val="0"/>
        </w:rPr>
        <w:t>You must be logged in with your campus account and enrolled in the course to open these links.</w:t>
      </w:r>
    </w:p>
    <w:p>
      <w:pPr>
        <w:pStyle w:val="ListBullet"/>
      </w:pPr>
      <w:r>
        <w:t>Introduction to Environmental Health lecture video and slides (2024-07-31).</w:t>
      </w:r>
    </w:p>
    <w:p>
      <w:pPr>
        <w:pStyle w:val="ListBullet"/>
      </w:pPr>
      <w:r>
        <w:t>Environmental Justice Overview video.</w:t>
      </w:r>
    </w:p>
    <w:p>
      <w:pPr>
        <w:pStyle w:val="ListBullet"/>
      </w:pPr>
      <w:r>
        <w:t>Walker, G. (2012). Environmental Justice: Concepts, evidence and politics (1st ed.). Routledge.</w:t>
      </w:r>
      <w:r>
        <w:rPr>
          <w:b w:val="0"/>
          <w:i w:val="0"/>
        </w:rPr>
        <w:t xml:space="preserve"> </w:t>
      </w:r>
      <w:hyperlink r:id="rId12">
        <w:r>
          <w:rPr>
            <w:rStyle w:val="Hyperlink"/>
          </w:rPr>
          <w:t xml:space="preserve">Open Environmental Justice: Concepts, Evidence and Politics</w:t>
        </w:r>
      </w:hyperlink>
    </w:p>
    <w:p>
      <w:pPr>
        <w:pStyle w:val="ListBullet"/>
      </w:pPr>
      <w:r>
        <w:t>World Health Organization. Overview of lead poisoning.</w:t>
      </w:r>
      <w:r>
        <w:rPr>
          <w:b w:val="0"/>
          <w:i w:val="0"/>
        </w:rPr>
        <w:t xml:space="preserve"> </w:t>
      </w:r>
      <w:hyperlink r:id="rId13">
        <w:r>
          <w:rPr>
            <w:rStyle w:val="Hyperlink"/>
          </w:rPr>
          <w:t xml:space="preserve">Open the WHO fact sheet on lead poisoning and health</w:t>
        </w:r>
      </w:hyperlink>
    </w:p>
    <w:p>
      <w:pPr>
        <w:pStyle w:val="ListBullet"/>
      </w:pPr>
      <w:r>
        <w:t>The legacy of the Flint water crisis [Video]. 60 Minutes.</w:t>
      </w:r>
      <w:r>
        <w:rPr>
          <w:b w:val="0"/>
          <w:i w:val="0"/>
        </w:rPr>
        <w:t xml:space="preserve"> </w:t>
      </w:r>
      <w:hyperlink r:id="rId14">
        <w:r>
          <w:rPr>
            <w:rStyle w:val="Hyperlink"/>
          </w:rPr>
          <w:t xml:space="preserve">Watch The Legacy of the Flint Water Crisis on YouTube</w:t>
        </w:r>
      </w:hyperlink>
    </w:p>
    <w:p>
      <w:pPr>
        <w:pStyle w:val="ListBullet"/>
      </w:pPr>
      <w:r>
        <w:t>Hanna-Attisha, M., LaChance, J., Sadler, R. C., &amp; Schnepp, A. C. (2016). Elevated blood lead levels in children associated with the Flint drinking water crisis: A spatial analysis of risk and public health response. American Journal of Public Health, 106(2), 283-290.</w:t>
      </w:r>
      <w:r>
        <w:rPr>
          <w:b w:val="0"/>
          <w:i w:val="0"/>
        </w:rPr>
        <w:t xml:space="preserve"> </w:t>
      </w:r>
      <w:hyperlink r:id="rId15">
        <w:r>
          <w:rPr>
            <w:rStyle w:val="Hyperlink"/>
          </w:rPr>
          <w:t xml:space="preserve">Open Elevated Blood Lead Levels in Children (Hanna-Attisha et al., 2016)</w:t>
        </w:r>
      </w:hyperlink>
    </w:p>
    <w:p>
      <w:pPr>
        <w:pStyle w:val="ListBullet"/>
      </w:pPr>
      <w:r>
        <w:t>Harris, E. P. Chapter 7: Water availability and use. University of West Florida Pressbooks.</w:t>
      </w:r>
      <w:r>
        <w:rPr>
          <w:b w:val="0"/>
          <w:i w:val="0"/>
        </w:rPr>
        <w:t xml:space="preserve"> </w:t>
      </w:r>
      <w:hyperlink r:id="rId16">
        <w:r>
          <w:rPr>
            <w:rStyle w:val="Hyperlink"/>
          </w:rPr>
          <w:t xml:space="preserve">Open Chapter 7: Water Availability and Use</w:t>
        </w:r>
      </w:hyperlink>
    </w:p>
    <w:p>
      <w:pPr>
        <w:pStyle w:val="ListBullet"/>
      </w:pPr>
      <w:r>
        <w:t>Harris, E. P. Chapter 9: Conventional and sustainable agriculture. University of West Florida Pressbooks.</w:t>
      </w:r>
      <w:r>
        <w:rPr>
          <w:b w:val="0"/>
          <w:i w:val="0"/>
        </w:rPr>
        <w:t xml:space="preserve"> </w:t>
      </w:r>
      <w:hyperlink r:id="rId17">
        <w:r>
          <w:rPr>
            <w:rStyle w:val="Hyperlink"/>
          </w:rPr>
          <w:t xml:space="preserve">Open Chapter 9: Conventional and Sustainable Agriculture</w:t>
        </w:r>
      </w:hyperlink>
    </w:p>
    <w:p>
      <w:pPr>
        <w:pStyle w:val="ListBullet"/>
      </w:pPr>
      <w:r>
        <w:t>Duchenne-Moutien, R. A., &amp; Neetoo, H. (2021). Climate change and emerging food safety issues: A review. Journal of Food Protection, 84(11), 1884-1897.</w:t>
      </w:r>
      <w:r>
        <w:rPr>
          <w:b w:val="0"/>
          <w:i w:val="0"/>
        </w:rPr>
        <w:t xml:space="preserve"> </w:t>
      </w:r>
      <w:hyperlink r:id="rId18">
        <w:r>
          <w:rPr>
            <w:rStyle w:val="Hyperlink"/>
          </w:rPr>
          <w:t xml:space="preserve">Open Climate Change and Emerging Food Safety Issues</w:t>
        </w:r>
      </w:hyperlink>
    </w:p>
    <w:p>
      <w:pPr>
        <w:pStyle w:val="ListBullet"/>
      </w:pPr>
      <w:r>
        <w:t>Harris, E. P. Chapter 10: Air pollution, climate change, and ozone depletion. University of West Florida Pressbooks.</w:t>
      </w:r>
      <w:r>
        <w:rPr>
          <w:b w:val="0"/>
          <w:i w:val="0"/>
        </w:rPr>
        <w:t xml:space="preserve"> </w:t>
      </w:r>
      <w:hyperlink r:id="rId19">
        <w:r>
          <w:rPr>
            <w:rStyle w:val="Hyperlink"/>
          </w:rPr>
          <w:t xml:space="preserve">Open Chapter 10: Air Pollution, Climate Change, and Ozone Depletion</w:t>
        </w:r>
      </w:hyperlink>
    </w:p>
    <w:p>
      <w:pPr>
        <w:pStyle w:val="ListBullet"/>
      </w:pPr>
      <w:r>
        <w:t>MIT Climate Primer.</w:t>
      </w:r>
      <w:r>
        <w:rPr>
          <w:b w:val="0"/>
          <w:i w:val="0"/>
        </w:rPr>
        <w:t xml:space="preserve"> </w:t>
      </w:r>
      <w:hyperlink r:id="rId20">
        <w:r>
          <w:rPr>
            <w:rStyle w:val="Hyperlink"/>
          </w:rPr>
          <w:t xml:space="preserve">Open the MIT Climate Primer</w:t>
        </w:r>
      </w:hyperlink>
    </w:p>
    <w:p>
      <w:pPr>
        <w:pStyle w:val="ListBullet"/>
      </w:pPr>
      <w:r>
        <w:t>Fifth National Climate Assessment, Chapter 2: Climate trends [PDF, in Leganto].</w:t>
      </w:r>
    </w:p>
    <w:p>
      <w:pPr>
        <w:pStyle w:val="ListBullet"/>
      </w:pPr>
      <w:r>
        <w:t>Fifth National Climate Assessment, Chapter 3: Earth systems processes [PDF, in Leganto].</w:t>
      </w:r>
    </w:p>
    <w:p>
      <w:pPr>
        <w:pStyle w:val="ListBullet"/>
      </w:pPr>
      <w:r>
        <w:t>Fifth National Climate Assessment, Chapter 4: Water [PDF, in Leganto].</w:t>
      </w:r>
    </w:p>
    <w:p>
      <w:pPr>
        <w:pStyle w:val="ListBullet"/>
      </w:pPr>
      <w:r>
        <w:t>Fifth National Climate Assessment, Chapter 6: Land cover and land-use change [PDF, in Leganto].</w:t>
      </w:r>
    </w:p>
    <w:p>
      <w:pPr>
        <w:pStyle w:val="ListBullet"/>
      </w:pPr>
      <w:r>
        <w:t>Fifth National Climate Assessment, Chapter 11: Agriculture, food systems, and rural communities.</w:t>
      </w:r>
      <w:r>
        <w:rPr>
          <w:b w:val="0"/>
          <w:i w:val="0"/>
        </w:rPr>
        <w:t xml:space="preserve"> </w:t>
      </w:r>
      <w:hyperlink r:id="rId21">
        <w:r>
          <w:rPr>
            <w:rStyle w:val="Hyperlink"/>
          </w:rPr>
          <w:t xml:space="preserve">Open Fifth National Climate Assessment Chapter 11</w:t>
        </w:r>
      </w:hyperlink>
    </w:p>
    <w:p>
      <w:pPr>
        <w:pStyle w:val="ListBullet"/>
      </w:pPr>
      <w:r>
        <w:t>Fifth National Climate Assessment, Chapter 14: Air quality [PDF, in Leganto].</w:t>
      </w:r>
    </w:p>
    <w:p>
      <w:pPr>
        <w:pStyle w:val="ListBullet"/>
      </w:pPr>
      <w:r>
        <w:t>Fifth National Climate Assessment, Chapter 15: Human health [PDF, in Leganto].</w:t>
      </w:r>
    </w:p>
    <w:p>
      <w:pPr>
        <w:pStyle w:val="ListBullet"/>
      </w:pPr>
      <w:r>
        <w:t>Fifth National Climate Assessment, Chapter 18: Sector interactions, multiple stressors, and complex systems [PDF, in Leganto].</w:t>
      </w:r>
    </w:p>
    <w:p>
      <w:pPr>
        <w:pStyle w:val="ListBullet"/>
      </w:pPr>
      <w:r>
        <w:t>Sustainability Overview [Video].</w:t>
      </w:r>
      <w:r>
        <w:rPr>
          <w:b w:val="0"/>
          <w:i w:val="0"/>
        </w:rPr>
        <w:t xml:space="preserve"> </w:t>
      </w:r>
      <w:hyperlink r:id="rId22">
        <w:r>
          <w:rPr>
            <w:rStyle w:val="Hyperlink"/>
          </w:rPr>
          <w:t xml:space="preserve">Watch the Sustainability Overview video on Vimeo</w:t>
        </w:r>
      </w:hyperlink>
    </w:p>
    <w:p>
      <w:pPr>
        <w:pStyle w:val="ListBullet"/>
      </w:pPr>
      <w:r>
        <w:t>United Nations. What is sustainable development?</w:t>
      </w:r>
    </w:p>
    <w:p>
      <w:pPr>
        <w:pStyle w:val="ListBullet"/>
      </w:pPr>
      <w:r>
        <w:t>United Nations. UN Sustainable Development Goals.</w:t>
      </w:r>
      <w:r>
        <w:rPr>
          <w:b w:val="0"/>
          <w:i w:val="0"/>
        </w:rPr>
        <w:t xml:space="preserve"> </w:t>
      </w:r>
      <w:hyperlink r:id="rId23">
        <w:r>
          <w:rPr>
            <w:rStyle w:val="Hyperlink"/>
          </w:rPr>
          <w:t xml:space="preserve">Open the UN Sustainable Development Goals site</w:t>
        </w:r>
      </w:hyperlink>
    </w:p>
    <w:p>
      <w:pPr>
        <w:pStyle w:val="ListBullet"/>
      </w:pPr>
      <w:r>
        <w:t>World Health Organization. Global Sustainable Development Report 2023: Times of crisis, times of change.</w:t>
      </w:r>
    </w:p>
    <w:p>
      <w:pPr>
        <w:pStyle w:val="ListBullet"/>
      </w:pPr>
      <w:r>
        <w:t>Anthropocene: The Human Epoch [Film]. Kanopy.</w:t>
      </w:r>
      <w:r>
        <w:rPr>
          <w:b w:val="0"/>
          <w:i w:val="0"/>
        </w:rPr>
        <w:t xml:space="preserve"> </w:t>
      </w:r>
      <w:hyperlink r:id="rId24">
        <w:r>
          <w:rPr>
            <w:rStyle w:val="Hyperlink"/>
          </w:rPr>
          <w:t xml:space="preserve">Stream Anthropocene: The Human Epoch on Kanopy</w:t>
        </w:r>
      </w:hyperlink>
    </w:p>
    <w:p>
      <w:pPr>
        <w:pStyle w:val="ListBullet"/>
      </w:pPr>
      <w:r>
        <w:t>The geology and culture of the Anthropocene. Anthropocene Curriculum.</w:t>
      </w:r>
      <w:r>
        <w:rPr>
          <w:b w:val="0"/>
          <w:i w:val="0"/>
        </w:rPr>
        <w:t xml:space="preserve"> </w:t>
      </w:r>
      <w:hyperlink r:id="rId25">
        <w:r>
          <w:rPr>
            <w:rStyle w:val="Hyperlink"/>
          </w:rPr>
          <w:t xml:space="preserve">Open The Geology and Culture of the Anthropocene</w:t>
        </w:r>
      </w:hyperlink>
    </w:p>
    <w:p>
      <w:pPr>
        <w:pStyle w:val="ListBullet"/>
      </w:pPr>
      <w:r>
        <w:t>Living in the Anthropocene: Toward a new global ethos. Yale Environment 360.</w:t>
      </w:r>
      <w:r>
        <w:rPr>
          <w:b w:val="0"/>
          <w:i w:val="0"/>
        </w:rPr>
        <w:t xml:space="preserve"> </w:t>
      </w:r>
      <w:hyperlink r:id="rId26">
        <w:r>
          <w:rPr>
            <w:rStyle w:val="Hyperlink"/>
          </w:rPr>
          <w:t xml:space="preserve">Open Living in the Anthropocene: Toward a New Global Ethos</w:t>
        </w:r>
      </w:hyperlink>
    </w:p>
    <w:p>
      <w:pPr>
        <w:pStyle w:val="ListBullet"/>
      </w:pPr>
      <w:r>
        <w:t>Introduction to Planetary Health [Video].</w:t>
      </w:r>
      <w:r>
        <w:rPr>
          <w:b w:val="0"/>
          <w:i w:val="0"/>
        </w:rPr>
        <w:t xml:space="preserve"> </w:t>
      </w:r>
      <w:hyperlink r:id="rId27">
        <w:r>
          <w:rPr>
            <w:rStyle w:val="Hyperlink"/>
          </w:rPr>
          <w:t xml:space="preserve">Watch Introduction to Planetary Health on Vimeo</w:t>
        </w:r>
      </w:hyperlink>
    </w:p>
    <w:p>
      <w:pPr>
        <w:pStyle w:val="ListBullet"/>
      </w:pPr>
      <w:r>
        <w:t>Planetary Health Alliance. What is planetary health? [Video].</w:t>
      </w:r>
      <w:r>
        <w:rPr>
          <w:b w:val="0"/>
          <w:i w:val="0"/>
        </w:rPr>
        <w:t xml:space="preserve"> </w:t>
      </w:r>
      <w:hyperlink r:id="rId28">
        <w:r>
          <w:rPr>
            <w:rStyle w:val="Hyperlink"/>
          </w:rPr>
          <w:t xml:space="preserve">Watch What Is Planetary Health? on YouTube</w:t>
        </w:r>
      </w:hyperlink>
    </w:p>
    <w:p>
      <w:pPr>
        <w:pStyle w:val="ListBullet"/>
      </w:pPr>
      <w:r>
        <w:t>Planetary Health Alliance. Introduction to planetary health [Video].</w:t>
      </w:r>
      <w:r>
        <w:rPr>
          <w:b w:val="0"/>
          <w:i w:val="0"/>
        </w:rPr>
        <w:t xml:space="preserve"> </w:t>
      </w:r>
      <w:hyperlink r:id="rId29">
        <w:r>
          <w:rPr>
            <w:rStyle w:val="Hyperlink"/>
          </w:rPr>
          <w:t xml:space="preserve">Watch the Planetary Health Alliance Introduction to Planetary Health on YouTube</w:t>
        </w:r>
      </w:hyperlink>
    </w:p>
    <w:p>
      <w:pPr>
        <w:pStyle w:val="ListBullet"/>
      </w:pPr>
      <w:r>
        <w:t>Whitmee, S., et al. (2015). Safeguarding human health in the Anthropocene epoch: Report of The Rockefeller Foundation-Lancet Commission on planetary health. The Lancet, 386(10007), 1973-2028.</w:t>
      </w:r>
      <w:r>
        <w:rPr>
          <w:b w:val="0"/>
          <w:i w:val="0"/>
        </w:rPr>
        <w:t xml:space="preserve"> </w:t>
      </w:r>
      <w:hyperlink r:id="rId30">
        <w:r>
          <w:rPr>
            <w:rStyle w:val="Hyperlink"/>
          </w:rPr>
          <w:t xml:space="preserve">Open Safeguarding Human Health in the Anthropocene Epoch</w:t>
        </w:r>
      </w:hyperlink>
    </w:p>
    <w:p>
      <w:pPr>
        <w:pStyle w:val="ListBullet"/>
      </w:pPr>
      <w:r>
        <w:t>Chapter 14: Sustainability and urban infrastructure. University of West Florida Pressbooks.</w:t>
      </w:r>
      <w:r>
        <w:rPr>
          <w:b w:val="0"/>
          <w:i w:val="0"/>
        </w:rPr>
        <w:t xml:space="preserve"> </w:t>
      </w:r>
      <w:hyperlink r:id="rId31">
        <w:r>
          <w:rPr>
            <w:rStyle w:val="Hyperlink"/>
          </w:rPr>
          <w:t xml:space="preserve">Open Chapter 14: Sustainability and Urban Infrastructure</w:t>
        </w:r>
      </w:hyperlink>
    </w:p>
    <w:p>
      <w:pPr>
        <w:pStyle w:val="ListBullet"/>
      </w:pPr>
      <w:r>
        <w:t>Lopez, R. P. (2012). Chapter 1: Introduction to the built environment and public health. In The built environment and public health (Vol. 16). Wiley.</w:t>
      </w:r>
      <w:r>
        <w:rPr>
          <w:b w:val="0"/>
          <w:i w:val="0"/>
        </w:rPr>
        <w:t xml:space="preserve"> </w:t>
      </w:r>
      <w:hyperlink r:id="rId32">
        <w:r>
          <w:rPr>
            <w:rStyle w:val="Hyperlink"/>
          </w:rPr>
          <w:t xml:space="preserve">Open The Built Environment and Public Health, Chapter 1</w:t>
        </w:r>
      </w:hyperlink>
    </w:p>
    <w:p>
      <w:pPr>
        <w:pStyle w:val="ListBullet"/>
      </w:pPr>
      <w:r>
        <w:t>Lopez, R. P. (2012). Chapter 2: History. In The built environment and public health (Vol. 16). Wiley.</w:t>
      </w:r>
      <w:r>
        <w:rPr>
          <w:b w:val="0"/>
          <w:i w:val="0"/>
        </w:rPr>
        <w:t xml:space="preserve"> </w:t>
      </w:r>
      <w:hyperlink r:id="rId33">
        <w:r>
          <w:rPr>
            <w:rStyle w:val="Hyperlink"/>
          </w:rPr>
          <w:t xml:space="preserve">Open The Built Environment and Public Health, Chapter 2</w:t>
        </w:r>
      </w:hyperlink>
    </w:p>
    <w:p>
      <w:pPr>
        <w:pStyle w:val="ListBullet"/>
      </w:pPr>
      <w:r>
        <w:t>Hsu, H. (2024). Introduction; Chapters 1, 2, 3, 5, 6. In Air Conditioning (1st ed.). Bloomsbury. (Purchase required; a library copy is also linked.)</w:t>
      </w:r>
      <w:r>
        <w:rPr>
          <w:b w:val="0"/>
          <w:i w:val="0"/>
        </w:rPr>
        <w:t xml:space="preserve"> </w:t>
      </w:r>
      <w:hyperlink r:id="rId34">
        <w:r>
          <w:rPr>
            <w:rStyle w:val="Hyperlink"/>
          </w:rPr>
          <w:t xml:space="preserve">Open Air Conditioning by Hsu</w:t>
        </w:r>
      </w:hyperlink>
    </w:p>
    <w:p>
      <w:pPr>
        <w:pStyle w:val="Heading1"/>
      </w:pPr>
      <w:r>
        <w:t>Technical Competencies and Resources Required</w:t>
      </w:r>
    </w:p>
    <w:p>
      <w:r>
        <w:rPr>
          <w:b w:val="0"/>
          <w:i w:val="0"/>
        </w:rPr>
        <w:t>This is a fully online course, so managing your technology is part of managing the course. Beyond the skills and resources expected of every CSUF student, you will need the following.</w:t>
      </w:r>
    </w:p>
    <w:p>
      <w:pPr>
        <w:pStyle w:val="Heading2"/>
      </w:pPr>
      <w:r>
        <w:t>Equipment and Connectivity</w:t>
      </w:r>
    </w:p>
    <w:p>
      <w:pPr>
        <w:pStyle w:val="ListBullet"/>
      </w:pPr>
      <w:r>
        <w:t>Reliable, regular access to a computer and a broadband internet connection. A phone or tablet alone is not sufficient for the exams or for writing the essays.</w:t>
      </w:r>
    </w:p>
    <w:p>
      <w:pPr>
        <w:pStyle w:val="ListBullet"/>
      </w:pPr>
      <w:r>
        <w:t>A current, updated web browser (Chrome, Firefox, Edge, or Safari).</w:t>
      </w:r>
    </w:p>
    <w:p>
      <w:pPr>
        <w:pStyle w:val="ListBullet"/>
      </w:pPr>
      <w:r>
        <w:t>Working audio and the ability to stream video from YouTube, Vimeo, and Kanopy.</w:t>
      </w:r>
    </w:p>
    <w:p>
      <w:pPr>
        <w:pStyle w:val="ListBullet"/>
      </w:pPr>
      <w:r>
        <w:t>A webcam, in the event that a proctoring tool is used for an exam (see below).</w:t>
      </w:r>
    </w:p>
    <w:p>
      <w:pPr>
        <w:pStyle w:val="Heading2"/>
      </w:pPr>
      <w:r>
        <w:t>Skills You Will Need</w:t>
      </w:r>
    </w:p>
    <w:p>
      <w:pPr>
        <w:pStyle w:val="ListBullet"/>
      </w:pPr>
      <w:r>
        <w:t>Log in to Canvas, locate assignments, and upload a file before a deadline.</w:t>
      </w:r>
    </w:p>
    <w:p>
      <w:pPr>
        <w:pStyle w:val="ListBullet"/>
      </w:pPr>
      <w:r>
        <w:t>Create a document and save or export it as .docx or .pdf for submission.</w:t>
      </w:r>
    </w:p>
    <w:p>
      <w:pPr>
        <w:pStyle w:val="ListBullet"/>
      </w:pPr>
      <w:r>
        <w:t>Take a timed, multiple-choice online quiz in Canvas without losing your connection midway.</w:t>
      </w:r>
    </w:p>
    <w:p>
      <w:pPr>
        <w:pStyle w:val="ListBullet"/>
      </w:pPr>
      <w:r>
        <w:t>Log in to the campus library and open readings through Leganto and the library databases.</w:t>
      </w:r>
    </w:p>
    <w:p>
      <w:pPr>
        <w:pStyle w:val="ListBullet"/>
      </w:pPr>
      <w:r>
        <w:t>Join a Zoom meeting for office hours.</w:t>
      </w:r>
    </w:p>
    <w:p>
      <w:pPr>
        <w:pStyle w:val="Heading2"/>
      </w:pPr>
      <w:r>
        <w:t>Exam Proctoring and Authentication Software</w:t>
      </w:r>
    </w:p>
    <w:p>
      <w:r>
        <w:rPr>
          <w:b w:val="0"/>
          <w:i w:val="0"/>
        </w:rPr>
        <w:t>Respondus, Turnitin, or similar software may be used to authenticate your work on online assessments. If a proctoring tool is used for an exam, you will need a computer on which the software can be installed and a functioning webcam. Any such requirement will be announced in Canvas in advance of the exam. If you cannot meet a proctoring requirement, contact me as soon as the requirement is announced and we will arrange an alternative.</w:t>
      </w:r>
    </w:p>
    <w:p>
      <w:pPr>
        <w:pStyle w:val="Heading2"/>
      </w:pPr>
      <w:r>
        <w:t>Where to Get Help</w:t>
      </w:r>
    </w:p>
    <w:p>
      <w:r>
        <w:rPr>
          <w:b w:val="0"/>
          <w:i w:val="0"/>
        </w:rPr>
        <w:t xml:space="preserve">For campus technology support, contact the IT Help Desk. See </w:t>
      </w:r>
      <w:hyperlink r:id="rId35">
        <w:r>
          <w:rPr>
            <w:rStyle w:val="Hyperlink"/>
          </w:rPr>
          <w:t xml:space="preserve">Student Information for Course Syllabi (CSUF Faculty Development Center)</w:t>
        </w:r>
      </w:hyperlink>
      <w:r>
        <w:rPr>
          <w:b w:val="0"/>
          <w:i w:val="0"/>
        </w:rPr>
        <w:t xml:space="preserve"> for Student Information Technology Services, library services, and the technical competencies expected of all students.</w:t>
      </w:r>
    </w:p>
    <w:p>
      <w:pPr>
        <w:pStyle w:val="Heading1"/>
      </w:pPr>
      <w:r>
        <w:t>Course Calendar</w:t>
      </w:r>
    </w:p>
    <w:p>
      <w:r>
        <w:rPr>
          <w:b w:val="0"/>
          <w:i w:val="0"/>
        </w:rPr>
        <w:t>The calendar below covers all fifteen instructional weeks plus final examination week. Dates given as a range are the Monday-through-Friday span of that week; unless a specific due date is listed, complete that week's materials by the end of that week (Sunday, 11:59 p.m. Pacific).</w:t>
      </w:r>
    </w:p>
    <w:p>
      <w:r>
        <w:rPr>
          <w:b w:val="0"/>
          <w:i w:val="0"/>
        </w:rPr>
        <w:t>Faculty are not bound to follow the syllabus calendar on a strict day-to-day basis. Topics and materials may be adjusted as the semester progresses. Any change to a major assignment or course requirement will be announced in Canvas with a reasonable timetable for completion. Due dates in Canvas are authoritative if they ever differ from this document.</w:t>
      </w:r>
    </w:p>
    <w:tbl>
      <w:tblPr>
        <w:tblStyle w:val="TableGrid"/>
        <w:tblW w:type="auto" w:w="0"/>
        <w:jc w:val="left"/>
        <w:tblLayout w:type="autofit"/>
        <w:tblLook w:firstColumn="0" w:firstRow="1" w:lastColumn="0" w:lastRow="0" w:noHBand="0" w:noVBand="1" w:val="04A0"/>
        <w:tblCaption w:val="Course Calendar, Fall 2026"/>
        <w:tblDescription w:val="Four-column table covering all fifteen instructional weeks, the Fall Recess week, and final examination week. Columns are week number, date range, topic with assigned materials, and what is due that week."/>
      </w:tblPr>
      <w:tblGrid>
        <w:gridCol w:w="2340"/>
        <w:gridCol w:w="2340"/>
        <w:gridCol w:w="2340"/>
        <w:gridCol w:w="2340"/>
      </w:tblGrid>
      <w:tr>
        <w:trPr>
          <w:tblHeader w:val="true"/>
        </w:trPr>
        <w:tc>
          <w:tcPr>
            <w:tcW w:type="dxa" w:w="864"/>
          </w:tcPr>
          <w:p>
            <w:pPr>
              <w:spacing w:after="40"/>
            </w:pPr>
            <w:r/>
            <w:r>
              <w:rPr>
                <w:b/>
                <w:sz w:val="22"/>
              </w:rPr>
              <w:t>Week</w:t>
            </w:r>
          </w:p>
        </w:tc>
        <w:tc>
          <w:tcPr>
            <w:tcW w:type="dxa" w:w="1656"/>
          </w:tcPr>
          <w:p>
            <w:pPr>
              <w:spacing w:after="40"/>
            </w:pPr>
            <w:r/>
            <w:r>
              <w:rPr>
                <w:b/>
                <w:sz w:val="22"/>
              </w:rPr>
              <w:t>Dates</w:t>
            </w:r>
          </w:p>
        </w:tc>
        <w:tc>
          <w:tcPr>
            <w:tcW w:type="dxa" w:w="4824"/>
          </w:tcPr>
          <w:p>
            <w:pPr>
              <w:spacing w:after="40"/>
            </w:pPr>
            <w:r/>
            <w:r>
              <w:rPr>
                <w:b/>
                <w:sz w:val="22"/>
              </w:rPr>
              <w:t>Topic and Assigned Materials</w:t>
            </w:r>
          </w:p>
        </w:tc>
        <w:tc>
          <w:tcPr>
            <w:tcW w:type="dxa" w:w="2016"/>
          </w:tcPr>
          <w:p>
            <w:pPr>
              <w:spacing w:after="40"/>
            </w:pPr>
            <w:r/>
            <w:r>
              <w:rPr>
                <w:b/>
                <w:sz w:val="22"/>
              </w:rPr>
              <w:t>Due</w:t>
            </w:r>
          </w:p>
        </w:tc>
      </w:tr>
      <w:tr>
        <w:tc>
          <w:tcPr>
            <w:tcW w:type="dxa" w:w="864"/>
          </w:tcPr>
          <w:p>
            <w:pPr>
              <w:spacing w:after="40"/>
            </w:pPr>
            <w:r/>
            <w:r>
              <w:rPr>
                <w:sz w:val="22"/>
              </w:rPr>
              <w:t>1</w:t>
            </w:r>
          </w:p>
        </w:tc>
        <w:tc>
          <w:tcPr>
            <w:tcW w:type="dxa" w:w="1656"/>
          </w:tcPr>
          <w:p>
            <w:pPr>
              <w:spacing w:after="40"/>
            </w:pPr>
            <w:r/>
            <w:r>
              <w:rPr>
                <w:sz w:val="22"/>
              </w:rPr>
              <w:t>Aug 24 - Aug 28</w:t>
            </w:r>
          </w:p>
        </w:tc>
        <w:tc>
          <w:tcPr>
            <w:tcW w:type="dxa" w:w="4824"/>
          </w:tcPr>
          <w:p>
            <w:pPr>
              <w:spacing w:after="40"/>
            </w:pPr>
            <w:r/>
            <w:r>
              <w:rPr>
                <w:sz w:val="22"/>
              </w:rPr>
              <w:t>Introduction to the class, the instructor, and course requirements. Read this syllabus in full and review the course website and Canvas site.</w:t>
            </w:r>
          </w:p>
        </w:tc>
        <w:tc>
          <w:tcPr>
            <w:tcW w:type="dxa" w:w="2016"/>
          </w:tcPr>
          <w:p>
            <w:pPr>
              <w:spacing w:after="40"/>
            </w:pPr>
            <w:r/>
            <w:r>
              <w:rPr>
                <w:sz w:val="22"/>
              </w:rPr>
              <w:t>Nothing graded</w:t>
            </w:r>
          </w:p>
        </w:tc>
      </w:tr>
      <w:tr>
        <w:tc>
          <w:tcPr>
            <w:tcW w:type="dxa" w:w="864"/>
          </w:tcPr>
          <w:p>
            <w:pPr>
              <w:spacing w:after="40"/>
            </w:pPr>
            <w:r/>
            <w:r>
              <w:rPr>
                <w:sz w:val="22"/>
              </w:rPr>
              <w:t>2</w:t>
            </w:r>
          </w:p>
        </w:tc>
        <w:tc>
          <w:tcPr>
            <w:tcW w:type="dxa" w:w="1656"/>
          </w:tcPr>
          <w:p>
            <w:pPr>
              <w:spacing w:after="40"/>
            </w:pPr>
            <w:r/>
            <w:r>
              <w:rPr>
                <w:sz w:val="22"/>
              </w:rPr>
              <w:t>Aug 31 - Sep 4</w:t>
            </w:r>
          </w:p>
        </w:tc>
        <w:tc>
          <w:tcPr>
            <w:tcW w:type="dxa" w:w="4824"/>
          </w:tcPr>
          <w:p>
            <w:pPr>
              <w:spacing w:after="40"/>
            </w:pPr>
            <w:r/>
            <w:r>
              <w:rPr>
                <w:sz w:val="22"/>
              </w:rPr>
              <w:t>Introduction to Environmental Health. Readings and videos in the Leganto section for this module.</w:t>
            </w:r>
          </w:p>
        </w:tc>
        <w:tc>
          <w:tcPr>
            <w:tcW w:type="dxa" w:w="2016"/>
          </w:tcPr>
          <w:p>
            <w:pPr>
              <w:spacing w:after="40"/>
            </w:pPr>
            <w:r/>
            <w:r>
              <w:rPr>
                <w:sz w:val="22"/>
              </w:rPr>
              <w:t>Nothing graded</w:t>
            </w:r>
          </w:p>
        </w:tc>
      </w:tr>
      <w:tr>
        <w:tc>
          <w:tcPr>
            <w:tcW w:type="dxa" w:w="864"/>
          </w:tcPr>
          <w:p>
            <w:pPr>
              <w:spacing w:after="40"/>
            </w:pPr>
            <w:r/>
            <w:r>
              <w:rPr>
                <w:sz w:val="22"/>
              </w:rPr>
              <w:t>3</w:t>
            </w:r>
          </w:p>
        </w:tc>
        <w:tc>
          <w:tcPr>
            <w:tcW w:type="dxa" w:w="1656"/>
          </w:tcPr>
          <w:p>
            <w:pPr>
              <w:spacing w:after="40"/>
            </w:pPr>
            <w:r/>
            <w:r>
              <w:rPr>
                <w:sz w:val="22"/>
              </w:rPr>
              <w:t>Sep 7 - Sep 11</w:t>
            </w:r>
          </w:p>
        </w:tc>
        <w:tc>
          <w:tcPr>
            <w:tcW w:type="dxa" w:w="4824"/>
          </w:tcPr>
          <w:p>
            <w:pPr>
              <w:spacing w:after="40"/>
            </w:pPr>
            <w:r/>
            <w:r>
              <w:rPr>
                <w:sz w:val="22"/>
              </w:rPr>
              <w:t>Exploring Your Values. Note: Labor Day, Monday September 7 - campus closed. Plan accordingly; the deadline does not move.</w:t>
            </w:r>
          </w:p>
        </w:tc>
        <w:tc>
          <w:tcPr>
            <w:tcW w:type="dxa" w:w="2016"/>
          </w:tcPr>
          <w:p>
            <w:pPr>
              <w:spacing w:after="40"/>
            </w:pPr>
            <w:r/>
            <w:r>
              <w:rPr>
                <w:sz w:val="22"/>
              </w:rPr>
              <w:t>Values Exercise due Friday, Sep 11</w:t>
            </w:r>
          </w:p>
        </w:tc>
      </w:tr>
      <w:tr>
        <w:tc>
          <w:tcPr>
            <w:tcW w:type="dxa" w:w="864"/>
          </w:tcPr>
          <w:p>
            <w:pPr>
              <w:spacing w:after="40"/>
            </w:pPr>
            <w:r/>
            <w:r>
              <w:rPr>
                <w:sz w:val="22"/>
              </w:rPr>
              <w:t>4</w:t>
            </w:r>
          </w:p>
        </w:tc>
        <w:tc>
          <w:tcPr>
            <w:tcW w:type="dxa" w:w="1656"/>
          </w:tcPr>
          <w:p>
            <w:pPr>
              <w:spacing w:after="40"/>
            </w:pPr>
            <w:r/>
            <w:r>
              <w:rPr>
                <w:sz w:val="22"/>
              </w:rPr>
              <w:t>Sep 14 - Sep 18</w:t>
            </w:r>
          </w:p>
        </w:tc>
        <w:tc>
          <w:tcPr>
            <w:tcW w:type="dxa" w:w="4824"/>
          </w:tcPr>
          <w:p>
            <w:pPr>
              <w:spacing w:after="40"/>
            </w:pPr>
            <w:r/>
            <w:r>
              <w:rPr>
                <w:sz w:val="22"/>
              </w:rPr>
              <w:t>Water. Readings and videos in the Leganto section for this module.</w:t>
            </w:r>
          </w:p>
        </w:tc>
        <w:tc>
          <w:tcPr>
            <w:tcW w:type="dxa" w:w="2016"/>
          </w:tcPr>
          <w:p>
            <w:pPr>
              <w:spacing w:after="40"/>
            </w:pPr>
            <w:r/>
            <w:r>
              <w:rPr>
                <w:sz w:val="22"/>
              </w:rPr>
              <w:t>Nothing graded</w:t>
            </w:r>
          </w:p>
        </w:tc>
      </w:tr>
      <w:tr>
        <w:tc>
          <w:tcPr>
            <w:tcW w:type="dxa" w:w="864"/>
          </w:tcPr>
          <w:p>
            <w:pPr>
              <w:spacing w:after="40"/>
            </w:pPr>
            <w:r/>
            <w:r>
              <w:rPr>
                <w:sz w:val="22"/>
              </w:rPr>
              <w:t>5</w:t>
            </w:r>
          </w:p>
        </w:tc>
        <w:tc>
          <w:tcPr>
            <w:tcW w:type="dxa" w:w="1656"/>
          </w:tcPr>
          <w:p>
            <w:pPr>
              <w:spacing w:after="40"/>
            </w:pPr>
            <w:r/>
            <w:r>
              <w:rPr>
                <w:sz w:val="22"/>
              </w:rPr>
              <w:t>Sep 21 - Sep 25</w:t>
            </w:r>
          </w:p>
        </w:tc>
        <w:tc>
          <w:tcPr>
            <w:tcW w:type="dxa" w:w="4824"/>
          </w:tcPr>
          <w:p>
            <w:pPr>
              <w:spacing w:after="40"/>
            </w:pPr>
            <w:r/>
            <w:r>
              <w:rPr>
                <w:sz w:val="22"/>
              </w:rPr>
              <w:t>Land. Readings in the Leganto section for this module.</w:t>
            </w:r>
          </w:p>
        </w:tc>
        <w:tc>
          <w:tcPr>
            <w:tcW w:type="dxa" w:w="2016"/>
          </w:tcPr>
          <w:p>
            <w:pPr>
              <w:spacing w:after="40"/>
            </w:pPr>
            <w:r/>
            <w:r>
              <w:rPr>
                <w:sz w:val="22"/>
              </w:rPr>
              <w:t>Nothing graded</w:t>
            </w:r>
          </w:p>
        </w:tc>
      </w:tr>
      <w:tr>
        <w:tc>
          <w:tcPr>
            <w:tcW w:type="dxa" w:w="864"/>
          </w:tcPr>
          <w:p>
            <w:pPr>
              <w:spacing w:after="40"/>
            </w:pPr>
            <w:r/>
            <w:r>
              <w:rPr>
                <w:sz w:val="22"/>
              </w:rPr>
              <w:t>6</w:t>
            </w:r>
          </w:p>
        </w:tc>
        <w:tc>
          <w:tcPr>
            <w:tcW w:type="dxa" w:w="1656"/>
          </w:tcPr>
          <w:p>
            <w:pPr>
              <w:spacing w:after="40"/>
            </w:pPr>
            <w:r/>
            <w:r>
              <w:rPr>
                <w:sz w:val="22"/>
              </w:rPr>
              <w:t>Sep 28 - Oct 2</w:t>
            </w:r>
          </w:p>
        </w:tc>
        <w:tc>
          <w:tcPr>
            <w:tcW w:type="dxa" w:w="4824"/>
          </w:tcPr>
          <w:p>
            <w:pPr>
              <w:spacing w:after="40"/>
            </w:pPr>
            <w:r/>
            <w:r>
              <w:rPr>
                <w:sz w:val="22"/>
              </w:rPr>
              <w:t>Air. Readings in the Leganto section for this module.</w:t>
            </w:r>
          </w:p>
        </w:tc>
        <w:tc>
          <w:tcPr>
            <w:tcW w:type="dxa" w:w="2016"/>
          </w:tcPr>
          <w:p>
            <w:pPr>
              <w:spacing w:after="40"/>
            </w:pPr>
            <w:r/>
            <w:r>
              <w:rPr>
                <w:sz w:val="22"/>
              </w:rPr>
              <w:t>Nothing graded</w:t>
            </w:r>
          </w:p>
        </w:tc>
      </w:tr>
      <w:tr>
        <w:tc>
          <w:tcPr>
            <w:tcW w:type="dxa" w:w="864"/>
          </w:tcPr>
          <w:p>
            <w:pPr>
              <w:spacing w:after="40"/>
            </w:pPr>
            <w:r/>
            <w:r>
              <w:rPr>
                <w:sz w:val="22"/>
              </w:rPr>
              <w:t>7</w:t>
            </w:r>
          </w:p>
        </w:tc>
        <w:tc>
          <w:tcPr>
            <w:tcW w:type="dxa" w:w="1656"/>
          </w:tcPr>
          <w:p>
            <w:pPr>
              <w:spacing w:after="40"/>
            </w:pPr>
            <w:r/>
            <w:r>
              <w:rPr>
                <w:sz w:val="22"/>
              </w:rPr>
              <w:t>Oct 5 - Oct 9</w:t>
            </w:r>
          </w:p>
        </w:tc>
        <w:tc>
          <w:tcPr>
            <w:tcW w:type="dxa" w:w="4824"/>
          </w:tcPr>
          <w:p>
            <w:pPr>
              <w:spacing w:after="40"/>
            </w:pPr>
            <w:r/>
            <w:r>
              <w:rPr>
                <w:sz w:val="22"/>
              </w:rPr>
              <w:t>Causes of Climate Change. Readings in the Leganto section for this module. Review for Exam 1.</w:t>
            </w:r>
          </w:p>
        </w:tc>
        <w:tc>
          <w:tcPr>
            <w:tcW w:type="dxa" w:w="2016"/>
          </w:tcPr>
          <w:p>
            <w:pPr>
              <w:spacing w:after="40"/>
            </w:pPr>
            <w:r/>
            <w:r>
              <w:rPr>
                <w:sz w:val="22"/>
              </w:rPr>
              <w:t>Exam 1, Friday, Oct 9. Covers Introduction to Environmental Health, Water, Land, and Air.</w:t>
            </w:r>
          </w:p>
        </w:tc>
      </w:tr>
      <w:tr>
        <w:tc>
          <w:tcPr>
            <w:tcW w:type="dxa" w:w="864"/>
          </w:tcPr>
          <w:p>
            <w:pPr>
              <w:spacing w:after="40"/>
            </w:pPr>
            <w:r/>
            <w:r>
              <w:rPr>
                <w:sz w:val="22"/>
              </w:rPr>
              <w:t>8</w:t>
            </w:r>
          </w:p>
        </w:tc>
        <w:tc>
          <w:tcPr>
            <w:tcW w:type="dxa" w:w="1656"/>
          </w:tcPr>
          <w:p>
            <w:pPr>
              <w:spacing w:after="40"/>
            </w:pPr>
            <w:r/>
            <w:r>
              <w:rPr>
                <w:sz w:val="22"/>
              </w:rPr>
              <w:t>Oct 12 - Oct 16</w:t>
            </w:r>
          </w:p>
        </w:tc>
        <w:tc>
          <w:tcPr>
            <w:tcW w:type="dxa" w:w="4824"/>
          </w:tcPr>
          <w:p>
            <w:pPr>
              <w:spacing w:after="40"/>
            </w:pPr>
            <w:r/>
            <w:r>
              <w:rPr>
                <w:sz w:val="22"/>
              </w:rPr>
              <w:t>Climate Change, the Environment, and Human Health. Readings in the Leganto section for this module.</w:t>
            </w:r>
          </w:p>
        </w:tc>
        <w:tc>
          <w:tcPr>
            <w:tcW w:type="dxa" w:w="2016"/>
          </w:tcPr>
          <w:p>
            <w:pPr>
              <w:spacing w:after="40"/>
            </w:pPr>
            <w:r/>
            <w:r>
              <w:rPr>
                <w:sz w:val="22"/>
              </w:rPr>
              <w:t>Nothing graded</w:t>
            </w:r>
          </w:p>
        </w:tc>
      </w:tr>
      <w:tr>
        <w:tc>
          <w:tcPr>
            <w:tcW w:type="dxa" w:w="864"/>
          </w:tcPr>
          <w:p>
            <w:pPr>
              <w:spacing w:after="40"/>
            </w:pPr>
            <w:r/>
            <w:r>
              <w:rPr>
                <w:sz w:val="22"/>
              </w:rPr>
              <w:t>9</w:t>
            </w:r>
          </w:p>
        </w:tc>
        <w:tc>
          <w:tcPr>
            <w:tcW w:type="dxa" w:w="1656"/>
          </w:tcPr>
          <w:p>
            <w:pPr>
              <w:spacing w:after="40"/>
            </w:pPr>
            <w:r/>
            <w:r>
              <w:rPr>
                <w:sz w:val="22"/>
              </w:rPr>
              <w:t>Oct 19 - Oct 23</w:t>
            </w:r>
          </w:p>
        </w:tc>
        <w:tc>
          <w:tcPr>
            <w:tcW w:type="dxa" w:w="4824"/>
          </w:tcPr>
          <w:p>
            <w:pPr>
              <w:spacing w:after="40"/>
            </w:pPr>
            <w:r/>
            <w:r>
              <w:rPr>
                <w:sz w:val="22"/>
              </w:rPr>
              <w:t>Sustainability. Readings and videos in the Leganto section for this module.</w:t>
            </w:r>
          </w:p>
        </w:tc>
        <w:tc>
          <w:tcPr>
            <w:tcW w:type="dxa" w:w="2016"/>
          </w:tcPr>
          <w:p>
            <w:pPr>
              <w:spacing w:after="40"/>
            </w:pPr>
            <w:r/>
            <w:r>
              <w:rPr>
                <w:sz w:val="22"/>
              </w:rPr>
              <w:t>Nothing graded</w:t>
            </w:r>
          </w:p>
        </w:tc>
      </w:tr>
      <w:tr>
        <w:tc>
          <w:tcPr>
            <w:tcW w:type="dxa" w:w="864"/>
          </w:tcPr>
          <w:p>
            <w:pPr>
              <w:spacing w:after="40"/>
            </w:pPr>
            <w:r/>
            <w:r>
              <w:rPr>
                <w:sz w:val="22"/>
              </w:rPr>
              <w:t>10</w:t>
            </w:r>
          </w:p>
        </w:tc>
        <w:tc>
          <w:tcPr>
            <w:tcW w:type="dxa" w:w="1656"/>
          </w:tcPr>
          <w:p>
            <w:pPr>
              <w:spacing w:after="40"/>
            </w:pPr>
            <w:r/>
            <w:r>
              <w:rPr>
                <w:sz w:val="22"/>
              </w:rPr>
              <w:t>Oct 26 - Oct 30</w:t>
            </w:r>
          </w:p>
        </w:tc>
        <w:tc>
          <w:tcPr>
            <w:tcW w:type="dxa" w:w="4824"/>
          </w:tcPr>
          <w:p>
            <w:pPr>
              <w:spacing w:after="40"/>
            </w:pPr>
            <w:r/>
            <w:r>
              <w:rPr>
                <w:sz w:val="22"/>
              </w:rPr>
              <w:t>Introduction to the Anthropocene. Readings and film in the Leganto section for this module. Review for Exam 2.</w:t>
            </w:r>
          </w:p>
        </w:tc>
        <w:tc>
          <w:tcPr>
            <w:tcW w:type="dxa" w:w="2016"/>
          </w:tcPr>
          <w:p>
            <w:pPr>
              <w:spacing w:after="40"/>
            </w:pPr>
            <w:r/>
            <w:r>
              <w:rPr>
                <w:sz w:val="22"/>
              </w:rPr>
              <w:t>Exam 2, Friday, Oct 30. Covers Causes of Climate Change through Sustainability.</w:t>
            </w:r>
          </w:p>
        </w:tc>
      </w:tr>
      <w:tr>
        <w:tc>
          <w:tcPr>
            <w:tcW w:type="dxa" w:w="864"/>
          </w:tcPr>
          <w:p>
            <w:pPr>
              <w:spacing w:after="40"/>
            </w:pPr>
            <w:r/>
            <w:r>
              <w:rPr>
                <w:sz w:val="22"/>
              </w:rPr>
              <w:t>11</w:t>
            </w:r>
          </w:p>
        </w:tc>
        <w:tc>
          <w:tcPr>
            <w:tcW w:type="dxa" w:w="1656"/>
          </w:tcPr>
          <w:p>
            <w:pPr>
              <w:spacing w:after="40"/>
            </w:pPr>
            <w:r/>
            <w:r>
              <w:rPr>
                <w:sz w:val="22"/>
              </w:rPr>
              <w:t>Nov 2 - Nov 6</w:t>
            </w:r>
          </w:p>
        </w:tc>
        <w:tc>
          <w:tcPr>
            <w:tcW w:type="dxa" w:w="4824"/>
          </w:tcPr>
          <w:p>
            <w:pPr>
              <w:spacing w:after="40"/>
            </w:pPr>
            <w:r/>
            <w:r>
              <w:rPr>
                <w:sz w:val="22"/>
              </w:rPr>
              <w:t>The Anthropocene and Health: the Planetary Health Framework. Readings and videos in the Leganto section for this module.</w:t>
            </w:r>
          </w:p>
        </w:tc>
        <w:tc>
          <w:tcPr>
            <w:tcW w:type="dxa" w:w="2016"/>
          </w:tcPr>
          <w:p>
            <w:pPr>
              <w:spacing w:after="40"/>
            </w:pPr>
            <w:r/>
            <w:r>
              <w:rPr>
                <w:sz w:val="22"/>
              </w:rPr>
              <w:t>Nothing graded</w:t>
            </w:r>
          </w:p>
        </w:tc>
      </w:tr>
      <w:tr>
        <w:tc>
          <w:tcPr>
            <w:tcW w:type="dxa" w:w="864"/>
          </w:tcPr>
          <w:p>
            <w:pPr>
              <w:spacing w:after="40"/>
            </w:pPr>
            <w:r/>
            <w:r>
              <w:rPr>
                <w:sz w:val="22"/>
              </w:rPr>
              <w:t>12</w:t>
            </w:r>
          </w:p>
        </w:tc>
        <w:tc>
          <w:tcPr>
            <w:tcW w:type="dxa" w:w="1656"/>
          </w:tcPr>
          <w:p>
            <w:pPr>
              <w:spacing w:after="40"/>
            </w:pPr>
            <w:r/>
            <w:r>
              <w:rPr>
                <w:sz w:val="22"/>
              </w:rPr>
              <w:t>Nov 9 - Nov 13</w:t>
            </w:r>
          </w:p>
        </w:tc>
        <w:tc>
          <w:tcPr>
            <w:tcW w:type="dxa" w:w="4824"/>
          </w:tcPr>
          <w:p>
            <w:pPr>
              <w:spacing w:after="40"/>
            </w:pPr>
            <w:r/>
            <w:r>
              <w:rPr>
                <w:sz w:val="22"/>
              </w:rPr>
              <w:t>The Built Environment. Readings in the Leganto section for this module. Note: Veterans Day, Wednesday November 11 - campus closed.</w:t>
            </w:r>
          </w:p>
        </w:tc>
        <w:tc>
          <w:tcPr>
            <w:tcW w:type="dxa" w:w="2016"/>
          </w:tcPr>
          <w:p>
            <w:pPr>
              <w:spacing w:after="40"/>
            </w:pPr>
            <w:r/>
            <w:r>
              <w:rPr>
                <w:sz w:val="22"/>
              </w:rPr>
              <w:t>Essay 1 due Friday, Nov 13</w:t>
            </w:r>
          </w:p>
        </w:tc>
      </w:tr>
      <w:tr>
        <w:tc>
          <w:tcPr>
            <w:tcW w:type="dxa" w:w="864"/>
          </w:tcPr>
          <w:p>
            <w:pPr>
              <w:spacing w:after="40"/>
            </w:pPr>
            <w:r/>
            <w:r>
              <w:rPr>
                <w:sz w:val="22"/>
              </w:rPr>
              <w:t>13</w:t>
            </w:r>
          </w:p>
        </w:tc>
        <w:tc>
          <w:tcPr>
            <w:tcW w:type="dxa" w:w="1656"/>
          </w:tcPr>
          <w:p>
            <w:pPr>
              <w:spacing w:after="40"/>
            </w:pPr>
            <w:r/>
            <w:r>
              <w:rPr>
                <w:sz w:val="22"/>
              </w:rPr>
              <w:t>Nov 16 - Nov 20</w:t>
            </w:r>
          </w:p>
        </w:tc>
        <w:tc>
          <w:tcPr>
            <w:tcW w:type="dxa" w:w="4824"/>
          </w:tcPr>
          <w:p>
            <w:pPr>
              <w:spacing w:after="40"/>
            </w:pPr>
            <w:r/>
            <w:r>
              <w:rPr>
                <w:sz w:val="22"/>
              </w:rPr>
              <w:t>The Built Environment and Health, Chapters 1-3. Readings in the Leganto section for this module.</w:t>
            </w:r>
          </w:p>
        </w:tc>
        <w:tc>
          <w:tcPr>
            <w:tcW w:type="dxa" w:w="2016"/>
          </w:tcPr>
          <w:p>
            <w:pPr>
              <w:spacing w:after="40"/>
            </w:pPr>
            <w:r/>
            <w:r>
              <w:rPr>
                <w:sz w:val="22"/>
              </w:rPr>
              <w:t>Nothing graded</w:t>
            </w:r>
          </w:p>
        </w:tc>
      </w:tr>
      <w:tr>
        <w:tc>
          <w:tcPr>
            <w:tcW w:type="dxa" w:w="864"/>
          </w:tcPr>
          <w:p>
            <w:pPr>
              <w:spacing w:after="40"/>
            </w:pPr>
            <w:r/>
            <w:r>
              <w:rPr>
                <w:sz w:val="22"/>
              </w:rPr>
              <w:t>--</w:t>
            </w:r>
          </w:p>
        </w:tc>
        <w:tc>
          <w:tcPr>
            <w:tcW w:type="dxa" w:w="1656"/>
          </w:tcPr>
          <w:p>
            <w:pPr>
              <w:spacing w:after="40"/>
            </w:pPr>
            <w:r/>
            <w:r>
              <w:rPr>
                <w:sz w:val="22"/>
              </w:rPr>
              <w:t>Nov 23 - Nov 27</w:t>
            </w:r>
          </w:p>
        </w:tc>
        <w:tc>
          <w:tcPr>
            <w:tcW w:type="dxa" w:w="4824"/>
          </w:tcPr>
          <w:p>
            <w:pPr>
              <w:spacing w:after="40"/>
            </w:pPr>
            <w:r/>
            <w:r>
              <w:rPr>
                <w:sz w:val="22"/>
              </w:rPr>
              <w:t>Fall Recess. No class activities and no assignments. Campus closed November 26-27.</w:t>
            </w:r>
          </w:p>
        </w:tc>
        <w:tc>
          <w:tcPr>
            <w:tcW w:type="dxa" w:w="2016"/>
          </w:tcPr>
          <w:p>
            <w:pPr>
              <w:spacing w:after="40"/>
            </w:pPr>
            <w:r/>
            <w:r>
              <w:rPr>
                <w:sz w:val="22"/>
              </w:rPr>
              <w:t>Nothing due</w:t>
            </w:r>
          </w:p>
        </w:tc>
      </w:tr>
      <w:tr>
        <w:tc>
          <w:tcPr>
            <w:tcW w:type="dxa" w:w="864"/>
          </w:tcPr>
          <w:p>
            <w:pPr>
              <w:spacing w:after="40"/>
            </w:pPr>
            <w:r/>
            <w:r>
              <w:rPr>
                <w:sz w:val="22"/>
              </w:rPr>
              <w:t>14</w:t>
            </w:r>
          </w:p>
        </w:tc>
        <w:tc>
          <w:tcPr>
            <w:tcW w:type="dxa" w:w="1656"/>
          </w:tcPr>
          <w:p>
            <w:pPr>
              <w:spacing w:after="40"/>
            </w:pPr>
            <w:r/>
            <w:r>
              <w:rPr>
                <w:sz w:val="22"/>
              </w:rPr>
              <w:t>Nov 30 - Dec 4</w:t>
            </w:r>
          </w:p>
        </w:tc>
        <w:tc>
          <w:tcPr>
            <w:tcW w:type="dxa" w:w="4824"/>
          </w:tcPr>
          <w:p>
            <w:pPr>
              <w:spacing w:after="40"/>
            </w:pPr>
            <w:r/>
            <w:r>
              <w:rPr>
                <w:sz w:val="22"/>
              </w:rPr>
              <w:t>The Built Environment and the Anthropocene, Chapters 5 and 6. Readings in the Leganto section for this module.</w:t>
            </w:r>
          </w:p>
        </w:tc>
        <w:tc>
          <w:tcPr>
            <w:tcW w:type="dxa" w:w="2016"/>
          </w:tcPr>
          <w:p>
            <w:pPr>
              <w:spacing w:after="40"/>
            </w:pPr>
            <w:r/>
            <w:r>
              <w:rPr>
                <w:sz w:val="22"/>
              </w:rPr>
              <w:t>Nothing graded</w:t>
            </w:r>
          </w:p>
        </w:tc>
      </w:tr>
      <w:tr>
        <w:tc>
          <w:tcPr>
            <w:tcW w:type="dxa" w:w="864"/>
          </w:tcPr>
          <w:p>
            <w:pPr>
              <w:spacing w:after="40"/>
            </w:pPr>
            <w:r/>
            <w:r>
              <w:rPr>
                <w:sz w:val="22"/>
              </w:rPr>
              <w:t>15</w:t>
            </w:r>
          </w:p>
        </w:tc>
        <w:tc>
          <w:tcPr>
            <w:tcW w:type="dxa" w:w="1656"/>
          </w:tcPr>
          <w:p>
            <w:pPr>
              <w:spacing w:after="40"/>
            </w:pPr>
            <w:r/>
            <w:r>
              <w:rPr>
                <w:sz w:val="22"/>
              </w:rPr>
              <w:t>Dec 7 - Dec 11</w:t>
            </w:r>
          </w:p>
        </w:tc>
        <w:tc>
          <w:tcPr>
            <w:tcW w:type="dxa" w:w="4824"/>
          </w:tcPr>
          <w:p>
            <w:pPr>
              <w:spacing w:after="40"/>
            </w:pPr>
            <w:r/>
            <w:r>
              <w:rPr>
                <w:sz w:val="22"/>
              </w:rPr>
              <w:t>Course synthesis and review of the semester's themes. Finish and submit Essay 2. Friday, December 11 is the last day of classes.</w:t>
            </w:r>
          </w:p>
        </w:tc>
        <w:tc>
          <w:tcPr>
            <w:tcW w:type="dxa" w:w="2016"/>
          </w:tcPr>
          <w:p>
            <w:pPr>
              <w:spacing w:after="40"/>
            </w:pPr>
            <w:r/>
            <w:r>
              <w:rPr>
                <w:sz w:val="22"/>
              </w:rPr>
              <w:t>Essay 2 due Friday, Dec 11</w:t>
            </w:r>
          </w:p>
        </w:tc>
      </w:tr>
      <w:tr>
        <w:tc>
          <w:tcPr>
            <w:tcW w:type="dxa" w:w="864"/>
          </w:tcPr>
          <w:p>
            <w:pPr>
              <w:spacing w:after="40"/>
            </w:pPr>
            <w:r/>
            <w:r>
              <w:rPr>
                <w:sz w:val="22"/>
              </w:rPr>
              <w:t>Finals</w:t>
            </w:r>
          </w:p>
        </w:tc>
        <w:tc>
          <w:tcPr>
            <w:tcW w:type="dxa" w:w="1656"/>
          </w:tcPr>
          <w:p>
            <w:pPr>
              <w:spacing w:after="40"/>
            </w:pPr>
            <w:r/>
            <w:r>
              <w:rPr>
                <w:sz w:val="22"/>
              </w:rPr>
              <w:t>Dec 14 - Dec 19</w:t>
            </w:r>
          </w:p>
        </w:tc>
        <w:tc>
          <w:tcPr>
            <w:tcW w:type="dxa" w:w="4824"/>
          </w:tcPr>
          <w:p>
            <w:pPr>
              <w:spacing w:after="40"/>
            </w:pPr>
            <w:r/>
            <w:r>
              <w:rPr>
                <w:sz w:val="22"/>
              </w:rPr>
              <w:t>Final examination week. There is no final exam and no scheduled meeting in this course. Essay 2, submitted December 11, is the culminating activity for the course.</w:t>
            </w:r>
          </w:p>
        </w:tc>
        <w:tc>
          <w:tcPr>
            <w:tcW w:type="dxa" w:w="2016"/>
          </w:tcPr>
          <w:p>
            <w:pPr>
              <w:spacing w:after="40"/>
            </w:pPr>
            <w:r/>
            <w:r>
              <w:rPr>
                <w:sz w:val="22"/>
              </w:rPr>
              <w:t>Nothing due</w:t>
            </w:r>
          </w:p>
        </w:tc>
      </w:tr>
    </w:tbl>
    <w:p>
      <w:pPr>
        <w:pStyle w:val="Heading2"/>
      </w:pPr>
      <w:r>
        <w:t>Reading List Links by Module</w:t>
      </w:r>
    </w:p>
    <w:p>
      <w:r>
        <w:rPr>
          <w:b w:val="0"/>
          <w:i w:val="0"/>
        </w:rPr>
        <w:t>Each link opens that module's section of the course reading list in Leganto. You must be logged in and enrolled to view them. The same links are in Canvas.</w:t>
      </w:r>
    </w:p>
    <w:p>
      <w:pPr>
        <w:pStyle w:val="ListBullet"/>
      </w:pPr>
      <w:hyperlink r:id="rId36">
        <w:r>
          <w:rPr>
            <w:rStyle w:val="Hyperlink"/>
          </w:rPr>
          <w:t xml:space="preserve">Leganto reading list: Introduction to Environmental Health</w:t>
        </w:r>
      </w:hyperlink>
    </w:p>
    <w:p>
      <w:pPr>
        <w:pStyle w:val="ListBullet"/>
      </w:pPr>
      <w:hyperlink r:id="rId37">
        <w:r>
          <w:rPr>
            <w:rStyle w:val="Hyperlink"/>
          </w:rPr>
          <w:t xml:space="preserve">Leganto reading list: Water</w:t>
        </w:r>
      </w:hyperlink>
    </w:p>
    <w:p>
      <w:pPr>
        <w:pStyle w:val="ListBullet"/>
      </w:pPr>
      <w:hyperlink r:id="rId38">
        <w:r>
          <w:rPr>
            <w:rStyle w:val="Hyperlink"/>
          </w:rPr>
          <w:t xml:space="preserve">Leganto reading list: Land</w:t>
        </w:r>
      </w:hyperlink>
    </w:p>
    <w:p>
      <w:pPr>
        <w:pStyle w:val="ListBullet"/>
      </w:pPr>
      <w:hyperlink r:id="rId39">
        <w:r>
          <w:rPr>
            <w:rStyle w:val="Hyperlink"/>
          </w:rPr>
          <w:t xml:space="preserve">Leganto reading list: Air</w:t>
        </w:r>
      </w:hyperlink>
    </w:p>
    <w:p>
      <w:pPr>
        <w:pStyle w:val="ListBullet"/>
      </w:pPr>
      <w:hyperlink r:id="rId40">
        <w:r>
          <w:rPr>
            <w:rStyle w:val="Hyperlink"/>
          </w:rPr>
          <w:t xml:space="preserve">Leganto reading list: Causes of Climate Change</w:t>
        </w:r>
      </w:hyperlink>
    </w:p>
    <w:p>
      <w:pPr>
        <w:pStyle w:val="ListBullet"/>
      </w:pPr>
      <w:hyperlink r:id="rId41">
        <w:r>
          <w:rPr>
            <w:rStyle w:val="Hyperlink"/>
          </w:rPr>
          <w:t xml:space="preserve">Leganto reading list: Climate Change, the Environment, and Human Health</w:t>
        </w:r>
      </w:hyperlink>
    </w:p>
    <w:p>
      <w:pPr>
        <w:pStyle w:val="ListBullet"/>
      </w:pPr>
      <w:hyperlink r:id="rId42">
        <w:r>
          <w:rPr>
            <w:rStyle w:val="Hyperlink"/>
          </w:rPr>
          <w:t xml:space="preserve">Leganto reading list: Sustainability</w:t>
        </w:r>
      </w:hyperlink>
    </w:p>
    <w:p>
      <w:pPr>
        <w:pStyle w:val="ListBullet"/>
      </w:pPr>
      <w:hyperlink r:id="rId43">
        <w:r>
          <w:rPr>
            <w:rStyle w:val="Hyperlink"/>
          </w:rPr>
          <w:t xml:space="preserve">Leganto reading list: Introduction to the Anthropocene</w:t>
        </w:r>
      </w:hyperlink>
    </w:p>
    <w:p>
      <w:pPr>
        <w:pStyle w:val="ListBullet"/>
      </w:pPr>
      <w:hyperlink r:id="rId44">
        <w:r>
          <w:rPr>
            <w:rStyle w:val="Hyperlink"/>
          </w:rPr>
          <w:t xml:space="preserve">Leganto reading list: The Anthropocene and Health: Planetary Health Framework</w:t>
        </w:r>
      </w:hyperlink>
    </w:p>
    <w:p>
      <w:pPr>
        <w:pStyle w:val="ListBullet"/>
      </w:pPr>
      <w:hyperlink r:id="rId45">
        <w:r>
          <w:rPr>
            <w:rStyle w:val="Hyperlink"/>
          </w:rPr>
          <w:t xml:space="preserve">Leganto reading list: The Built Environment</w:t>
        </w:r>
      </w:hyperlink>
    </w:p>
    <w:p>
      <w:pPr>
        <w:pStyle w:val="ListBullet"/>
      </w:pPr>
      <w:hyperlink r:id="rId46">
        <w:r>
          <w:rPr>
            <w:rStyle w:val="Hyperlink"/>
          </w:rPr>
          <w:t xml:space="preserve">Leganto reading list: The Built Environment and Health, Chapters 1-3</w:t>
        </w:r>
      </w:hyperlink>
    </w:p>
    <w:p>
      <w:pPr>
        <w:pStyle w:val="ListBullet"/>
      </w:pPr>
      <w:hyperlink r:id="rId47">
        <w:r>
          <w:rPr>
            <w:rStyle w:val="Hyperlink"/>
          </w:rPr>
          <w:t xml:space="preserve">Leganto reading list: The Built Environment and the Anthropocene, Chapters 5 and 6</w:t>
        </w:r>
      </w:hyperlink>
    </w:p>
    <w:p>
      <w:pPr>
        <w:pStyle w:val="Heading1"/>
      </w:pPr>
      <w:r>
        <w:t>Required Course Assignments</w:t>
      </w:r>
    </w:p>
    <w:p>
      <w:r>
        <w:rPr>
          <w:b w:val="0"/>
          <w:i w:val="0"/>
        </w:rPr>
        <w:t>There are five graded assignments in three categories: the Values Exercise, two exams, and two reflection essays. All of them are completed and submitted in Canvas.</w:t>
      </w:r>
    </w:p>
    <w:p>
      <w:r>
        <w:rPr>
          <w:b/>
          <w:i w:val="0"/>
        </w:rPr>
        <w:t xml:space="preserve">All assignments in this course are individual. </w:t>
      </w:r>
      <w:r>
        <w:rPr>
          <w:b w:val="0"/>
          <w:i w:val="0"/>
        </w:rPr>
        <w:t>There is no group work and no group grade.</w:t>
      </w:r>
    </w:p>
    <w:tbl>
      <w:tblPr>
        <w:tblStyle w:val="TableGrid"/>
        <w:tblW w:type="auto" w:w="0"/>
        <w:jc w:val="left"/>
        <w:tblLayout w:type="autofit"/>
        <w:tblLook w:firstColumn="0" w:firstRow="1" w:lastColumn="0" w:lastRow="0" w:noHBand="0" w:noVBand="1" w:val="04A0"/>
        <w:tblCaption w:val="Assignments, Due Dates, and Weights"/>
        <w:tblDescription w:val="Four-column table listing each of the five graded assignments, whether it is individual or group work, its due date, and its percentage of the course grade. All five assignments are individual and each is worth twenty percent."/>
      </w:tblPr>
      <w:tblGrid>
        <w:gridCol w:w="2340"/>
        <w:gridCol w:w="2340"/>
        <w:gridCol w:w="2340"/>
        <w:gridCol w:w="2340"/>
      </w:tblGrid>
      <w:tr>
        <w:trPr>
          <w:tblHeader w:val="true"/>
        </w:trPr>
        <w:tc>
          <w:tcPr>
            <w:tcW w:type="dxa" w:w="3024"/>
          </w:tcPr>
          <w:p>
            <w:pPr>
              <w:spacing w:after="40"/>
            </w:pPr>
            <w:r/>
            <w:r>
              <w:rPr>
                <w:b/>
                <w:sz w:val="22"/>
              </w:rPr>
              <w:t>Assignment</w:t>
            </w:r>
          </w:p>
        </w:tc>
        <w:tc>
          <w:tcPr>
            <w:tcW w:type="dxa" w:w="2160"/>
          </w:tcPr>
          <w:p>
            <w:pPr>
              <w:spacing w:after="40"/>
            </w:pPr>
            <w:r/>
            <w:r>
              <w:rPr>
                <w:b/>
                <w:sz w:val="22"/>
              </w:rPr>
              <w:t>Individual or group</w:t>
            </w:r>
          </w:p>
        </w:tc>
        <w:tc>
          <w:tcPr>
            <w:tcW w:type="dxa" w:w="2736"/>
          </w:tcPr>
          <w:p>
            <w:pPr>
              <w:spacing w:after="40"/>
            </w:pPr>
            <w:r/>
            <w:r>
              <w:rPr>
                <w:b/>
                <w:sz w:val="22"/>
              </w:rPr>
              <w:t>Due date</w:t>
            </w:r>
          </w:p>
        </w:tc>
        <w:tc>
          <w:tcPr>
            <w:tcW w:type="dxa" w:w="1440"/>
          </w:tcPr>
          <w:p>
            <w:pPr>
              <w:spacing w:after="40"/>
            </w:pPr>
            <w:r/>
            <w:r>
              <w:rPr>
                <w:b/>
                <w:sz w:val="22"/>
              </w:rPr>
              <w:t>Weight</w:t>
            </w:r>
          </w:p>
        </w:tc>
      </w:tr>
      <w:tr>
        <w:tc>
          <w:tcPr>
            <w:tcW w:type="dxa" w:w="3024"/>
          </w:tcPr>
          <w:p>
            <w:pPr>
              <w:spacing w:after="40"/>
            </w:pPr>
            <w:r/>
            <w:r>
              <w:rPr>
                <w:sz w:val="22"/>
              </w:rPr>
              <w:t>Values Exercise</w:t>
            </w:r>
          </w:p>
        </w:tc>
        <w:tc>
          <w:tcPr>
            <w:tcW w:type="dxa" w:w="2160"/>
          </w:tcPr>
          <w:p>
            <w:pPr>
              <w:spacing w:after="40"/>
            </w:pPr>
            <w:r/>
            <w:r>
              <w:rPr>
                <w:sz w:val="22"/>
              </w:rPr>
              <w:t>Individual</w:t>
            </w:r>
          </w:p>
        </w:tc>
        <w:tc>
          <w:tcPr>
            <w:tcW w:type="dxa" w:w="2736"/>
          </w:tcPr>
          <w:p>
            <w:pPr>
              <w:spacing w:after="40"/>
            </w:pPr>
            <w:r/>
            <w:r>
              <w:rPr>
                <w:sz w:val="22"/>
              </w:rPr>
              <w:t>Friday, September 11, 2026</w:t>
            </w:r>
          </w:p>
        </w:tc>
        <w:tc>
          <w:tcPr>
            <w:tcW w:type="dxa" w:w="1440"/>
          </w:tcPr>
          <w:p>
            <w:pPr>
              <w:spacing w:after="40"/>
            </w:pPr>
            <w:r/>
            <w:r>
              <w:rPr>
                <w:sz w:val="22"/>
              </w:rPr>
              <w:t>20%</w:t>
            </w:r>
          </w:p>
        </w:tc>
      </w:tr>
      <w:tr>
        <w:tc>
          <w:tcPr>
            <w:tcW w:type="dxa" w:w="3024"/>
          </w:tcPr>
          <w:p>
            <w:pPr>
              <w:spacing w:after="40"/>
            </w:pPr>
            <w:r/>
            <w:r>
              <w:rPr>
                <w:sz w:val="22"/>
              </w:rPr>
              <w:t>Exam 1</w:t>
            </w:r>
          </w:p>
        </w:tc>
        <w:tc>
          <w:tcPr>
            <w:tcW w:type="dxa" w:w="2160"/>
          </w:tcPr>
          <w:p>
            <w:pPr>
              <w:spacing w:after="40"/>
            </w:pPr>
            <w:r/>
            <w:r>
              <w:rPr>
                <w:sz w:val="22"/>
              </w:rPr>
              <w:t>Individual</w:t>
            </w:r>
          </w:p>
        </w:tc>
        <w:tc>
          <w:tcPr>
            <w:tcW w:type="dxa" w:w="2736"/>
          </w:tcPr>
          <w:p>
            <w:pPr>
              <w:spacing w:after="40"/>
            </w:pPr>
            <w:r/>
            <w:r>
              <w:rPr>
                <w:sz w:val="22"/>
              </w:rPr>
              <w:t>Friday, October 9, 2026</w:t>
            </w:r>
          </w:p>
        </w:tc>
        <w:tc>
          <w:tcPr>
            <w:tcW w:type="dxa" w:w="1440"/>
          </w:tcPr>
          <w:p>
            <w:pPr>
              <w:spacing w:after="40"/>
            </w:pPr>
            <w:r/>
            <w:r>
              <w:rPr>
                <w:sz w:val="22"/>
              </w:rPr>
              <w:t>20%</w:t>
            </w:r>
          </w:p>
        </w:tc>
      </w:tr>
      <w:tr>
        <w:tc>
          <w:tcPr>
            <w:tcW w:type="dxa" w:w="3024"/>
          </w:tcPr>
          <w:p>
            <w:pPr>
              <w:spacing w:after="40"/>
            </w:pPr>
            <w:r/>
            <w:r>
              <w:rPr>
                <w:sz w:val="22"/>
              </w:rPr>
              <w:t>Exam 2</w:t>
            </w:r>
          </w:p>
        </w:tc>
        <w:tc>
          <w:tcPr>
            <w:tcW w:type="dxa" w:w="2160"/>
          </w:tcPr>
          <w:p>
            <w:pPr>
              <w:spacing w:after="40"/>
            </w:pPr>
            <w:r/>
            <w:r>
              <w:rPr>
                <w:sz w:val="22"/>
              </w:rPr>
              <w:t>Individual</w:t>
            </w:r>
          </w:p>
        </w:tc>
        <w:tc>
          <w:tcPr>
            <w:tcW w:type="dxa" w:w="2736"/>
          </w:tcPr>
          <w:p>
            <w:pPr>
              <w:spacing w:after="40"/>
            </w:pPr>
            <w:r/>
            <w:r>
              <w:rPr>
                <w:sz w:val="22"/>
              </w:rPr>
              <w:t>Friday, October 30, 2026</w:t>
            </w:r>
          </w:p>
        </w:tc>
        <w:tc>
          <w:tcPr>
            <w:tcW w:type="dxa" w:w="1440"/>
          </w:tcPr>
          <w:p>
            <w:pPr>
              <w:spacing w:after="40"/>
            </w:pPr>
            <w:r/>
            <w:r>
              <w:rPr>
                <w:sz w:val="22"/>
              </w:rPr>
              <w:t>20%</w:t>
            </w:r>
          </w:p>
        </w:tc>
      </w:tr>
      <w:tr>
        <w:tc>
          <w:tcPr>
            <w:tcW w:type="dxa" w:w="3024"/>
          </w:tcPr>
          <w:p>
            <w:pPr>
              <w:spacing w:after="40"/>
            </w:pPr>
            <w:r/>
            <w:r>
              <w:rPr>
                <w:sz w:val="22"/>
              </w:rPr>
              <w:t>Reflection Essay 1</w:t>
            </w:r>
          </w:p>
        </w:tc>
        <w:tc>
          <w:tcPr>
            <w:tcW w:type="dxa" w:w="2160"/>
          </w:tcPr>
          <w:p>
            <w:pPr>
              <w:spacing w:after="40"/>
            </w:pPr>
            <w:r/>
            <w:r>
              <w:rPr>
                <w:sz w:val="22"/>
              </w:rPr>
              <w:t>Individual</w:t>
            </w:r>
          </w:p>
        </w:tc>
        <w:tc>
          <w:tcPr>
            <w:tcW w:type="dxa" w:w="2736"/>
          </w:tcPr>
          <w:p>
            <w:pPr>
              <w:spacing w:after="40"/>
            </w:pPr>
            <w:r/>
            <w:r>
              <w:rPr>
                <w:sz w:val="22"/>
              </w:rPr>
              <w:t>Friday, November 13, 2026</w:t>
            </w:r>
          </w:p>
        </w:tc>
        <w:tc>
          <w:tcPr>
            <w:tcW w:type="dxa" w:w="1440"/>
          </w:tcPr>
          <w:p>
            <w:pPr>
              <w:spacing w:after="40"/>
            </w:pPr>
            <w:r/>
            <w:r>
              <w:rPr>
                <w:sz w:val="22"/>
              </w:rPr>
              <w:t>20%</w:t>
            </w:r>
          </w:p>
        </w:tc>
      </w:tr>
      <w:tr>
        <w:tc>
          <w:tcPr>
            <w:tcW w:type="dxa" w:w="3024"/>
          </w:tcPr>
          <w:p>
            <w:pPr>
              <w:spacing w:after="40"/>
            </w:pPr>
            <w:r/>
            <w:r>
              <w:rPr>
                <w:sz w:val="22"/>
              </w:rPr>
              <w:t>Reflection Essay 2</w:t>
            </w:r>
          </w:p>
        </w:tc>
        <w:tc>
          <w:tcPr>
            <w:tcW w:type="dxa" w:w="2160"/>
          </w:tcPr>
          <w:p>
            <w:pPr>
              <w:spacing w:after="40"/>
            </w:pPr>
            <w:r/>
            <w:r>
              <w:rPr>
                <w:sz w:val="22"/>
              </w:rPr>
              <w:t>Individual</w:t>
            </w:r>
          </w:p>
        </w:tc>
        <w:tc>
          <w:tcPr>
            <w:tcW w:type="dxa" w:w="2736"/>
          </w:tcPr>
          <w:p>
            <w:pPr>
              <w:spacing w:after="40"/>
            </w:pPr>
            <w:r/>
            <w:r>
              <w:rPr>
                <w:sz w:val="22"/>
              </w:rPr>
              <w:t>Friday, December 11, 2026</w:t>
            </w:r>
          </w:p>
        </w:tc>
        <w:tc>
          <w:tcPr>
            <w:tcW w:type="dxa" w:w="1440"/>
          </w:tcPr>
          <w:p>
            <w:pPr>
              <w:spacing w:after="40"/>
            </w:pPr>
            <w:r/>
            <w:r>
              <w:rPr>
                <w:sz w:val="22"/>
              </w:rPr>
              <w:t>20%</w:t>
            </w:r>
          </w:p>
        </w:tc>
      </w:tr>
    </w:tbl>
    <w:p>
      <w:pPr>
        <w:pStyle w:val="Heading2"/>
      </w:pPr>
      <w:r>
        <w:t>Discover Your Values (20%)</w:t>
      </w:r>
    </w:p>
    <w:p>
      <w:r>
        <w:rPr>
          <w:b w:val="0"/>
          <w:i w:val="0"/>
        </w:rPr>
        <w:t>This class explores environmental health from multiple perspectives. Our personal values are a key part of understanding how we see, value, and interact with the environment. This assignment asks you to spend time thinking about your own core values. Full instructions and the rubric are attached to the assignment in Canvas.</w:t>
      </w:r>
    </w:p>
    <w:p>
      <w:r>
        <w:rPr>
          <w:b/>
          <w:i w:val="0"/>
        </w:rPr>
        <w:t>Due Friday, September 11, 2026. Individual work.</w:t>
      </w:r>
    </w:p>
    <w:p>
      <w:pPr>
        <w:pStyle w:val="Heading2"/>
      </w:pPr>
      <w:r>
        <w:t>Exams (40% total, 20% each)</w:t>
      </w:r>
    </w:p>
    <w:p>
      <w:r>
        <w:rPr>
          <w:b w:val="0"/>
          <w:i w:val="0"/>
        </w:rPr>
        <w:t>There are two exams, each worth 20% of your total grade. Both are multiple choice and are taken in Canvas. Respondus, Turnitin, or similar software may be used to authenticate your work.</w:t>
      </w:r>
    </w:p>
    <w:p>
      <w:pPr>
        <w:pStyle w:val="ListBullet"/>
      </w:pPr>
      <w:r>
        <w:t>Exam 1 - Friday, October 9, 2026. Covers Introduction to Environmental Health, Water, Land, and Air.</w:t>
      </w:r>
    </w:p>
    <w:p>
      <w:pPr>
        <w:pStyle w:val="ListBullet"/>
      </w:pPr>
      <w:r>
        <w:t>Exam 2 - Friday, October 30, 2026. Covers Causes of Climate Change through Sustainability.</w:t>
      </w:r>
    </w:p>
    <w:p>
      <w:r>
        <w:rPr>
          <w:b/>
          <w:i w:val="0"/>
        </w:rPr>
        <w:t>There is no final exam in this course.</w:t>
      </w:r>
    </w:p>
    <w:p>
      <w:pPr>
        <w:pStyle w:val="Heading2"/>
      </w:pPr>
      <w:r>
        <w:t>Reflection Essays (40% total, 20% each)</w:t>
      </w:r>
    </w:p>
    <w:p>
      <w:r>
        <w:rPr>
          <w:b/>
          <w:i w:val="0"/>
        </w:rPr>
        <w:t>Personal Reflections on Environmental Interconnectedness.</w:t>
      </w:r>
    </w:p>
    <w:p>
      <w:r>
        <w:rPr>
          <w:b w:val="0"/>
          <w:i w:val="0"/>
        </w:rPr>
        <w:t>There are two reflection essays, each worth 20% of your grade. These assignments aim to deepen your understanding of the intricate relationship between human life and the environment. You are encouraged to reflect critically on how the concepts presented in the class might influence your thinking, your lifelong learning, and your personal relationship with the environment.</w:t>
      </w:r>
    </w:p>
    <w:p>
      <w:r>
        <w:rPr>
          <w:b w:val="0"/>
          <w:i w:val="0"/>
        </w:rPr>
        <w:t>Each essay has detailed instructions and a rubric attached in Canvas. Read them carefully before you begin.</w:t>
      </w:r>
    </w:p>
    <w:p>
      <w:pPr>
        <w:pStyle w:val="ListBullet"/>
      </w:pPr>
      <w:r>
        <w:t>Essay 1 - due Friday, November 13, 2026. Individual work.</w:t>
      </w:r>
    </w:p>
    <w:p>
      <w:pPr>
        <w:pStyle w:val="ListBullet"/>
      </w:pPr>
      <w:r>
        <w:t>Essay 2 - due Friday, December 11, 2026. Individual work. This is the culminating activity for the course.</w:t>
      </w:r>
    </w:p>
    <w:p>
      <w:pPr>
        <w:pStyle w:val="Heading1"/>
      </w:pPr>
      <w:r>
        <w:t>Grading Policy, Standards, and Criteria</w:t>
      </w:r>
    </w:p>
    <w:p>
      <w:pPr>
        <w:pStyle w:val="Heading2"/>
      </w:pPr>
      <w:r>
        <w:t>Grade Breakdown</w:t>
      </w:r>
    </w:p>
    <w:tbl>
      <w:tblPr>
        <w:tblStyle w:val="TableGrid"/>
        <w:tblW w:type="auto" w:w="0"/>
        <w:jc w:val="left"/>
        <w:tblLayout w:type="autofit"/>
        <w:tblLook w:firstColumn="0" w:firstRow="1" w:lastColumn="0" w:lastRow="0" w:noHBand="0" w:noVBand="1" w:val="04A0"/>
        <w:tblCaption w:val="Grade Breakdown"/>
        <w:tblDescription w:val="Two-column table showing how the course grade is weighted: Values Exercise twenty percent, two exams forty percent combined, two reflection essays forty percent combined, totalling one hundred percent."/>
      </w:tblPr>
      <w:tblGrid>
        <w:gridCol w:w="4680"/>
        <w:gridCol w:w="4680"/>
      </w:tblGrid>
      <w:tr>
        <w:trPr>
          <w:tblHeader w:val="true"/>
        </w:trPr>
        <w:tc>
          <w:tcPr>
            <w:tcW w:type="dxa" w:w="6336"/>
          </w:tcPr>
          <w:p>
            <w:pPr>
              <w:spacing w:after="40"/>
            </w:pPr>
            <w:r/>
            <w:r>
              <w:rPr>
                <w:b/>
                <w:sz w:val="22"/>
              </w:rPr>
              <w:t>Assignment</w:t>
            </w:r>
          </w:p>
        </w:tc>
        <w:tc>
          <w:tcPr>
            <w:tcW w:type="dxa" w:w="3024"/>
          </w:tcPr>
          <w:p>
            <w:pPr>
              <w:spacing w:after="40"/>
            </w:pPr>
            <w:r/>
            <w:r>
              <w:rPr>
                <w:b/>
                <w:sz w:val="22"/>
              </w:rPr>
              <w:t>Weight</w:t>
            </w:r>
          </w:p>
        </w:tc>
      </w:tr>
      <w:tr>
        <w:tc>
          <w:tcPr>
            <w:tcW w:type="dxa" w:w="6336"/>
          </w:tcPr>
          <w:p>
            <w:pPr>
              <w:spacing w:after="40"/>
            </w:pPr>
            <w:r/>
            <w:r>
              <w:rPr>
                <w:sz w:val="22"/>
              </w:rPr>
              <w:t>Values Exercise</w:t>
            </w:r>
          </w:p>
        </w:tc>
        <w:tc>
          <w:tcPr>
            <w:tcW w:type="dxa" w:w="3024"/>
          </w:tcPr>
          <w:p>
            <w:pPr>
              <w:spacing w:after="40"/>
            </w:pPr>
            <w:r/>
            <w:r>
              <w:rPr>
                <w:sz w:val="22"/>
              </w:rPr>
              <w:t>20%</w:t>
            </w:r>
          </w:p>
        </w:tc>
      </w:tr>
      <w:tr>
        <w:tc>
          <w:tcPr>
            <w:tcW w:type="dxa" w:w="6336"/>
          </w:tcPr>
          <w:p>
            <w:pPr>
              <w:spacing w:after="40"/>
            </w:pPr>
            <w:r/>
            <w:r>
              <w:rPr>
                <w:sz w:val="22"/>
              </w:rPr>
              <w:t>Exams (2, at 20% each)</w:t>
            </w:r>
          </w:p>
        </w:tc>
        <w:tc>
          <w:tcPr>
            <w:tcW w:type="dxa" w:w="3024"/>
          </w:tcPr>
          <w:p>
            <w:pPr>
              <w:spacing w:after="40"/>
            </w:pPr>
            <w:r/>
            <w:r>
              <w:rPr>
                <w:sz w:val="22"/>
              </w:rPr>
              <w:t>40%</w:t>
            </w:r>
          </w:p>
        </w:tc>
      </w:tr>
      <w:tr>
        <w:tc>
          <w:tcPr>
            <w:tcW w:type="dxa" w:w="6336"/>
          </w:tcPr>
          <w:p>
            <w:pPr>
              <w:spacing w:after="40"/>
            </w:pPr>
            <w:r/>
            <w:r>
              <w:rPr>
                <w:sz w:val="22"/>
              </w:rPr>
              <w:t>Reflection Essays (2, at 20% each)</w:t>
            </w:r>
          </w:p>
        </w:tc>
        <w:tc>
          <w:tcPr>
            <w:tcW w:type="dxa" w:w="3024"/>
          </w:tcPr>
          <w:p>
            <w:pPr>
              <w:spacing w:after="40"/>
            </w:pPr>
            <w:r/>
            <w:r>
              <w:rPr>
                <w:sz w:val="22"/>
              </w:rPr>
              <w:t>40%</w:t>
            </w:r>
          </w:p>
        </w:tc>
      </w:tr>
      <w:tr>
        <w:tc>
          <w:tcPr>
            <w:tcW w:type="dxa" w:w="6336"/>
          </w:tcPr>
          <w:p>
            <w:pPr>
              <w:spacing w:after="40"/>
            </w:pPr>
            <w:r/>
            <w:r>
              <w:rPr>
                <w:sz w:val="22"/>
              </w:rPr>
              <w:t>Total</w:t>
            </w:r>
          </w:p>
        </w:tc>
        <w:tc>
          <w:tcPr>
            <w:tcW w:type="dxa" w:w="3024"/>
          </w:tcPr>
          <w:p>
            <w:pPr>
              <w:spacing w:after="40"/>
            </w:pPr>
            <w:r/>
            <w:r>
              <w:rPr>
                <w:sz w:val="22"/>
              </w:rPr>
              <w:t>100%</w:t>
            </w:r>
          </w:p>
        </w:tc>
      </w:tr>
    </w:tbl>
    <w:p>
      <w:pPr>
        <w:pStyle w:val="Heading2"/>
      </w:pPr>
      <w:r>
        <w:t>Grading Scale</w:t>
      </w:r>
    </w:p>
    <w:p>
      <w:r>
        <w:rPr>
          <w:b/>
          <w:i w:val="0"/>
        </w:rPr>
        <w:t>This course uses plus/minus (+/-) grading.</w:t>
      </w:r>
      <w:r>
        <w:rPr>
          <w:b w:val="0"/>
          <w:i w:val="0"/>
        </w:rPr>
        <w:t xml:space="preserve"> Final percentages are rounded to the nearest tenth of a point and assigned as follows.</w:t>
      </w:r>
    </w:p>
    <w:tbl>
      <w:tblPr>
        <w:tblStyle w:val="TableGrid"/>
        <w:tblW w:type="auto" w:w="0"/>
        <w:jc w:val="left"/>
        <w:tblLayout w:type="autofit"/>
        <w:tblLook w:firstColumn="0" w:firstRow="1" w:lastColumn="0" w:lastRow="0" w:noHBand="0" w:noVBand="1" w:val="04A0"/>
        <w:tblCaption w:val="Grading Scale"/>
        <w:tblDescription w:val="Two-column table giving the percentage range for each letter grade from A down to F. Plus and minus grades are used."/>
      </w:tblPr>
      <w:tblGrid>
        <w:gridCol w:w="4680"/>
        <w:gridCol w:w="4680"/>
      </w:tblGrid>
      <w:tr>
        <w:trPr>
          <w:tblHeader w:val="true"/>
        </w:trPr>
        <w:tc>
          <w:tcPr>
            <w:tcW w:type="dxa" w:w="2880"/>
          </w:tcPr>
          <w:p>
            <w:pPr>
              <w:spacing w:after="40"/>
            </w:pPr>
            <w:r/>
            <w:r>
              <w:rPr>
                <w:b/>
                <w:sz w:val="22"/>
              </w:rPr>
              <w:t>Letter grade</w:t>
            </w:r>
          </w:p>
        </w:tc>
        <w:tc>
          <w:tcPr>
            <w:tcW w:type="dxa" w:w="6480"/>
          </w:tcPr>
          <w:p>
            <w:pPr>
              <w:spacing w:after="40"/>
            </w:pPr>
            <w:r/>
            <w:r>
              <w:rPr>
                <w:b/>
                <w:sz w:val="22"/>
              </w:rPr>
              <w:t>Percentage earned</w:t>
            </w:r>
          </w:p>
        </w:tc>
      </w:tr>
      <w:tr>
        <w:tc>
          <w:tcPr>
            <w:tcW w:type="dxa" w:w="2880"/>
          </w:tcPr>
          <w:p>
            <w:pPr>
              <w:spacing w:after="40"/>
            </w:pPr>
            <w:r/>
            <w:r>
              <w:rPr>
                <w:sz w:val="22"/>
              </w:rPr>
              <w:t>A</w:t>
            </w:r>
          </w:p>
        </w:tc>
        <w:tc>
          <w:tcPr>
            <w:tcW w:type="dxa" w:w="6480"/>
          </w:tcPr>
          <w:p>
            <w:pPr>
              <w:spacing w:after="40"/>
            </w:pPr>
            <w:r/>
            <w:r>
              <w:rPr>
                <w:sz w:val="22"/>
              </w:rPr>
              <w:t>93.0 - 100%</w:t>
            </w:r>
          </w:p>
        </w:tc>
      </w:tr>
      <w:tr>
        <w:tc>
          <w:tcPr>
            <w:tcW w:type="dxa" w:w="2880"/>
          </w:tcPr>
          <w:p>
            <w:pPr>
              <w:spacing w:after="40"/>
            </w:pPr>
            <w:r/>
            <w:r>
              <w:rPr>
                <w:sz w:val="22"/>
              </w:rPr>
              <w:t>A-</w:t>
            </w:r>
          </w:p>
        </w:tc>
        <w:tc>
          <w:tcPr>
            <w:tcW w:type="dxa" w:w="6480"/>
          </w:tcPr>
          <w:p>
            <w:pPr>
              <w:spacing w:after="40"/>
            </w:pPr>
            <w:r/>
            <w:r>
              <w:rPr>
                <w:sz w:val="22"/>
              </w:rPr>
              <w:t>90.0 - 92.9%</w:t>
            </w:r>
          </w:p>
        </w:tc>
      </w:tr>
      <w:tr>
        <w:tc>
          <w:tcPr>
            <w:tcW w:type="dxa" w:w="2880"/>
          </w:tcPr>
          <w:p>
            <w:pPr>
              <w:spacing w:after="40"/>
            </w:pPr>
            <w:r/>
            <w:r>
              <w:rPr>
                <w:sz w:val="22"/>
              </w:rPr>
              <w:t>B+</w:t>
            </w:r>
          </w:p>
        </w:tc>
        <w:tc>
          <w:tcPr>
            <w:tcW w:type="dxa" w:w="6480"/>
          </w:tcPr>
          <w:p>
            <w:pPr>
              <w:spacing w:after="40"/>
            </w:pPr>
            <w:r/>
            <w:r>
              <w:rPr>
                <w:sz w:val="22"/>
              </w:rPr>
              <w:t>87.0 - 89.9%</w:t>
            </w:r>
          </w:p>
        </w:tc>
      </w:tr>
      <w:tr>
        <w:tc>
          <w:tcPr>
            <w:tcW w:type="dxa" w:w="2880"/>
          </w:tcPr>
          <w:p>
            <w:pPr>
              <w:spacing w:after="40"/>
            </w:pPr>
            <w:r/>
            <w:r>
              <w:rPr>
                <w:sz w:val="22"/>
              </w:rPr>
              <w:t>B</w:t>
            </w:r>
          </w:p>
        </w:tc>
        <w:tc>
          <w:tcPr>
            <w:tcW w:type="dxa" w:w="6480"/>
          </w:tcPr>
          <w:p>
            <w:pPr>
              <w:spacing w:after="40"/>
            </w:pPr>
            <w:r/>
            <w:r>
              <w:rPr>
                <w:sz w:val="22"/>
              </w:rPr>
              <w:t>83.0 - 86.9%</w:t>
            </w:r>
          </w:p>
        </w:tc>
      </w:tr>
      <w:tr>
        <w:tc>
          <w:tcPr>
            <w:tcW w:type="dxa" w:w="2880"/>
          </w:tcPr>
          <w:p>
            <w:pPr>
              <w:spacing w:after="40"/>
            </w:pPr>
            <w:r/>
            <w:r>
              <w:rPr>
                <w:sz w:val="22"/>
              </w:rPr>
              <w:t>B-</w:t>
            </w:r>
          </w:p>
        </w:tc>
        <w:tc>
          <w:tcPr>
            <w:tcW w:type="dxa" w:w="6480"/>
          </w:tcPr>
          <w:p>
            <w:pPr>
              <w:spacing w:after="40"/>
            </w:pPr>
            <w:r/>
            <w:r>
              <w:rPr>
                <w:sz w:val="22"/>
              </w:rPr>
              <w:t>80.0 - 82.9%</w:t>
            </w:r>
          </w:p>
        </w:tc>
      </w:tr>
      <w:tr>
        <w:tc>
          <w:tcPr>
            <w:tcW w:type="dxa" w:w="2880"/>
          </w:tcPr>
          <w:p>
            <w:pPr>
              <w:spacing w:after="40"/>
            </w:pPr>
            <w:r/>
            <w:r>
              <w:rPr>
                <w:sz w:val="22"/>
              </w:rPr>
              <w:t>C+</w:t>
            </w:r>
          </w:p>
        </w:tc>
        <w:tc>
          <w:tcPr>
            <w:tcW w:type="dxa" w:w="6480"/>
          </w:tcPr>
          <w:p>
            <w:pPr>
              <w:spacing w:after="40"/>
            </w:pPr>
            <w:r/>
            <w:r>
              <w:rPr>
                <w:sz w:val="22"/>
              </w:rPr>
              <w:t>77.0 - 79.9%</w:t>
            </w:r>
          </w:p>
        </w:tc>
      </w:tr>
      <w:tr>
        <w:tc>
          <w:tcPr>
            <w:tcW w:type="dxa" w:w="2880"/>
          </w:tcPr>
          <w:p>
            <w:pPr>
              <w:spacing w:after="40"/>
            </w:pPr>
            <w:r/>
            <w:r>
              <w:rPr>
                <w:sz w:val="22"/>
              </w:rPr>
              <w:t>C</w:t>
            </w:r>
          </w:p>
        </w:tc>
        <w:tc>
          <w:tcPr>
            <w:tcW w:type="dxa" w:w="6480"/>
          </w:tcPr>
          <w:p>
            <w:pPr>
              <w:spacing w:after="40"/>
            </w:pPr>
            <w:r/>
            <w:r>
              <w:rPr>
                <w:sz w:val="22"/>
              </w:rPr>
              <w:t>73.0 - 76.9%</w:t>
            </w:r>
          </w:p>
        </w:tc>
      </w:tr>
      <w:tr>
        <w:tc>
          <w:tcPr>
            <w:tcW w:type="dxa" w:w="2880"/>
          </w:tcPr>
          <w:p>
            <w:pPr>
              <w:spacing w:after="40"/>
            </w:pPr>
            <w:r/>
            <w:r>
              <w:rPr>
                <w:sz w:val="22"/>
              </w:rPr>
              <w:t>C-</w:t>
            </w:r>
          </w:p>
        </w:tc>
        <w:tc>
          <w:tcPr>
            <w:tcW w:type="dxa" w:w="6480"/>
          </w:tcPr>
          <w:p>
            <w:pPr>
              <w:spacing w:after="40"/>
            </w:pPr>
            <w:r/>
            <w:r>
              <w:rPr>
                <w:sz w:val="22"/>
              </w:rPr>
              <w:t>70.0 - 72.9%</w:t>
            </w:r>
          </w:p>
        </w:tc>
      </w:tr>
      <w:tr>
        <w:tc>
          <w:tcPr>
            <w:tcW w:type="dxa" w:w="2880"/>
          </w:tcPr>
          <w:p>
            <w:pPr>
              <w:spacing w:after="40"/>
            </w:pPr>
            <w:r/>
            <w:r>
              <w:rPr>
                <w:sz w:val="22"/>
              </w:rPr>
              <w:t>D+</w:t>
            </w:r>
          </w:p>
        </w:tc>
        <w:tc>
          <w:tcPr>
            <w:tcW w:type="dxa" w:w="6480"/>
          </w:tcPr>
          <w:p>
            <w:pPr>
              <w:spacing w:after="40"/>
            </w:pPr>
            <w:r/>
            <w:r>
              <w:rPr>
                <w:sz w:val="22"/>
              </w:rPr>
              <w:t>67.0 - 69.9%</w:t>
            </w:r>
          </w:p>
        </w:tc>
      </w:tr>
      <w:tr>
        <w:tc>
          <w:tcPr>
            <w:tcW w:type="dxa" w:w="2880"/>
          </w:tcPr>
          <w:p>
            <w:pPr>
              <w:spacing w:after="40"/>
            </w:pPr>
            <w:r/>
            <w:r>
              <w:rPr>
                <w:sz w:val="22"/>
              </w:rPr>
              <w:t>D</w:t>
            </w:r>
          </w:p>
        </w:tc>
        <w:tc>
          <w:tcPr>
            <w:tcW w:type="dxa" w:w="6480"/>
          </w:tcPr>
          <w:p>
            <w:pPr>
              <w:spacing w:after="40"/>
            </w:pPr>
            <w:r/>
            <w:r>
              <w:rPr>
                <w:sz w:val="22"/>
              </w:rPr>
              <w:t>63.0 - 66.9%</w:t>
            </w:r>
          </w:p>
        </w:tc>
      </w:tr>
      <w:tr>
        <w:tc>
          <w:tcPr>
            <w:tcW w:type="dxa" w:w="2880"/>
          </w:tcPr>
          <w:p>
            <w:pPr>
              <w:spacing w:after="40"/>
            </w:pPr>
            <w:r/>
            <w:r>
              <w:rPr>
                <w:sz w:val="22"/>
              </w:rPr>
              <w:t>D-</w:t>
            </w:r>
          </w:p>
        </w:tc>
        <w:tc>
          <w:tcPr>
            <w:tcW w:type="dxa" w:w="6480"/>
          </w:tcPr>
          <w:p>
            <w:pPr>
              <w:spacing w:after="40"/>
            </w:pPr>
            <w:r/>
            <w:r>
              <w:rPr>
                <w:sz w:val="22"/>
              </w:rPr>
              <w:t>60.0 - 62.9%</w:t>
            </w:r>
          </w:p>
        </w:tc>
      </w:tr>
      <w:tr>
        <w:tc>
          <w:tcPr>
            <w:tcW w:type="dxa" w:w="2880"/>
          </w:tcPr>
          <w:p>
            <w:pPr>
              <w:spacing w:after="40"/>
            </w:pPr>
            <w:r/>
            <w:r>
              <w:rPr>
                <w:sz w:val="22"/>
              </w:rPr>
              <w:t>F</w:t>
            </w:r>
          </w:p>
        </w:tc>
        <w:tc>
          <w:tcPr>
            <w:tcW w:type="dxa" w:w="6480"/>
          </w:tcPr>
          <w:p>
            <w:pPr>
              <w:spacing w:after="40"/>
            </w:pPr>
            <w:r/>
            <w:r>
              <w:rPr>
                <w:sz w:val="22"/>
              </w:rPr>
              <w:t>Below 60.0%</w:t>
            </w:r>
          </w:p>
        </w:tc>
      </w:tr>
    </w:tbl>
    <w:p>
      <w:r>
        <w:rPr>
          <w:b w:val="0"/>
          <w:i w:val="0"/>
        </w:rPr>
        <w:t>Reminder: because PUBH 115 carries General Education Area E credit, a grade of D (1.0) or higher is required to meet that requirement. A grade of D- (0.7) or below will not satisfy it.</w:t>
      </w:r>
    </w:p>
    <w:p>
      <w:pPr>
        <w:pStyle w:val="Heading2"/>
      </w:pPr>
      <w:r>
        <w:t>Attendance</w:t>
      </w:r>
    </w:p>
    <w:p>
      <w:r>
        <w:rPr>
          <w:b w:val="0"/>
          <w:i w:val="0"/>
        </w:rPr>
        <w:t>This course has no meeting time and no attendance requirement. Your grade is based entirely on the five graded assignments listed above. Participation is not separately graded.</w:t>
      </w:r>
    </w:p>
    <w:p>
      <w:pPr>
        <w:pStyle w:val="Heading2"/>
      </w:pPr>
      <w:r>
        <w:t>Examination Dates</w:t>
      </w:r>
    </w:p>
    <w:p>
      <w:r>
        <w:rPr>
          <w:b w:val="0"/>
          <w:i w:val="0"/>
        </w:rPr>
        <w:t>Exam 1 is Friday, October 9, 2026. Exam 2 is Friday, October 30, 2026. Both are taken in Canvas during the window announced there. There is no final examination in this course; Essay 2, due December 11, is the culminating activity.</w:t>
      </w:r>
    </w:p>
    <w:p>
      <w:pPr>
        <w:pStyle w:val="Heading2"/>
      </w:pPr>
      <w:r>
        <w:t>Make-Up and Late Submission Policy</w:t>
      </w:r>
    </w:p>
    <w:p>
      <w:pPr>
        <w:pStyle w:val="ListBullet"/>
      </w:pPr>
      <w:r>
        <w:t>Exams: each student has one make-up exam opportunity for a missed exam, without needing documented justification. The make-up exam is shorter and carries a 5% score reduction. A second missed exam cannot be made up.</w:t>
      </w:r>
    </w:p>
    <w:p>
      <w:pPr>
        <w:pStyle w:val="ListBullet"/>
      </w:pPr>
      <w:r>
        <w:t>Essays and the Values Exercise: late submissions lose 5% per day, to a maximum penalty of 30%. After that the work may still be submitted for the reduced score, but no submission is accepted after grades are due.</w:t>
      </w:r>
    </w:p>
    <w:p>
      <w:pPr>
        <w:pStyle w:val="ListBullet"/>
      </w:pPr>
      <w:r>
        <w:t>Technical problems are handled under the Technical Problems policy below, not under this policy.</w:t>
      </w:r>
    </w:p>
    <w:p>
      <w:pPr>
        <w:pStyle w:val="Heading2"/>
      </w:pPr>
      <w:r>
        <w:t>Extra Credit</w:t>
      </w:r>
    </w:p>
    <w:p>
      <w:r>
        <w:rPr>
          <w:b/>
          <w:i w:val="0"/>
        </w:rPr>
        <w:t>There are no extra credit assignments in this course. No extra credit will be offered to any individual student.</w:t>
      </w:r>
    </w:p>
    <w:p>
      <w:pPr>
        <w:pStyle w:val="Heading2"/>
      </w:pPr>
      <w:r>
        <w:t>Authentication of Student Work</w:t>
      </w:r>
    </w:p>
    <w:p>
      <w:r>
        <w:rPr>
          <w:b w:val="0"/>
          <w:i w:val="0"/>
        </w:rPr>
        <w:t>Respondus, Turnitin, or similar software may be used to authenticate student work during online assessments. Submitting deliverables with content that conflicts with or is disconnected from the course materials will be treated as evidence that the submission was generated without knowledge of the course, or by the use of AI or large language models.</w:t>
      </w:r>
    </w:p>
    <w:p>
      <w:pPr>
        <w:pStyle w:val="Heading2"/>
      </w:pPr>
      <w:r>
        <w:t>WU Grades</w:t>
      </w:r>
    </w:p>
    <w:p>
      <w:r>
        <w:rPr>
          <w:b w:val="0"/>
          <w:i w:val="0"/>
        </w:rPr>
        <w:t xml:space="preserve">If you do not attempt an assignment or do not take an exam, you may receive a </w:t>
      </w:r>
      <w:r>
        <w:rPr>
          <w:b/>
          <w:i w:val="0"/>
        </w:rPr>
        <w:t>WU</w:t>
      </w:r>
      <w:r>
        <w:rPr>
          <w:b w:val="0"/>
          <w:i w:val="0"/>
        </w:rPr>
        <w:t xml:space="preserve"> (Withdrawal Unauthorized) as your course grade. A WU is calculated as an F for your GPA, but unlike an F it indicates that you did not submit work that could be evaluated. It is critical that you attempt each assignment. See the </w:t>
      </w:r>
      <w:hyperlink r:id="rId48">
        <w:r>
          <w:rPr>
            <w:rStyle w:val="Hyperlink"/>
          </w:rPr>
          <w:t xml:space="preserve">CSUF University Catalog, Grading and Academic Standards</w:t>
        </w:r>
      </w:hyperlink>
      <w:r>
        <w:rPr>
          <w:b w:val="0"/>
          <w:i w:val="0"/>
        </w:rPr>
        <w:t xml:space="preserve"> for complete details.</w:t>
      </w:r>
    </w:p>
    <w:p>
      <w:pPr>
        <w:pStyle w:val="Heading1"/>
      </w:pPr>
      <w:r>
        <w:t>Technical Problems: Reporting and Documentation</w:t>
      </w:r>
    </w:p>
    <w:p>
      <w:pPr>
        <w:pStyle w:val="Heading2"/>
      </w:pPr>
      <w:r>
        <w:t>Canvas Problems</w:t>
      </w:r>
    </w:p>
    <w:p>
      <w:r>
        <w:rPr>
          <w:b w:val="0"/>
          <w:i w:val="0"/>
        </w:rPr>
        <w:t>Issues involving Canvas access, submissions, quizzes, or grades must be reported to me immediately. After notifying me, contact campus IT Services and follow their procedures. Documentation from IT Services may be required. Canvas problems reported after a deadline, without prior notice or documentation, will not be accommodated.</w:t>
      </w:r>
    </w:p>
    <w:p>
      <w:pPr>
        <w:pStyle w:val="Heading2"/>
      </w:pPr>
      <w:r>
        <w:t>How to Report a Technical Problem</w:t>
      </w:r>
    </w:p>
    <w:p>
      <w:pPr>
        <w:pStyle w:val="ListNumber"/>
      </w:pPr>
      <w:r>
        <w:t>Email me as soon as the problem occurs - before the deadline, not after. Put your course number and section in the subject line.</w:t>
      </w:r>
    </w:p>
    <w:p>
      <w:pPr>
        <w:pStyle w:val="ListNumber"/>
      </w:pPr>
      <w:r>
        <w:t>Include a screenshot showing the error, the exact error message, and the date and time.</w:t>
      </w:r>
    </w:p>
    <w:p>
      <w:pPr>
        <w:pStyle w:val="ListNumber"/>
      </w:pPr>
      <w:r>
        <w:t>Contact the campus IT Help Desk and open a ticket. Keep the ticket number.</w:t>
      </w:r>
    </w:p>
    <w:p>
      <w:pPr>
        <w:pStyle w:val="ListNumber"/>
      </w:pPr>
      <w:r>
        <w:t>Forward me the IT Services documentation when you receive it.</w:t>
      </w:r>
    </w:p>
    <w:p>
      <w:r>
        <w:rPr>
          <w:b w:val="0"/>
          <w:i w:val="0"/>
        </w:rPr>
        <w:t>Alternative submission: if Canvas is unavailable and you have notified me before the deadline, email your file to me as a .docx or .pdf attachment. The timestamp on that email is treated as your submission time. This applies only to written assignments; exams must be rescheduled rather than submitted by email.</w:t>
      </w:r>
    </w:p>
    <w:p>
      <w:pPr>
        <w:pStyle w:val="Heading2"/>
      </w:pPr>
      <w:r>
        <w:t>Your Own Equipment</w:t>
      </w:r>
    </w:p>
    <w:p>
      <w:r>
        <w:rPr>
          <w:b w:val="0"/>
          <w:i w:val="0"/>
        </w:rPr>
        <w:t>Problems with your own computer, internet connection, software, file corruption, browser issues, time zone settings, or general device failure are not grounds for extensions or exceptions. You are expected to maintain reliable access to a functioning computer and internet connection for an online course. If your equipment fails, campus computer labs and the library are available.</w:t>
      </w:r>
    </w:p>
    <w:p>
      <w:pPr>
        <w:pStyle w:val="Heading2"/>
      </w:pPr>
      <w:r>
        <w:t>Timing and Documentation</w:t>
      </w:r>
    </w:p>
    <w:p>
      <w:r>
        <w:rPr>
          <w:b w:val="0"/>
          <w:i w:val="0"/>
        </w:rPr>
        <w:t>Technical issues must be reported as soon as they occur. Waiting until or after a deadline substantially limits what can be done. Screenshots, error messages, timestamps, or IT Services documentation may be required.</w:t>
      </w:r>
    </w:p>
    <w:p>
      <w:pPr>
        <w:pStyle w:val="Heading2"/>
      </w:pPr>
      <w:r>
        <w:t>The Bottom Line</w:t>
      </w:r>
    </w:p>
    <w:p>
      <w:r>
        <w:rPr>
          <w:b w:val="0"/>
          <w:i w:val="0"/>
        </w:rPr>
        <w:t>This is an asynchronous online course. Managing your technology is part of managing the course. Legitimate system failures will be handled fairly when reported promptly and through the correct channel. Personal technical failures remain your responsibility.</w:t>
      </w:r>
    </w:p>
    <w:p>
      <w:pPr>
        <w:pStyle w:val="Heading1"/>
      </w:pPr>
      <w:r>
        <w:t>Policy on Generative Artificial Intelligence</w:t>
      </w:r>
    </w:p>
    <w:p>
      <w:r>
        <w:rPr>
          <w:b/>
          <w:i w:val="0"/>
        </w:rPr>
        <w:t>You are strictly prohibited from using Generative AI (GenAI) or Large Language Models (LLMs) - such as ChatGPT, Gemini, Claude, Copilot, and Grok - for research or writing assignments in this course.</w:t>
      </w:r>
      <w:r>
        <w:rPr>
          <w:b w:val="0"/>
          <w:i w:val="0"/>
        </w:rPr>
        <w:t xml:space="preserve"> Any submitted work that has obviously used such tools will receive a failing grade. You are also prohibited from submitting or inputting any course material into a GenAI or LLM service, especially an online one.</w:t>
      </w:r>
    </w:p>
    <w:p>
      <w:r>
        <w:rPr>
          <w:b w:val="0"/>
          <w:i w:val="0"/>
        </w:rPr>
        <w:t>The writing assignments in this course ask you to think about what you feel about a topic. They are designed for you to reflect on your own values. AI cannot perform this task.</w:t>
      </w:r>
    </w:p>
    <w:p>
      <w:r>
        <w:rPr>
          <w:b w:val="0"/>
          <w:i w:val="0"/>
        </w:rPr>
        <w:t>There are several reasons for this policy.</w:t>
      </w:r>
    </w:p>
    <w:p>
      <w:pPr>
        <w:pStyle w:val="ListBullet"/>
      </w:pPr>
      <w:r>
        <w:t>The written assignments are designed to teach you how to think critically and reflect on your own values. This includes learning to do your own research, developing your own writing style, and being able to communicate through writing. Research, writing, and communication are thinking. You aren't thinking and you aren't learning to think critically if you aren't doing the research, writing, and communicating.</w:t>
      </w:r>
    </w:p>
    <w:p>
      <w:pPr>
        <w:pStyle w:val="ListBullet"/>
      </w:pPr>
      <w:r>
        <w:t>Do not submit any course material to an LLM. You do not have permission from the authors and creators to do so. LLMs will use submitted material to train their models, effectively taking ownership of that material.</w:t>
      </w:r>
    </w:p>
    <w:p>
      <w:pPr>
        <w:pStyle w:val="ListBullet"/>
      </w:pPr>
      <w:r>
        <w:t>LLMs are not search engines, databases, or indexes. They are systems for generating sequences of words that are statistically probable given a prompt. Use the readings provided in the course, and learn to use the library and its databases. Using AI as a search engine is bad for information verification, information literacy, and serendipity.</w:t>
      </w:r>
    </w:p>
    <w:p>
      <w:pPr>
        <w:pStyle w:val="ListBullet"/>
      </w:pPr>
      <w:r>
        <w:t>Do not turn in the output of an LLM in this course. Turn in your own work instead. I cannot express how little I care about an LLM's output to a prompt on the assignments for this course. I am, however, very interested in your writing, your thoughts, and how you answer the assignments.</w:t>
      </w:r>
    </w:p>
    <w:p>
      <w:pPr>
        <w:pStyle w:val="ListBullet"/>
      </w:pPr>
      <w:r>
        <w:t>LLMs are not intelligent. They have no reasoning capability or understanding. As purely stochastic systems they cannot differentiate between facts and falsehoods. An LLM could produce passing work for this course, but it is more likely to produce nonsensical arguments, made-up references, and plagiarized material.</w:t>
      </w:r>
    </w:p>
    <w:p>
      <w:pPr>
        <w:pStyle w:val="ListBullet"/>
      </w:pPr>
      <w:r>
        <w:t>LLMs are not reliable at summarizing documents and data. They emphasize the wrong points, include incorrect information, and disregard context.</w:t>
      </w:r>
    </w:p>
    <w:p>
      <w:pPr>
        <w:pStyle w:val="ListBullet"/>
      </w:pPr>
      <w:r>
        <w:t>GenAI and LLM systems are prejudiced in just about every way they have been tested. They reproduce and intensify biases from their training data, including racism, sexism, and homophobia.</w:t>
      </w:r>
    </w:p>
    <w:p>
      <w:pPr>
        <w:pStyle w:val="ListBullet"/>
      </w:pPr>
      <w:r>
        <w:t>GenAI and LLM systems are polluting the internet and scientific research. AI-generated papers with incorrect arguments are indexed alongside reputable sources, threatening research integrity.</w:t>
      </w:r>
    </w:p>
    <w:p>
      <w:pPr>
        <w:pStyle w:val="ListBullet"/>
      </w:pPr>
      <w:r>
        <w:t>AI companies have used information without authors' or creators' consent or compensation. AI exploits student labor by using submitted work to train products that are then sold back to universities without compensating students. I recommend you do not upload your own material to an LLM.</w:t>
      </w:r>
    </w:p>
    <w:p>
      <w:r>
        <w:rPr>
          <w:b w:val="0"/>
          <w:i w:val="0"/>
        </w:rPr>
        <w:t>Remember: in almost all cases, your writing will only ever be read by exactly two people - you and me. Is it worth risking a failing grade when you could simply produce your own work?</w:t>
      </w:r>
    </w:p>
    <w:p>
      <w:r>
        <w:rPr>
          <w:b w:val="0"/>
          <w:i w:val="0"/>
        </w:rPr>
        <w:t xml:space="preserve">The full version of this policy, with the research citations behind each point, is on the course website: </w:t>
      </w:r>
      <w:hyperlink r:id="rId49">
        <w:r>
          <w:rPr>
            <w:rStyle w:val="Hyperlink"/>
          </w:rPr>
          <w:t xml:space="preserve">PUBH 115 Grading Policy and Assignments page, AI Policy section</w:t>
        </w:r>
      </w:hyperlink>
      <w:r>
        <w:rPr>
          <w:b w:val="0"/>
          <w:i w:val="0"/>
        </w:rPr>
        <w:t xml:space="preserve">. Much of this policy text is adapted from policies by Joe McVeigh and David Murakami Wood, with my own additions and modifications, and is shared under a </w:t>
      </w:r>
      <w:hyperlink r:id="rId50">
        <w:r>
          <w:rPr>
            <w:rStyle w:val="Hyperlink"/>
          </w:rPr>
          <w:t xml:space="preserve">Creative Commons BY-NC-SA 4.0 license</w:t>
        </w:r>
      </w:hyperlink>
      <w:r>
        <w:rPr>
          <w:b w:val="0"/>
          <w:i w:val="0"/>
        </w:rPr>
        <w:t>.</w:t>
      </w:r>
    </w:p>
    <w:p>
      <w:pPr>
        <w:pStyle w:val="Heading1"/>
      </w:pPr>
      <w:r>
        <w:t>Academic Integrity and Penalties for Academic Dishonesty</w:t>
      </w:r>
    </w:p>
    <w:p>
      <w:r>
        <w:rPr>
          <w:b w:val="0"/>
          <w:i w:val="0"/>
        </w:rPr>
        <w:t>Most students hold themselves to high ethical standards. When others engage in academic misconduct, it can reduce morale and diminish the meaning of being a Titan. The following policy is intended to support everyone in the Titan community.</w:t>
      </w:r>
    </w:p>
    <w:p>
      <w:r>
        <w:rPr>
          <w:b w:val="0"/>
          <w:i w:val="0"/>
        </w:rPr>
        <w:t xml:space="preserve">California State University has a strict policy against academic fraud and dishonesty. It is the student's responsibility to adhere to the guidelines regarding academic dishonesty as set forth in the university handbook. Policies can be found at the </w:t>
      </w:r>
      <w:hyperlink r:id="rId51">
        <w:r>
          <w:rPr>
            <w:rStyle w:val="Hyperlink"/>
          </w:rPr>
          <w:t xml:space="preserve">CSUF Dean of Students, Student Conduct policies and procedures</w:t>
        </w:r>
      </w:hyperlink>
      <w:r>
        <w:rPr>
          <w:b w:val="0"/>
          <w:i w:val="0"/>
        </w:rPr>
        <w:t>. These include, but are not limited to, California Code of Regulations Title 5, Section 41301; Student Rights and Responsibilities (UPS 300.000); and the Academic Dishonesty Policy (UPS 300.021).</w:t>
      </w:r>
    </w:p>
    <w:p>
      <w:r>
        <w:rPr>
          <w:b w:val="0"/>
          <w:i w:val="0"/>
        </w:rPr>
        <w:t>The success of public health intervention relies on the public's trust in the integrity of public health workers. Every act of dishonesty undermines the potential for public health officials and their research to be trusted. Probity should be considered a requisite characteristic of all persons working in the health sciences and is expected of Titans.</w:t>
      </w:r>
    </w:p>
    <w:p>
      <w:pPr>
        <w:pStyle w:val="Heading2"/>
      </w:pPr>
      <w:r>
        <w:t>Penalties</w:t>
      </w:r>
    </w:p>
    <w:p>
      <w:r>
        <w:rPr>
          <w:b w:val="0"/>
          <w:i w:val="0"/>
        </w:rPr>
        <w:t>All assignments in this course are individual, so all penalties below apply to the individual student. There is no group work and therefore no group penalty.</w:t>
      </w:r>
    </w:p>
    <w:p>
      <w:pPr>
        <w:pStyle w:val="ListBullet"/>
      </w:pPr>
      <w:r>
        <w:t>A student who inadvertently or negligently engages in academic dishonesty will be ineligible to receive credit for the related work - that is, a zero on that assignment.</w:t>
      </w:r>
    </w:p>
    <w:p>
      <w:pPr>
        <w:pStyle w:val="ListBullet"/>
      </w:pPr>
      <w:r>
        <w:t>The student may be reassessed on all course material using a variety of modalities, including oral examination.</w:t>
      </w:r>
    </w:p>
    <w:p>
      <w:pPr>
        <w:pStyle w:val="ListBullet"/>
      </w:pPr>
      <w:r>
        <w:t>Evidence of academic dishonesty will be reported to the Dean of Students and the CSUF Student Conduct team.</w:t>
      </w:r>
    </w:p>
    <w:p>
      <w:pPr>
        <w:pStyle w:val="ListBullet"/>
      </w:pPr>
      <w:r>
        <w:t>The student will receive an F in the course upon a determination that the incident was the result of willful intent or gross negligence.</w:t>
      </w:r>
    </w:p>
    <w:p>
      <w:pPr>
        <w:pStyle w:val="ListBullet"/>
      </w:pPr>
      <w:r>
        <w:t>Submitting work generated by GenAI or an LLM, in violation of the policy above, is academic dishonesty and is subject to these penalties.</w:t>
      </w:r>
    </w:p>
    <w:p>
      <w:pPr>
        <w:pStyle w:val="Heading1"/>
      </w:pPr>
      <w:r>
        <w:t>Accessibility and Accommodations</w:t>
      </w:r>
    </w:p>
    <w:p>
      <w:r>
        <w:rPr>
          <w:b w:val="0"/>
          <w:i w:val="0"/>
        </w:rPr>
        <w:t>I want this course to be usable by every student enrolled in it. If any part of the course - a reading, a video, an exam format, a deadline structure - creates a barrier for you, tell me and we will work on it.</w:t>
      </w:r>
    </w:p>
    <w:p>
      <w:r>
        <w:rPr>
          <w:b w:val="0"/>
          <w:i w:val="0"/>
        </w:rPr>
        <w:t xml:space="preserve">Students with documented disabilities are entitled to reasonable accommodations. Register with the campus office that coordinates disability support services and provide me with your accommodation letter as early in the semester as you can, so that accommodations are in place before the first exam. Contact information and the full statement of students' rights to accommodations are on the </w:t>
      </w:r>
      <w:hyperlink r:id="rId35">
        <w:r>
          <w:rPr>
            <w:rStyle w:val="Hyperlink"/>
          </w:rPr>
          <w:t xml:space="preserve">Student Information for Course Syllabi page</w:t>
        </w:r>
      </w:hyperlink>
      <w:r>
        <w:rPr>
          <w:b w:val="0"/>
          <w:i w:val="0"/>
        </w:rPr>
        <w:t>.</w:t>
      </w:r>
    </w:p>
    <w:p>
      <w:r>
        <w:rPr>
          <w:b w:val="0"/>
          <w:i w:val="0"/>
        </w:rPr>
        <w:t>This syllabus is provided as an accessible digital document and is posted in Canvas. If you need it in another format, email me and I will provide one.</w:t>
      </w:r>
    </w:p>
    <w:p>
      <w:pPr>
        <w:pStyle w:val="Heading1"/>
      </w:pPr>
      <w:r>
        <w:t>Changes to the Course</w:t>
      </w:r>
    </w:p>
    <w:p>
      <w:r>
        <w:rPr>
          <w:b w:val="0"/>
          <w:i w:val="0"/>
        </w:rPr>
        <w:t>Adjustments may be required as the semester progresses. This syllabus and the assignments are subject to change. Any change to a major assignment or course requirement - for example, an additional paper or examination - will be announced to you in Canvas with a reasonable timetable for completion, as required by UPS 300.004.</w:t>
      </w:r>
    </w:p>
    <w:p>
      <w:r>
        <w:rPr>
          <w:b w:val="0"/>
          <w:i w:val="0"/>
        </w:rPr>
        <w:t>Announcements are made through Canvas. Check Canvas announcements regularly; in an asynchronous course they are the primary way I reach the whole class.</w:t>
      </w:r>
    </w:p>
    <w:p>
      <w:pPr>
        <w:pStyle w:val="Heading1"/>
      </w:pPr>
      <w:r>
        <w:t>Additional Student Information and Resources</w:t>
      </w:r>
    </w:p>
    <w:p>
      <w:r>
        <w:rPr>
          <w:b w:val="0"/>
          <w:i w:val="0"/>
        </w:rPr>
        <w:t xml:space="preserve">Please see the </w:t>
      </w:r>
      <w:hyperlink r:id="rId35">
        <w:r>
          <w:rPr>
            <w:rStyle w:val="Hyperlink"/>
          </w:rPr>
          <w:t xml:space="preserve">Student Information for Course Syllabi website</w:t>
        </w:r>
      </w:hyperlink>
      <w:r>
        <w:rPr>
          <w:b w:val="0"/>
          <w:i w:val="0"/>
        </w:rPr>
        <w:t xml:space="preserve"> for important additional information.</w:t>
      </w:r>
    </w:p>
    <w:p>
      <w:r>
        <w:rPr>
          <w:b w:val="0"/>
          <w:i w:val="0"/>
        </w:rPr>
        <w:t>That page links to university learning goals and program learning outcomes; the learning objectives for each General Education category; appropriate online behavior (netiquette); students' rights to accommodations for documented special needs; campus student support resources including Counseling and Psychological Services, Title IX and Gender Equity, Diversity Initiatives and Resource Centers, and Basic Needs Services; academic integrity; actions students should take in an emergency; library services; Student Information Technology Services; and software privacy and accessibility statements.</w:t>
      </w:r>
    </w:p>
    <w:p>
      <w:pPr>
        <w:spacing w:before="360"/>
      </w:pPr>
      <w:r>
        <w:rPr>
          <w:b w:val="0"/>
          <w:i/>
          <w:sz w:val="20"/>
        </w:rPr>
        <w:t>This syllabus was prepared in accordance with CSUF University Policy Statement 300.004, Policy on Syllabi, effective November 5, 2025. Last revised August 21,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1A1A1A"/>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1A1A1A"/>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B4F9E"/>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ofsmith-classes.github.io/PUBH_115/pubh115.html" TargetMode="External"/><Relationship Id="rId10" Type="http://schemas.openxmlformats.org/officeDocument/2006/relationships/hyperlink" Target="mailto:jasosmith@fullerton.edu" TargetMode="External"/><Relationship Id="rId11" Type="http://schemas.openxmlformats.org/officeDocument/2006/relationships/hyperlink" Target="tel:+16572785606" TargetMode="External"/><Relationship Id="rId12" Type="http://schemas.openxmlformats.org/officeDocument/2006/relationships/hyperlink" Target="https://doi.org/10.4324/9780203610671" TargetMode="External"/><Relationship Id="rId13" Type="http://schemas.openxmlformats.org/officeDocument/2006/relationships/hyperlink" Target="https://www.who.int/news-room/fact-sheets/detail/lead-poisoning-and-health" TargetMode="External"/><Relationship Id="rId14" Type="http://schemas.openxmlformats.org/officeDocument/2006/relationships/hyperlink" Target="https://www.youtube.com/watch?v=GYiVHh4U4pE" TargetMode="External"/><Relationship Id="rId15" Type="http://schemas.openxmlformats.org/officeDocument/2006/relationships/hyperlink" Target="https://doi.org/10.2105/AJPH.2015.303003" TargetMode="External"/><Relationship Id="rId16" Type="http://schemas.openxmlformats.org/officeDocument/2006/relationships/hyperlink" Target="https://pressbooks.uwf.edu/envrioscience/part/chapter-7-water-availability-and-use/" TargetMode="External"/><Relationship Id="rId17" Type="http://schemas.openxmlformats.org/officeDocument/2006/relationships/hyperlink" Target="https://pressbooks.uwf.edu/envrioscience/part/chapter-9-conventional-sustainable-agriculture/" TargetMode="External"/><Relationship Id="rId18" Type="http://schemas.openxmlformats.org/officeDocument/2006/relationships/hyperlink" Target="https://doi.org/10.4315/JFP-21-141" TargetMode="External"/><Relationship Id="rId19" Type="http://schemas.openxmlformats.org/officeDocument/2006/relationships/hyperlink" Target="https://pressbooks.uwf.edu/envrioscience/part/chp-10-air-pollution-climate-change-and-ozone-depletion/" TargetMode="External"/><Relationship Id="rId20" Type="http://schemas.openxmlformats.org/officeDocument/2006/relationships/hyperlink" Target="https://climateprimer.mit.edu/" TargetMode="External"/><Relationship Id="rId21" Type="http://schemas.openxmlformats.org/officeDocument/2006/relationships/hyperlink" Target="https://doi.org/10.7930/NCA5.2023.CH11" TargetMode="External"/><Relationship Id="rId22" Type="http://schemas.openxmlformats.org/officeDocument/2006/relationships/hyperlink" Target="https://vimeo.com/1108205548/51a341c0b0?share=copy" TargetMode="External"/><Relationship Id="rId23" Type="http://schemas.openxmlformats.org/officeDocument/2006/relationships/hyperlink" Target="https://www.un.org/sustainabledevelopment/" TargetMode="External"/><Relationship Id="rId24" Type="http://schemas.openxmlformats.org/officeDocument/2006/relationships/hyperlink" Target="https://www.kanopy.com/en/fullerton/video/6016074" TargetMode="External"/><Relationship Id="rId25" Type="http://schemas.openxmlformats.org/officeDocument/2006/relationships/hyperlink" Target="https://www.anthropocene-curriculum.org/contribution/the-geology-and-culture-of-the-anthropocene" TargetMode="External"/><Relationship Id="rId26" Type="http://schemas.openxmlformats.org/officeDocument/2006/relationships/hyperlink" Target="https://e360.yale.edu/features/living_in_the_anthropocene_toward_a_new_global_ethos" TargetMode="External"/><Relationship Id="rId27" Type="http://schemas.openxmlformats.org/officeDocument/2006/relationships/hyperlink" Target="https://vimeo.com/1107915009/4868e35b07?share=copy" TargetMode="External"/><Relationship Id="rId28" Type="http://schemas.openxmlformats.org/officeDocument/2006/relationships/hyperlink" Target="https://youtu.be/lw_I7rhn9eY?feature=shared" TargetMode="External"/><Relationship Id="rId29" Type="http://schemas.openxmlformats.org/officeDocument/2006/relationships/hyperlink" Target="https://youtu.be/_b2yVNkPgvM?feature=shared" TargetMode="External"/><Relationship Id="rId30" Type="http://schemas.openxmlformats.org/officeDocument/2006/relationships/hyperlink" Target="https://doi.org/10.1016/S0140-6736(15)60901-1" TargetMode="External"/><Relationship Id="rId31" Type="http://schemas.openxmlformats.org/officeDocument/2006/relationships/hyperlink" Target="https://pressbooks.uwf.edu/envrioscience/part/chapter-14-sustainability-and-urban-infrastructure/" TargetMode="External"/><Relationship Id="rId32" Type="http://schemas.openxmlformats.org/officeDocument/2006/relationships/hyperlink" Target="https://ebookcentral.proquest.com/lib/fullerton/reader.action?docID=7103425&amp;ppg=21" TargetMode="External"/><Relationship Id="rId33" Type="http://schemas.openxmlformats.org/officeDocument/2006/relationships/hyperlink" Target="https://ebookcentral.proquest.com/lib/fullerton/reader.action?docID=7103425&amp;ppg=35" TargetMode="External"/><Relationship Id="rId34" Type="http://schemas.openxmlformats.org/officeDocument/2006/relationships/hyperlink" Target="https://doi.org/10.5040/9781501377853" TargetMode="External"/><Relationship Id="rId35" Type="http://schemas.openxmlformats.org/officeDocument/2006/relationships/hyperlink" Target="https://fdc.fullerton.edu/teaching/student-info-syllabi.html" TargetMode="External"/><Relationship Id="rId36" Type="http://schemas.openxmlformats.org/officeDocument/2006/relationships/hyperlink" Target="https://csu-fullerton.alma.exlibrisgroup.com/leganto/public/01CALS_FUL/lists/11653296770002908?auth=SAML&amp;section=11653296780002908" TargetMode="External"/><Relationship Id="rId37" Type="http://schemas.openxmlformats.org/officeDocument/2006/relationships/hyperlink" Target="https://csu-fullerton.alma.exlibrisgroup.com/leganto/public/01CALS_FUL/lists/11653296770002908?auth=SAML&amp;section=11653296920002908" TargetMode="External"/><Relationship Id="rId38" Type="http://schemas.openxmlformats.org/officeDocument/2006/relationships/hyperlink" Target="https://csu-fullerton.alma.exlibrisgroup.com/leganto/public/01CALS_FUL/lists/11653296770002908?auth=SAML&amp;section=11653296940002908" TargetMode="External"/><Relationship Id="rId39" Type="http://schemas.openxmlformats.org/officeDocument/2006/relationships/hyperlink" Target="https://csu-fullerton.alma.exlibrisgroup.com/leganto/public/01CALS_FUL/lists/11653296770002908?auth=SAML&amp;section=11653296970002908" TargetMode="External"/><Relationship Id="rId40" Type="http://schemas.openxmlformats.org/officeDocument/2006/relationships/hyperlink" Target="https://csu-fullerton.alma.exlibrisgroup.com/leganto/public/01CALS_FUL/lists/11653296770002908?auth=SAML&amp;section=11653296990002908" TargetMode="External"/><Relationship Id="rId41" Type="http://schemas.openxmlformats.org/officeDocument/2006/relationships/hyperlink" Target="https://csu-fullerton.alma.exlibrisgroup.com/leganto/public/01CALS_FUL/lists/11653296770002908?auth=SAML&amp;section=11653297050002908" TargetMode="External"/><Relationship Id="rId42" Type="http://schemas.openxmlformats.org/officeDocument/2006/relationships/hyperlink" Target="https://csu-fullerton.alma.exlibrisgroup.com/leganto/public/01CALS_FUL/lists/11653296770002908?auth=SAML&amp;section=11653297160002908" TargetMode="External"/><Relationship Id="rId43" Type="http://schemas.openxmlformats.org/officeDocument/2006/relationships/hyperlink" Target="https://csu-fullerton.alma.exlibrisgroup.com/leganto/public/01CALS_FUL/lists/11653296770002908?auth=SAML&amp;section=11653297230002908" TargetMode="External"/><Relationship Id="rId44" Type="http://schemas.openxmlformats.org/officeDocument/2006/relationships/hyperlink" Target="https://csu-fullerton.alma.exlibrisgroup.com/leganto/public/01CALS_FUL/lists/11653296770002908?auth=SAML&amp;section=11653297270002908" TargetMode="External"/><Relationship Id="rId45" Type="http://schemas.openxmlformats.org/officeDocument/2006/relationships/hyperlink" Target="https://csu-fullerton.alma.exlibrisgroup.com/leganto/public/01CALS_FUL/lists/11653296770002908?auth=SAML&amp;section=11653297340002908" TargetMode="External"/><Relationship Id="rId46" Type="http://schemas.openxmlformats.org/officeDocument/2006/relationships/hyperlink" Target="https://csu-fullerton.alma.exlibrisgroup.com/leganto/public/01CALS_FUL/lists/11653296770002908?auth=SAML&amp;section=11653297380002908" TargetMode="External"/><Relationship Id="rId47" Type="http://schemas.openxmlformats.org/officeDocument/2006/relationships/hyperlink" Target="https://csu-fullerton.alma.exlibrisgroup.com/leganto/public/01CALS_FUL/lists/11653296770002908?auth=SAML&amp;section=11653297390002908" TargetMode="External"/><Relationship Id="rId48" Type="http://schemas.openxmlformats.org/officeDocument/2006/relationships/hyperlink" Target="https://catalog.fullerton.edu/content.php?catoid=80&amp;navoid=10986" TargetMode="External"/><Relationship Id="rId49" Type="http://schemas.openxmlformats.org/officeDocument/2006/relationships/hyperlink" Target="https://profsmith-classes.github.io/PUBH_115/pubh115_grading_policy_assignments.html" TargetMode="External"/><Relationship Id="rId50" Type="http://schemas.openxmlformats.org/officeDocument/2006/relationships/hyperlink" Target="https://creativecommons.org/licenses/by-nc-sa/4.0/" TargetMode="External"/><Relationship Id="rId51" Type="http://schemas.openxmlformats.org/officeDocument/2006/relationships/hyperlink" Target="http://www.fullerton.edu/deanofstudents/conduct/policies-procedur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PUBH 115 Introduction to Environmental Health and Safety - Syllabus, Fall 2026</dc:title>
  <dc:subject>Course syllabus</dc:subject>
  <dc:creator>Jason A. Smith</dc:creator>
  <cp:keywords/>
  <dc:description>Accessible course syllabus prepared in accordance with CSUF UPS 300.004, Policy on Syllabi (effective November 5, 2025).</dc:description>
  <cp:lastModifiedBy/>
  <cp:revision>1</cp:revision>
  <dcterms:created xsi:type="dcterms:W3CDTF">2013-12-23T23:15:00Z</dcterms:created>
  <dcterms:modified xsi:type="dcterms:W3CDTF">2013-12-23T23:15:00Z</dcterms:modified>
  <cp:category>Syllabus</cp:category>
  <dc:language>en-US</dc:language>
</cp:coreProperties>
</file>