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PUBH 402: Introduction to the U.S. Health Care System</w:t>
      </w:r>
    </w:p>
    <w:p>
      <w:pPr>
        <w:pStyle w:val="BodyText"/>
      </w:pPr>
      <w:r>
        <w:rPr>
          <w:b/>
          <w:bCs/>
        </w:rPr>
        <w:t xml:space="preserve">Course Syllabus | Fall 2026 | California State University, Fullerton</w:t>
      </w:r>
    </w:p>
    <w:bookmarkStart w:id="9" w:name="course-information"/>
    <w:p>
      <w:pPr>
        <w:pStyle w:val="Heading1"/>
      </w:pPr>
      <w:r>
        <w:t xml:space="preserve">Course Information</w:t>
      </w:r>
    </w:p>
    <w:tbl>
      <w:tblPr>
        <w:tblStyle w:val="Table"/>
        <w:tblW w:type="pct" w:w="5000"/>
        <w:tblLayout w:type="fixed"/>
        <w:tblLook w:firstRow="1" w:lastRow="0" w:firstColumn="0" w:lastColumn="0" w:noHBand="0" w:noVBand="0" w:val="0020"/>
        <w:tblCaption w:val="Course Information"/>
        <w:tblDescription w:val="Two-column table listing basic course facts: title, number, section, class number, units, term, modality, meeting times, prerequisites, General Education status, learning management system, and course website."/>
      </w:tblPr>
      <w:tblGrid>
        <w:gridCol w:w="3960"/>
        <w:gridCol w:w="3960"/>
      </w:tblGrid>
      <w:tr>
        <w:trPr>
          <w:tblHeader/>
          <w:tblHeader w:val="on"/>
        </w:trPr>
        <w:tc>
          <w:tcPr/>
          <w:p>
            <w:pPr>
              <w:pStyle w:val="BodyText"/>
            </w:pPr>
            <w:r>
              <w:t xml:space="preserve">Item</w:t>
            </w:r>
          </w:p>
        </w:tc>
        <w:tc>
          <w:tcPr/>
          <w:p>
            <w:pPr>
              <w:pStyle w:val="BodyText"/>
            </w:pPr>
            <w:r>
              <w:t xml:space="preserve">Detail</w:t>
            </w:r>
          </w:p>
        </w:tc>
      </w:tr>
      <w:tr>
        <w:tc>
          <w:tcPr/>
          <w:p>
            <w:pPr>
              <w:pStyle w:val="BodyText"/>
            </w:pPr>
            <w:r>
              <w:t xml:space="preserve">Course title</w:t>
            </w:r>
          </w:p>
        </w:tc>
        <w:tc>
          <w:tcPr/>
          <w:p>
            <w:pPr>
              <w:pStyle w:val="BodyText"/>
            </w:pPr>
            <w:r>
              <w:t xml:space="preserve">Introduction to the U.S. Health Care System</w:t>
            </w:r>
          </w:p>
        </w:tc>
      </w:tr>
      <w:tr>
        <w:tc>
          <w:tcPr/>
          <w:p>
            <w:pPr>
              <w:pStyle w:val="BodyText"/>
            </w:pPr>
            <w:r>
              <w:t xml:space="preserve">Course number</w:t>
            </w:r>
          </w:p>
        </w:tc>
        <w:tc>
          <w:tcPr/>
          <w:p>
            <w:pPr>
              <w:pStyle w:val="BodyText"/>
            </w:pPr>
            <w:r>
              <w:t xml:space="preserve">PUBH 402</w:t>
            </w:r>
          </w:p>
        </w:tc>
      </w:tr>
      <w:tr>
        <w:tc>
          <w:tcPr/>
          <w:p>
            <w:pPr>
              <w:pStyle w:val="BodyText"/>
            </w:pPr>
            <w:r>
              <w:t xml:space="preserve">Section</w:t>
            </w:r>
          </w:p>
        </w:tc>
        <w:tc>
          <w:tcPr/>
          <w:p>
            <w:pPr>
              <w:pStyle w:val="BodyText"/>
            </w:pPr>
            <w:r>
              <w:t xml:space="preserve">50 and 51</w:t>
            </w:r>
          </w:p>
        </w:tc>
      </w:tr>
      <w:tr>
        <w:tc>
          <w:tcPr/>
          <w:p>
            <w:pPr>
              <w:pStyle w:val="BodyText"/>
            </w:pPr>
            <w:r>
              <w:t xml:space="preserve">Class number</w:t>
            </w:r>
          </w:p>
        </w:tc>
        <w:tc>
          <w:tcPr/>
          <w:p>
            <w:pPr>
              <w:pStyle w:val="BodyText"/>
            </w:pPr>
            <w:r>
              <w:t xml:space="preserve">14791 (section 50) and 15252 (section 51)</w:t>
            </w:r>
          </w:p>
        </w:tc>
      </w:tr>
      <w:tr>
        <w:tc>
          <w:tcPr/>
          <w:p>
            <w:pPr>
              <w:pStyle w:val="BodyText"/>
            </w:pPr>
            <w:r>
              <w:t xml:space="preserve">Units</w:t>
            </w:r>
          </w:p>
        </w:tc>
        <w:tc>
          <w:tcPr/>
          <w:p>
            <w:pPr>
              <w:pStyle w:val="BodyText"/>
            </w:pPr>
            <w:r>
              <w:t xml:space="preserve">3</w:t>
            </w:r>
          </w:p>
        </w:tc>
      </w:tr>
      <w:tr>
        <w:tc>
          <w:tcPr/>
          <w:p>
            <w:pPr>
              <w:pStyle w:val="BodyText"/>
            </w:pPr>
            <w:r>
              <w:t xml:space="preserve">Term</w:t>
            </w:r>
          </w:p>
        </w:tc>
        <w:tc>
          <w:tcPr/>
          <w:p>
            <w:pPr>
              <w:pStyle w:val="BodyText"/>
            </w:pPr>
            <w:r>
              <w:t xml:space="preserve">Fall 2026 (August 24 - December 19, 2026)</w:t>
            </w:r>
          </w:p>
        </w:tc>
      </w:tr>
      <w:tr>
        <w:tc>
          <w:tcPr/>
          <w:p>
            <w:pPr>
              <w:pStyle w:val="BodyText"/>
            </w:pPr>
            <w:r>
              <w:t xml:space="preserve">Modality</w:t>
            </w:r>
          </w:p>
        </w:tc>
        <w:tc>
          <w:tcPr/>
          <w:p>
            <w:pPr>
              <w:pStyle w:val="BodyText"/>
            </w:pPr>
            <w:r>
              <w:t xml:space="preserve">Fully online, asynchronous</w:t>
            </w:r>
          </w:p>
        </w:tc>
      </w:tr>
      <w:tr>
        <w:tc>
          <w:tcPr/>
          <w:p>
            <w:pPr>
              <w:pStyle w:val="BodyText"/>
            </w:pPr>
            <w:r>
              <w:t xml:space="preserve">Meeting times and dates</w:t>
            </w:r>
          </w:p>
        </w:tc>
        <w:tc>
          <w:tcPr/>
          <w:p>
            <w:pPr>
              <w:pStyle w:val="BodyText"/>
            </w:pPr>
            <w:r>
              <w:t xml:space="preserve">None. This course has no scheduled class meetings, in person or on Zoom. All work is completed online, on your own schedule, within the weekly deadlines given in the Course Calendar below.</w:t>
            </w:r>
          </w:p>
        </w:tc>
      </w:tr>
      <w:tr>
        <w:tc>
          <w:tcPr/>
          <w:p>
            <w:pPr>
              <w:pStyle w:val="BodyText"/>
            </w:pPr>
            <w:r>
              <w:t xml:space="preserve">Prerequisites</w:t>
            </w:r>
          </w:p>
        </w:tc>
        <w:tc>
          <w:tcPr/>
          <w:p>
            <w:pPr>
              <w:pStyle w:val="BodyText"/>
            </w:pPr>
            <w:r>
              <w:t xml:space="preserve">PUBH 320 or graduate standing</w:t>
            </w:r>
          </w:p>
        </w:tc>
      </w:tr>
      <w:tr>
        <w:tc>
          <w:tcPr/>
          <w:p>
            <w:pPr>
              <w:pStyle w:val="BodyText"/>
            </w:pPr>
            <w:r>
              <w:t xml:space="preserve">General Education</w:t>
            </w:r>
          </w:p>
        </w:tc>
        <w:tc>
          <w:tcPr/>
          <w:p>
            <w:pPr>
              <w:pStyle w:val="BodyText"/>
            </w:pPr>
            <w:r>
              <w:t xml:space="preserve">This course does not carry General Education credit.</w:t>
            </w:r>
          </w:p>
        </w:tc>
      </w:tr>
      <w:tr>
        <w:tc>
          <w:tcPr/>
          <w:p>
            <w:pPr>
              <w:pStyle w:val="BodyText"/>
            </w:pPr>
            <w:r>
              <w:t xml:space="preserve">Learning management system</w:t>
            </w:r>
          </w:p>
        </w:tc>
        <w:tc>
          <w:tcPr/>
          <w:p>
            <w:pPr>
              <w:pStyle w:val="BodyText"/>
            </w:pPr>
            <w:r>
              <w:t xml:space="preserve">Canvas. All assignments are submitted in Canvas and all grades are posted there.</w:t>
            </w:r>
          </w:p>
        </w:tc>
      </w:tr>
      <w:tr>
        <w:tc>
          <w:tcPr/>
          <w:p>
            <w:pPr>
              <w:pStyle w:val="BodyText"/>
            </w:pPr>
            <w:r>
              <w:t xml:space="preserve">Course website</w:t>
            </w:r>
          </w:p>
        </w:tc>
        <w:tc>
          <w:tcPr/>
          <w:p>
            <w:pPr>
              <w:pStyle w:val="BodyText"/>
            </w:pPr>
            <w:r>
              <w:t xml:space="preserve">Linked in Canvas. The website holds the module pages, technical explainers, and templates used throughout the term.</w:t>
            </w:r>
          </w:p>
        </w:tc>
      </w:tr>
    </w:tbl>
    <w:bookmarkEnd w:id="9"/>
    <w:bookmarkStart w:id="12" w:name="instructor-information"/>
    <w:p>
      <w:pPr>
        <w:pStyle w:val="Heading1"/>
      </w:pPr>
      <w:r>
        <w:t xml:space="preserve">Instructor Information</w:t>
      </w:r>
    </w:p>
    <w:tbl>
      <w:tblPr>
        <w:tblStyle w:val="Table"/>
        <w:tblW w:type="pct" w:w="5000"/>
        <w:tblLayout w:type="fixed"/>
        <w:tblLook w:firstRow="1" w:lastRow="0" w:firstColumn="0" w:lastColumn="0" w:noHBand="0" w:noVBand="0" w:val="0020"/>
        <w:tblCaption w:val="Instructor Information"/>
        <w:tblDescription w:val="Two-column table listing the instructor's name, office location, telephone number, email address, office hours, and email response time."/>
      </w:tblPr>
      <w:tblGrid>
        <w:gridCol w:w="3960"/>
        <w:gridCol w:w="3960"/>
      </w:tblGrid>
      <w:tr>
        <w:trPr>
          <w:tblHeader/>
          <w:tblHeader w:val="on"/>
        </w:trPr>
        <w:tc>
          <w:tcPr/>
          <w:p>
            <w:pPr>
              <w:pStyle w:val="BodyText"/>
            </w:pPr>
            <w:r>
              <w:t xml:space="preserve">Item</w:t>
            </w:r>
          </w:p>
        </w:tc>
        <w:tc>
          <w:tcPr/>
          <w:p>
            <w:pPr>
              <w:pStyle w:val="BodyText"/>
            </w:pPr>
            <w:r>
              <w:t xml:space="preserve">Detail</w:t>
            </w:r>
          </w:p>
        </w:tc>
      </w:tr>
      <w:tr>
        <w:tc>
          <w:tcPr/>
          <w:p>
            <w:pPr>
              <w:pStyle w:val="BodyText"/>
            </w:pPr>
            <w:r>
              <w:t xml:space="preserve">Instructor</w:t>
            </w:r>
          </w:p>
        </w:tc>
        <w:tc>
          <w:tcPr/>
          <w:p>
            <w:pPr>
              <w:pStyle w:val="BodyText"/>
            </w:pPr>
            <w:r>
              <w:t xml:space="preserve">Jason A. Smith, MTS, JD</w:t>
            </w:r>
          </w:p>
        </w:tc>
      </w:tr>
      <w:tr>
        <w:tc>
          <w:tcPr/>
          <w:p>
            <w:pPr>
              <w:pStyle w:val="BodyText"/>
            </w:pPr>
            <w:r>
              <w:t xml:space="preserve">Office location</w:t>
            </w:r>
          </w:p>
        </w:tc>
        <w:tc>
          <w:tcPr/>
          <w:p>
            <w:pPr>
              <w:pStyle w:val="BodyText"/>
            </w:pPr>
            <w:r>
              <w:t xml:space="preserve">KHS 241</w:t>
            </w:r>
          </w:p>
        </w:tc>
      </w:tr>
      <w:tr>
        <w:tc>
          <w:tcPr/>
          <w:p>
            <w:pPr>
              <w:pStyle w:val="BodyText"/>
            </w:pPr>
            <w:r>
              <w:t xml:space="preserve">Telephone</w:t>
            </w:r>
          </w:p>
        </w:tc>
        <w:tc>
          <w:tcPr/>
          <w:p>
            <w:pPr>
              <w:pStyle w:val="BodyText"/>
            </w:pPr>
            <w:r>
              <w:t xml:space="preserve">+1 657-278-5606</w:t>
            </w:r>
          </w:p>
        </w:tc>
      </w:tr>
      <w:tr>
        <w:tc>
          <w:tcPr/>
          <w:p>
            <w:pPr>
              <w:pStyle w:val="BodyText"/>
            </w:pPr>
            <w:r>
              <w:t xml:space="preserve">Email</w:t>
            </w:r>
          </w:p>
        </w:tc>
        <w:tc>
          <w:tcPr/>
          <w:p>
            <w:pPr>
              <w:pStyle w:val="BodyText"/>
            </w:pPr>
            <w:r>
              <w:t xml:space="preserve">jasosmith@fullerton.edu</w:t>
            </w:r>
          </w:p>
        </w:tc>
      </w:tr>
      <w:tr>
        <w:tc>
          <w:tcPr/>
          <w:p>
            <w:pPr>
              <w:pStyle w:val="BodyText"/>
            </w:pPr>
            <w:r>
              <w:t xml:space="preserve">Office hours</w:t>
            </w:r>
          </w:p>
        </w:tc>
        <w:tc>
          <w:tcPr/>
          <w:p>
            <w:pPr>
              <w:pStyle w:val="BodyText"/>
            </w:pPr>
            <w:r>
              <w:t xml:space="preserve">Tuesday 9:00-10:30 a.m. and Wednesday 10:00-11:30 a.m. Use the Office Hours scheduling link in Canvas to reserve a time. If neither block works for you, email me and we will find another time.</w:t>
            </w:r>
          </w:p>
        </w:tc>
      </w:tr>
      <w:tr>
        <w:tc>
          <w:tcPr/>
          <w:p>
            <w:pPr>
              <w:pStyle w:val="BodyText"/>
            </w:pPr>
            <w:r>
              <w:t xml:space="preserve">Email response time</w:t>
            </w:r>
          </w:p>
        </w:tc>
        <w:tc>
          <w:tcPr/>
          <w:p>
            <w:pPr>
              <w:pStyle w:val="BodyText"/>
            </w:pPr>
            <w:r>
              <w:t xml:space="preserve">Within 48 hours. Messages sent Friday afternoon through the weekend may be answered on the next business day.</w:t>
            </w:r>
          </w:p>
        </w:tc>
      </w:tr>
    </w:tbl>
    <w:bookmarkStart w:id="10" w:name="how-to-contact-me"/>
    <w:p>
      <w:pPr>
        <w:pStyle w:val="Heading2"/>
      </w:pPr>
      <w:r>
        <w:t xml:space="preserve">How to Contact Me</w:t>
      </w:r>
    </w:p>
    <w:p>
      <w:pPr>
        <w:pStyle w:val="BodyText"/>
      </w:pPr>
      <w:r>
        <w:t xml:space="preserve">The best way to reach me is by email at jasosmith@fullerton.edu. Email me directly rather than through Canvas messages, which I do not monitor for quick response. Put the course number and your section in the subject line, for example</w:t>
      </w:r>
      <w:r>
        <w:t xml:space="preserve"> </w:t>
      </w:r>
      <w:r>
        <w:t xml:space="preserve">“PUBH 402-01 - question about the Element List.”</w:t>
      </w:r>
    </w:p>
    <w:p>
      <w:pPr>
        <w:pStyle w:val="BodyText"/>
      </w:pPr>
      <w:r>
        <w:t xml:space="preserve">Replies can take up to 48 hours. I do not use email like instant messaging or chat, and a same-day reply should not be expected. Please plan your questions accordingly, especially close to deadlines.</w:t>
      </w:r>
    </w:p>
    <w:p>
      <w:pPr>
        <w:pStyle w:val="BodyText"/>
      </w:pPr>
      <w:r>
        <w:t xml:space="preserve">Because this course never meets, email and office hours are your direct line to me. Use them early rather than after a deadline has passed.</w:t>
      </w:r>
    </w:p>
    <w:bookmarkEnd w:id="10"/>
    <w:bookmarkStart w:id="11" w:name="instructor-bio"/>
    <w:p>
      <w:pPr>
        <w:pStyle w:val="Heading2"/>
      </w:pPr>
      <w:r>
        <w:t xml:space="preserve">Instructor Bio</w:t>
      </w:r>
    </w:p>
    <w:p>
      <w:pPr>
        <w:pStyle w:val="BodyText"/>
      </w:pPr>
      <w:r>
        <w:t xml:space="preserve">I have taught in the CSU for over a decade. Before joining CSUF, I taught at CSU East Bay, the University of Connecticut School of Medicine, and Northeastern University School of Law. I earned my degree in theology from Harvard University and my law degree from Northeastern University School of Law. My scholarly interests are in public health law and bioethics, and I currently focus on the relationship between climate change, public health, and law in the context of extreme heat. I am a Professor in the Department of Public Health and previously served as Dean of the College of Health and Human Development.</w:t>
      </w:r>
    </w:p>
    <w:bookmarkEnd w:id="11"/>
    <w:bookmarkEnd w:id="12"/>
    <w:bookmarkStart w:id="14" w:name="course-description"/>
    <w:p>
      <w:pPr>
        <w:pStyle w:val="Heading1"/>
      </w:pPr>
      <w:r>
        <w:t xml:space="preserve">Course Description</w:t>
      </w:r>
    </w:p>
    <w:p>
      <w:pPr>
        <w:pStyle w:val="BodyText"/>
      </w:pPr>
      <w:r>
        <w:t xml:space="preserve">Addresses concepts related to U.S. health services organization, delivery, financing, and quality assessment and improvement. Historical influences and trends, contemporary challenges, and strategies to address these challenges are examined.</w:t>
      </w:r>
    </w:p>
    <w:p>
      <w:pPr>
        <w:pStyle w:val="BodyText"/>
      </w:pPr>
      <w:r>
        <w:t xml:space="preserve">The course is built around a single semester-long question: how does the U.S. health care system affect a particular health problem? You will answer it as a team, using systems thinking and a systems map that you build, expand, research, and revise across the term.</w:t>
      </w:r>
    </w:p>
    <w:bookmarkStart w:id="13" w:name="X739e93f8424688d75f1ab2672b6708df914e8c9"/>
    <w:p>
      <w:pPr>
        <w:pStyle w:val="Heading2"/>
      </w:pPr>
      <w:r>
        <w:t xml:space="preserve">What an Asynchronous Online Course Means Here</w:t>
      </w:r>
    </w:p>
    <w:p>
      <w:pPr>
        <w:pStyle w:val="BodyText"/>
      </w:pPr>
      <w:r>
        <w:t xml:space="preserve">This course is fully online and asynchronous. We will not meet in person or on Zoom as a class. Your progress is self-paced within the weekly structure below. You review the assigned materials, work through each module with your team, and bring questions to me by email or in office hours.</w:t>
      </w:r>
    </w:p>
    <w:bookmarkEnd w:id="13"/>
    <w:bookmarkEnd w:id="14"/>
    <w:bookmarkStart w:id="16" w:name="course-student-learning-outcomes"/>
    <w:p>
      <w:pPr>
        <w:pStyle w:val="Heading1"/>
      </w:pPr>
      <w:r>
        <w:t xml:space="preserve">Course Student Learning Outcomes</w:t>
      </w:r>
    </w:p>
    <w:p>
      <w:pPr>
        <w:pStyle w:val="BodyText"/>
      </w:pPr>
      <w:r>
        <w:t xml:space="preserve">The following are the approved learning objectives for the course. On successful completion, you will be able to:</w:t>
      </w:r>
    </w:p>
    <w:p>
      <w:pPr>
        <w:pStyle w:val="ListNumber"/>
        <w:numPr>
          <w:ilvl w:val="0"/>
          <w:numId w:val="1001"/>
        </w:numPr>
      </w:pPr>
      <w:r>
        <w:t xml:space="preserve">Describe the organization and financing of the U.S. health care system.</w:t>
      </w:r>
    </w:p>
    <w:p>
      <w:pPr>
        <w:pStyle w:val="ListNumber"/>
        <w:numPr>
          <w:ilvl w:val="0"/>
          <w:numId w:val="1001"/>
        </w:numPr>
      </w:pPr>
      <w:r>
        <w:t xml:space="preserve">Define and articulate significant challenges related to access, costs, and quality.</w:t>
      </w:r>
    </w:p>
    <w:p>
      <w:pPr>
        <w:pStyle w:val="ListNumber"/>
        <w:numPr>
          <w:ilvl w:val="0"/>
          <w:numId w:val="1001"/>
        </w:numPr>
      </w:pPr>
      <w:r>
        <w:t xml:space="preserve">Describe approaches to health services organization and financing at different care levels.</w:t>
      </w:r>
    </w:p>
    <w:p>
      <w:pPr>
        <w:pStyle w:val="ListNumber"/>
        <w:numPr>
          <w:ilvl w:val="0"/>
          <w:numId w:val="1001"/>
        </w:numPr>
      </w:pPr>
      <w:r>
        <w:t xml:space="preserve">Discuss ethical considerations in health care resource distribution and risk-benefit balance.</w:t>
      </w:r>
    </w:p>
    <w:p>
      <w:pPr>
        <w:pStyle w:val="ListNumber"/>
        <w:numPr>
          <w:ilvl w:val="0"/>
          <w:numId w:val="1001"/>
        </w:numPr>
      </w:pPr>
      <w:r>
        <w:t xml:space="preserve">Apply concepts to real-world health care organizational and clinical settings.</w:t>
      </w:r>
    </w:p>
    <w:p>
      <w:pPr>
        <w:pStyle w:val="ListNumber"/>
        <w:numPr>
          <w:ilvl w:val="0"/>
          <w:numId w:val="1001"/>
        </w:numPr>
      </w:pPr>
      <w:r>
        <w:t xml:space="preserve">Research and synthesize literature to develop recommendations for U.S. health care problems.</w:t>
      </w:r>
    </w:p>
    <w:p>
      <w:pPr>
        <w:pStyle w:val="ListNumber"/>
        <w:numPr>
          <w:ilvl w:val="0"/>
          <w:numId w:val="1001"/>
        </w:numPr>
      </w:pPr>
      <w:r>
        <w:t xml:space="preserve">Synthesize and present research summaries and recommendations.</w:t>
      </w:r>
    </w:p>
    <w:p>
      <w:pPr>
        <w:pStyle w:val="ListNumber"/>
        <w:numPr>
          <w:ilvl w:val="0"/>
          <w:numId w:val="1001"/>
        </w:numPr>
      </w:pPr>
      <w:r>
        <w:t xml:space="preserve">Critically evaluate the advantages and disadvantages of health care recommendations.</w:t>
      </w:r>
    </w:p>
    <w:bookmarkStart w:id="15" w:name="assessment-guide"/>
    <w:p>
      <w:pPr>
        <w:pStyle w:val="Heading2"/>
      </w:pPr>
      <w:r>
        <w:t xml:space="preserve">Assessment Guide</w:t>
      </w:r>
    </w:p>
    <w:p>
      <w:pPr>
        <w:pStyle w:val="BodyText"/>
      </w:pPr>
      <w:r>
        <w:t xml:space="preserve">This table indicates which assignment primarily assesses each learning outcome.</w:t>
      </w:r>
    </w:p>
    <w:tbl>
      <w:tblPr>
        <w:tblStyle w:val="Table"/>
        <w:tblW w:type="pct" w:w="5000"/>
        <w:tblLayout w:type="fixed"/>
        <w:tblLook w:firstRow="1" w:lastRow="0" w:firstColumn="0" w:lastColumn="0" w:noHBand="0" w:noVBand="0" w:val="0020"/>
        <w:tblCaption w:val="Assessment Guide"/>
        <w:tblDescription w:val="Two-column table mapping each of the eight course student learning outcomes to the assignment that primarily assesses it, either the Final Exam or the Systems Analysis Project."/>
      </w:tblPr>
      <w:tblGrid>
        <w:gridCol w:w="3960"/>
        <w:gridCol w:w="3960"/>
      </w:tblGrid>
      <w:tr>
        <w:trPr>
          <w:tblHeader/>
          <w:tblHeader w:val="on"/>
        </w:trPr>
        <w:tc>
          <w:tcPr/>
          <w:p>
            <w:pPr>
              <w:pStyle w:val="BodyText"/>
            </w:pPr>
            <w:r>
              <w:t xml:space="preserve">Course student learning outcome</w:t>
            </w:r>
          </w:p>
        </w:tc>
        <w:tc>
          <w:tcPr/>
          <w:p>
            <w:pPr>
              <w:pStyle w:val="BodyText"/>
            </w:pPr>
            <w:r>
              <w:t xml:space="preserve">Primary assignment</w:t>
            </w:r>
          </w:p>
        </w:tc>
      </w:tr>
      <w:tr>
        <w:tc>
          <w:tcPr/>
          <w:p>
            <w:pPr>
              <w:pStyle w:val="BodyText"/>
            </w:pPr>
            <w:r>
              <w:t xml:space="preserve">Describe the organization and financing of the U.S. health care system.</w:t>
            </w:r>
          </w:p>
        </w:tc>
        <w:tc>
          <w:tcPr/>
          <w:p>
            <w:pPr>
              <w:pStyle w:val="BodyText"/>
            </w:pPr>
            <w:r>
              <w:t xml:space="preserve">Final Exam</w:t>
            </w:r>
          </w:p>
        </w:tc>
      </w:tr>
      <w:tr>
        <w:tc>
          <w:tcPr/>
          <w:p>
            <w:pPr>
              <w:pStyle w:val="BodyText"/>
            </w:pPr>
            <w:r>
              <w:t xml:space="preserve">Define and articulate significant challenges related to access, costs, and quality.</w:t>
            </w:r>
          </w:p>
        </w:tc>
        <w:tc>
          <w:tcPr/>
          <w:p>
            <w:pPr>
              <w:pStyle w:val="BodyText"/>
            </w:pPr>
            <w:r>
              <w:t xml:space="preserve">Systems Analysis Project</w:t>
            </w:r>
          </w:p>
        </w:tc>
      </w:tr>
      <w:tr>
        <w:tc>
          <w:tcPr/>
          <w:p>
            <w:pPr>
              <w:pStyle w:val="BodyText"/>
            </w:pPr>
            <w:r>
              <w:t xml:space="preserve">Describe approaches to health services organization and financing at different care levels.</w:t>
            </w:r>
          </w:p>
        </w:tc>
        <w:tc>
          <w:tcPr/>
          <w:p>
            <w:pPr>
              <w:pStyle w:val="BodyText"/>
            </w:pPr>
            <w:r>
              <w:t xml:space="preserve">Final Exam</w:t>
            </w:r>
          </w:p>
        </w:tc>
      </w:tr>
      <w:tr>
        <w:tc>
          <w:tcPr/>
          <w:p>
            <w:pPr>
              <w:pStyle w:val="BodyText"/>
            </w:pPr>
            <w:r>
              <w:t xml:space="preserve">Discuss ethical considerations in health care resource distribution and risk-benefit balance.</w:t>
            </w:r>
          </w:p>
        </w:tc>
        <w:tc>
          <w:tcPr/>
          <w:p>
            <w:pPr>
              <w:pStyle w:val="BodyText"/>
            </w:pPr>
            <w:r>
              <w:t xml:space="preserve">Systems Analysis Project</w:t>
            </w:r>
          </w:p>
        </w:tc>
      </w:tr>
      <w:tr>
        <w:tc>
          <w:tcPr/>
          <w:p>
            <w:pPr>
              <w:pStyle w:val="BodyText"/>
            </w:pPr>
            <w:r>
              <w:t xml:space="preserve">Apply concepts to real-world health care organizational and clinical settings.</w:t>
            </w:r>
          </w:p>
        </w:tc>
        <w:tc>
          <w:tcPr/>
          <w:p>
            <w:pPr>
              <w:pStyle w:val="BodyText"/>
            </w:pPr>
            <w:r>
              <w:t xml:space="preserve">Systems Analysis Project</w:t>
            </w:r>
          </w:p>
        </w:tc>
      </w:tr>
      <w:tr>
        <w:tc>
          <w:tcPr/>
          <w:p>
            <w:pPr>
              <w:pStyle w:val="BodyText"/>
            </w:pPr>
            <w:r>
              <w:t xml:space="preserve">Research and synthesize literature to develop recommendations for U.S. health care problems.</w:t>
            </w:r>
          </w:p>
        </w:tc>
        <w:tc>
          <w:tcPr/>
          <w:p>
            <w:pPr>
              <w:pStyle w:val="BodyText"/>
            </w:pPr>
            <w:r>
              <w:t xml:space="preserve">Systems Analysis Project</w:t>
            </w:r>
          </w:p>
        </w:tc>
      </w:tr>
      <w:tr>
        <w:tc>
          <w:tcPr/>
          <w:p>
            <w:pPr>
              <w:pStyle w:val="BodyText"/>
            </w:pPr>
            <w:r>
              <w:t xml:space="preserve">Synthesize and present research summaries and recommendations.</w:t>
            </w:r>
          </w:p>
        </w:tc>
        <w:tc>
          <w:tcPr/>
          <w:p>
            <w:pPr>
              <w:pStyle w:val="BodyText"/>
            </w:pPr>
            <w:r>
              <w:t xml:space="preserve">Systems Analysis Project</w:t>
            </w:r>
          </w:p>
        </w:tc>
      </w:tr>
      <w:tr>
        <w:tc>
          <w:tcPr/>
          <w:p>
            <w:pPr>
              <w:pStyle w:val="BodyText"/>
            </w:pPr>
            <w:r>
              <w:t xml:space="preserve">Critically evaluate the advantages and disadvantages of health care recommendations.</w:t>
            </w:r>
          </w:p>
        </w:tc>
        <w:tc>
          <w:tcPr/>
          <w:p>
            <w:pPr>
              <w:pStyle w:val="BodyText"/>
            </w:pPr>
            <w:r>
              <w:t xml:space="preserve">Systems Analysis Project</w:t>
            </w:r>
          </w:p>
        </w:tc>
      </w:tr>
    </w:tbl>
    <w:bookmarkEnd w:id="15"/>
    <w:bookmarkEnd w:id="16"/>
    <w:bookmarkStart w:id="21" w:name="required-course-materials-and-equipment"/>
    <w:p>
      <w:pPr>
        <w:pStyle w:val="Heading1"/>
      </w:pPr>
      <w:r>
        <w:t xml:space="preserve">Required Course Materials and Equipment</w:t>
      </w:r>
    </w:p>
    <w:bookmarkStart w:id="17" w:name="textbook-you-must-purchase"/>
    <w:p>
      <w:pPr>
        <w:pStyle w:val="Heading2"/>
      </w:pPr>
      <w:r>
        <w:t xml:space="preserve">Textbook You Must Purchase</w:t>
      </w:r>
    </w:p>
    <w:p>
      <w:pPr>
        <w:pStyle w:val="BodyText"/>
      </w:pPr>
      <w:r>
        <w:t xml:space="preserve">Knickman, James, and Brian Elbel, eds. 2024.</w:t>
      </w:r>
      <w:r>
        <w:t xml:space="preserve"> </w:t>
      </w:r>
      <w:r>
        <w:rPr>
          <w:i/>
          <w:iCs/>
        </w:rPr>
        <w:t xml:space="preserve">Jonas &amp; Kovner’s Health Care Delivery in the United States</w:t>
      </w:r>
      <w:r>
        <w:t xml:space="preserve">. 13th edition. New York, NY: Springer Publishing Company, LLC.</w:t>
      </w:r>
    </w:p>
    <w:p>
      <w:pPr>
        <w:pStyle w:val="BodyText"/>
      </w:pPr>
      <w:r>
        <w:t xml:space="preserve">This text is a standing reference for the course. It is not assigned by chapter to specific weeks.</w:t>
      </w:r>
    </w:p>
    <w:bookmarkEnd w:id="17"/>
    <w:bookmarkStart w:id="18" w:name="additional-required-materials"/>
    <w:p>
      <w:pPr>
        <w:pStyle w:val="Heading2"/>
      </w:pPr>
      <w:r>
        <w:t xml:space="preserve">Additional Required Materials</w:t>
      </w:r>
    </w:p>
    <w:p>
      <w:pPr>
        <w:pStyle w:val="BodyText"/>
      </w:pPr>
      <w:r>
        <w:t xml:space="preserve">These materials are posted in Canvas at no cost to you.</w:t>
      </w:r>
    </w:p>
    <w:p>
      <w:pPr>
        <w:pStyle w:val="ListBullet"/>
        <w:numPr>
          <w:ilvl w:val="0"/>
          <w:numId w:val="1002"/>
        </w:numPr>
      </w:pPr>
      <w:r>
        <w:t xml:space="preserve">Meadows, Donella H. 2008.</w:t>
      </w:r>
      <w:r>
        <w:t xml:space="preserve"> </w:t>
      </w:r>
      <w:r>
        <w:rPr>
          <w:i/>
          <w:iCs/>
        </w:rPr>
        <w:t xml:space="preserve">Thinking in Systems: A Primer</w:t>
      </w:r>
      <w:r>
        <w:t xml:space="preserve">, ed. Diana Wright. White River Junction, Vermont: Chelsea Green Publishing. Chapter 1.</w:t>
      </w:r>
    </w:p>
    <w:p>
      <w:pPr>
        <w:pStyle w:val="ListBullet"/>
        <w:numPr>
          <w:ilvl w:val="0"/>
          <w:numId w:val="1002"/>
        </w:numPr>
      </w:pPr>
      <w:r>
        <w:t xml:space="preserve">Module pages, technical explainers, and file templates on the course website.</w:t>
      </w:r>
    </w:p>
    <w:bookmarkEnd w:id="18"/>
    <w:bookmarkStart w:id="20" w:name="required-equipment"/>
    <w:p>
      <w:pPr>
        <w:pStyle w:val="Heading2"/>
      </w:pPr>
      <w:r>
        <w:t xml:space="preserve">Required Equipment</w:t>
      </w:r>
    </w:p>
    <w:p>
      <w:pPr>
        <w:pStyle w:val="ListBullet"/>
        <w:numPr>
          <w:ilvl w:val="0"/>
          <w:numId w:val="1003"/>
        </w:numPr>
      </w:pPr>
      <w:r>
        <w:t xml:space="preserve">A reliable computer with a current, updated web browser (Chrome, Firefox, Edge, or Safari).</w:t>
      </w:r>
    </w:p>
    <w:p>
      <w:pPr>
        <w:pStyle w:val="ListBullet"/>
        <w:numPr>
          <w:ilvl w:val="0"/>
          <w:numId w:val="1003"/>
        </w:numPr>
      </w:pPr>
      <w:r>
        <w:t xml:space="preserve">A stable broadband internet connection.</w:t>
      </w:r>
    </w:p>
    <w:p>
      <w:pPr>
        <w:pStyle w:val="ListBullet"/>
        <w:numPr>
          <w:ilvl w:val="0"/>
          <w:numId w:val="1003"/>
        </w:numPr>
      </w:pPr>
      <w:r>
        <w:t xml:space="preserve">Working audio and the ability to stream video.</w:t>
      </w:r>
    </w:p>
    <w:p>
      <w:pPr>
        <w:pStyle w:val="ListBullet"/>
        <w:numPr>
          <w:ilvl w:val="0"/>
          <w:numId w:val="1003"/>
        </w:numPr>
      </w:pPr>
      <w:r>
        <w:t xml:space="preserve">A webcam, in the event that a proctoring tool is used for an exam.</w:t>
      </w:r>
    </w:p>
    <w:p>
      <w:pPr>
        <w:pStyle w:val="ListBullet"/>
        <w:numPr>
          <w:ilvl w:val="0"/>
          <w:numId w:val="1003"/>
        </w:numPr>
      </w:pPr>
      <w:r>
        <w:t xml:space="preserve">Access to spreadsheet software. CSUF provides</w:t>
      </w:r>
      <w:r>
        <w:t xml:space="preserve"> </w:t>
      </w:r>
      <w:hyperlink r:id="rId19">
        <w:r>
          <w:rPr>
            <w:rStyle w:val="Hyperlink"/>
          </w:rPr>
          <w:t xml:space="preserve">Microsoft Office 365</w:t>
        </w:r>
      </w:hyperlink>
      <w:r>
        <w:t xml:space="preserve">, including Excel, free to students.</w:t>
      </w:r>
    </w:p>
    <w:bookmarkEnd w:id="20"/>
    <w:bookmarkEnd w:id="21"/>
    <w:bookmarkStart w:id="27" w:name="Xd470e7ddfeacbffc592918ab4c7247202e77154"/>
    <w:p>
      <w:pPr>
        <w:pStyle w:val="Heading1"/>
      </w:pPr>
      <w:r>
        <w:t xml:space="preserve">Technical Competencies and Resources Required</w:t>
      </w:r>
    </w:p>
    <w:p>
      <w:pPr>
        <w:pStyle w:val="BodyText"/>
      </w:pPr>
      <w:r>
        <w:t xml:space="preserve">These competencies go beyond what is expected of all CSUF students, so they are stated here. The goal is functional comfort, not mastery, and each is supported by an explainer page on the course website.</w:t>
      </w:r>
    </w:p>
    <w:bookmarkStart w:id="22" w:name="working-with-csv-files"/>
    <w:p>
      <w:pPr>
        <w:pStyle w:val="Heading2"/>
      </w:pPr>
      <w:r>
        <w:t xml:space="preserve">Working with CSV Files</w:t>
      </w:r>
    </w:p>
    <w:p>
      <w:pPr>
        <w:pStyle w:val="ListBullet"/>
        <w:numPr>
          <w:ilvl w:val="0"/>
          <w:numId w:val="1004"/>
        </w:numPr>
      </w:pPr>
      <w:r>
        <w:t xml:space="preserve">Opening CSV files in Excel, Google Sheets, or similar software.</w:t>
      </w:r>
    </w:p>
    <w:p>
      <w:pPr>
        <w:pStyle w:val="ListBullet"/>
        <w:numPr>
          <w:ilvl w:val="0"/>
          <w:numId w:val="1004"/>
        </w:numPr>
      </w:pPr>
      <w:r>
        <w:t xml:space="preserve">Understanding that each row is an observation and each column is a variable.</w:t>
      </w:r>
    </w:p>
    <w:p>
      <w:pPr>
        <w:pStyle w:val="ListBullet"/>
        <w:numPr>
          <w:ilvl w:val="0"/>
          <w:numId w:val="1004"/>
        </w:numPr>
      </w:pPr>
      <w:r>
        <w:t xml:space="preserve">Noticing missing, inconsistent, or unexpected values.</w:t>
      </w:r>
    </w:p>
    <w:p>
      <w:pPr>
        <w:pStyle w:val="ListBullet"/>
        <w:numPr>
          <w:ilvl w:val="0"/>
          <w:numId w:val="1004"/>
        </w:numPr>
      </w:pPr>
      <w:r>
        <w:t xml:space="preserve">Saving or exporting CSV files without changing their structure.</w:t>
      </w:r>
    </w:p>
    <w:bookmarkEnd w:id="22"/>
    <w:bookmarkStart w:id="23" w:name="spreadsheet-basics"/>
    <w:p>
      <w:pPr>
        <w:pStyle w:val="Heading2"/>
      </w:pPr>
      <w:r>
        <w:t xml:space="preserve">Spreadsheet Basics</w:t>
      </w:r>
    </w:p>
    <w:p>
      <w:pPr>
        <w:pStyle w:val="ListBullet"/>
        <w:numPr>
          <w:ilvl w:val="0"/>
          <w:numId w:val="1005"/>
        </w:numPr>
      </w:pPr>
      <w:r>
        <w:t xml:space="preserve">Sorting and filtering data.</w:t>
      </w:r>
    </w:p>
    <w:p>
      <w:pPr>
        <w:pStyle w:val="ListBullet"/>
        <w:numPr>
          <w:ilvl w:val="0"/>
          <w:numId w:val="1005"/>
        </w:numPr>
      </w:pPr>
      <w:r>
        <w:t xml:space="preserve">Understanding the difference between values and formulas.</w:t>
      </w:r>
    </w:p>
    <w:p>
      <w:pPr>
        <w:pStyle w:val="ListBullet"/>
        <w:numPr>
          <w:ilvl w:val="0"/>
          <w:numId w:val="1005"/>
        </w:numPr>
      </w:pPr>
      <w:r>
        <w:t xml:space="preserve">Using common functions: SUM, AVERAGE, COUNT, IF, COUNTIF, SUMIF, VLOOKUP or XLOOKUP, and basic text functions.</w:t>
      </w:r>
    </w:p>
    <w:p>
      <w:pPr>
        <w:pStyle w:val="ListBullet"/>
        <w:numPr>
          <w:ilvl w:val="0"/>
          <w:numId w:val="1005"/>
        </w:numPr>
      </w:pPr>
      <w:r>
        <w:t xml:space="preserve">Recognizing when data are missing or oddly formatted.</w:t>
      </w:r>
    </w:p>
    <w:bookmarkEnd w:id="23"/>
    <w:bookmarkStart w:id="24" w:name="dot-and-graphviz"/>
    <w:p>
      <w:pPr>
        <w:pStyle w:val="Heading2"/>
      </w:pPr>
      <w:r>
        <w:t xml:space="preserve">DOT and Graphviz</w:t>
      </w:r>
    </w:p>
    <w:p>
      <w:pPr>
        <w:pStyle w:val="BodyText"/>
      </w:pPr>
      <w:r>
        <w:t xml:space="preserve">Your team’s system map is built as a plain-text</w:t>
      </w:r>
      <w:r>
        <w:t xml:space="preserve"> </w:t>
      </w:r>
      <w:r>
        <w:rPr>
          <w:rStyle w:val="VerbatimChar"/>
        </w:rPr>
        <w:t xml:space="preserve">.gv</w:t>
      </w:r>
      <w:r>
        <w:t xml:space="preserve"> </w:t>
      </w:r>
      <w:r>
        <w:t xml:space="preserve">file and rendered with Graphviz. You are not expected to know this format at the start of the term. It is introduced in Module 2 and supported by the DOT explainer, the map template, and worked examples on the course website.</w:t>
      </w:r>
    </w:p>
    <w:bookmarkEnd w:id="24"/>
    <w:bookmarkStart w:id="25" w:name="X3e44595cc297c321ad269a25dfcc7b9cf2a5e35"/>
    <w:p>
      <w:pPr>
        <w:pStyle w:val="Heading2"/>
      </w:pPr>
      <w:r>
        <w:t xml:space="preserve">Research in Health Care and Public Health</w:t>
      </w:r>
    </w:p>
    <w:p>
      <w:pPr>
        <w:pStyle w:val="BodyText"/>
      </w:pPr>
      <w:r>
        <w:t xml:space="preserve">You are expected to locate and evaluate public health and health services literature. The Research Resources page on the course website is the refresher for this skill.</w:t>
      </w:r>
    </w:p>
    <w:bookmarkEnd w:id="25"/>
    <w:bookmarkStart w:id="26" w:name="where-to-get-help"/>
    <w:p>
      <w:pPr>
        <w:pStyle w:val="Heading2"/>
      </w:pPr>
      <w:r>
        <w:t xml:space="preserve">Where to Get Help</w:t>
      </w:r>
    </w:p>
    <w:p>
      <w:pPr>
        <w:pStyle w:val="BodyText"/>
      </w:pPr>
      <w:r>
        <w:t xml:space="preserve">Technical explainers, templates, and worked examples are on the course website. For Canvas, campus accounts, or software problems, contact CSUF Student Information Technology Services; the Technical Problems policy below describes when and how to do that.</w:t>
      </w:r>
    </w:p>
    <w:bookmarkEnd w:id="26"/>
    <w:bookmarkEnd w:id="27"/>
    <w:bookmarkStart w:id="28" w:name="course-calendar"/>
    <w:p>
      <w:pPr>
        <w:pStyle w:val="Heading1"/>
      </w:pPr>
      <w:r>
        <w:t xml:space="preserve">Course Calendar</w:t>
      </w:r>
    </w:p>
    <w:p>
      <w:pPr>
        <w:pStyle w:val="BodyText"/>
      </w:pPr>
      <w:r>
        <w:t xml:space="preserve">The calendar covers all fifteen instructional weeks plus final examination week. Dates given as a range are the Monday-through-Friday span of that week; unless a specific due date is listed, complete that week’s materials by the end of that week.</w:t>
      </w:r>
    </w:p>
    <w:p>
      <w:pPr>
        <w:pStyle w:val="BodyText"/>
      </w:pPr>
      <w:r>
        <w:t xml:space="preserve">Faculty are not bound to follow the syllabus calendar on a strict day-to-day basis. Topics and materials may be adjusted as the semester progresses. Any change to a major assignment or course requirement will be announced in Canvas with a reasonable timetable for completion. Due dates in Canvas are authoritative if they ever differ from this document.</w:t>
      </w:r>
    </w:p>
    <w:tbl>
      <w:tblPr>
        <w:tblStyle w:val="Table"/>
        <w:tblW w:type="pct" w:w="5000"/>
        <w:tblLayout w:type="fixed"/>
        <w:tblLook w:firstRow="1" w:lastRow="0" w:firstColumn="0" w:lastColumn="0" w:noHBand="0" w:noVBand="0" w:val="0020"/>
        <w:tblCaption w:val="Course Calendar, Fall 2026"/>
        <w:tblDescription w:val="Four-column table covering all fifteen instructional weeks, the Fall Recess week, and final examination week. Columns are week number, date range, module and topic, and key dates and what is due that week."/>
      </w:tblPr>
      <w:tblGrid>
        <w:gridCol w:w="1980"/>
        <w:gridCol w:w="1980"/>
        <w:gridCol w:w="1980"/>
        <w:gridCol w:w="1980"/>
      </w:tblGrid>
      <w:tr>
        <w:trPr>
          <w:tblHeader/>
          <w:tblHeader w:val="on"/>
        </w:trPr>
        <w:tc>
          <w:tcPr/>
          <w:p>
            <w:pPr>
              <w:pStyle w:val="BodyText"/>
            </w:pPr>
            <w:r>
              <w:t xml:space="preserve">Week</w:t>
            </w:r>
          </w:p>
        </w:tc>
        <w:tc>
          <w:tcPr/>
          <w:p>
            <w:pPr>
              <w:pStyle w:val="BodyText"/>
            </w:pPr>
            <w:r>
              <w:t xml:space="preserve">Dates</w:t>
            </w:r>
          </w:p>
        </w:tc>
        <w:tc>
          <w:tcPr/>
          <w:p>
            <w:pPr>
              <w:pStyle w:val="BodyText"/>
            </w:pPr>
            <w:r>
              <w:t xml:space="preserve">Module and topic</w:t>
            </w:r>
          </w:p>
        </w:tc>
        <w:tc>
          <w:tcPr/>
          <w:p>
            <w:pPr>
              <w:pStyle w:val="BodyText"/>
            </w:pPr>
            <w:r>
              <w:t xml:space="preserve">Key dates and what is due</w:t>
            </w:r>
          </w:p>
        </w:tc>
      </w:tr>
      <w:tr>
        <w:tc>
          <w:tcPr/>
          <w:p>
            <w:pPr>
              <w:pStyle w:val="BodyText"/>
            </w:pPr>
            <w:r>
              <w:t xml:space="preserve">1</w:t>
            </w:r>
          </w:p>
        </w:tc>
        <w:tc>
          <w:tcPr/>
          <w:p>
            <w:pPr>
              <w:pStyle w:val="BodyText"/>
            </w:pPr>
            <w:r>
              <w:t xml:space="preserve">Aug 24 - Aug 30</w:t>
            </w:r>
          </w:p>
        </w:tc>
        <w:tc>
          <w:tcPr/>
          <w:p>
            <w:pPr>
              <w:pStyle w:val="BodyText"/>
            </w:pPr>
            <w:r>
              <w:t xml:space="preserve">Module 1: Team Formation and Project Onboarding</w:t>
            </w:r>
          </w:p>
        </w:tc>
        <w:tc>
          <w:tcPr/>
          <w:p>
            <w:pPr>
              <w:pStyle w:val="BodyText"/>
            </w:pPr>
            <w:r>
              <w:t xml:space="preserve">First day of classes Mon Aug 24. Team Agreement due Fri Aug 28.</w:t>
            </w:r>
          </w:p>
        </w:tc>
      </w:tr>
      <w:tr>
        <w:tc>
          <w:tcPr/>
          <w:p>
            <w:pPr>
              <w:pStyle w:val="BodyText"/>
            </w:pPr>
            <w:r>
              <w:t xml:space="preserve">2</w:t>
            </w:r>
          </w:p>
        </w:tc>
        <w:tc>
          <w:tcPr/>
          <w:p>
            <w:pPr>
              <w:pStyle w:val="BodyText"/>
            </w:pPr>
            <w:r>
              <w:t xml:space="preserve">Aug 31 - Sep 6</w:t>
            </w:r>
          </w:p>
        </w:tc>
        <w:tc>
          <w:tcPr/>
          <w:p>
            <w:pPr>
              <w:pStyle w:val="BodyText"/>
            </w:pPr>
            <w:r>
              <w:t xml:space="preserve">Module 2: Systems Thinking Foundations. Meadows,</w:t>
            </w:r>
            <w:r>
              <w:t xml:space="preserve"> </w:t>
            </w:r>
            <w:r>
              <w:rPr>
                <w:i/>
                <w:iCs/>
              </w:rPr>
              <w:t xml:space="preserve">Thinking in Systems</w:t>
            </w:r>
            <w:r>
              <w:t xml:space="preserve">, ch. 1 (Canvas).</w:t>
            </w:r>
          </w:p>
        </w:tc>
        <w:tc>
          <w:tcPr/>
          <w:p>
            <w:pPr>
              <w:pStyle w:val="BodyText"/>
            </w:pPr>
            <w:r>
              <w:t xml:space="preserve">Nothing graded.</w:t>
            </w:r>
          </w:p>
        </w:tc>
      </w:tr>
      <w:tr>
        <w:tc>
          <w:tcPr/>
          <w:p>
            <w:pPr>
              <w:pStyle w:val="BodyText"/>
            </w:pPr>
            <w:r>
              <w:t xml:space="preserve">3</w:t>
            </w:r>
          </w:p>
        </w:tc>
        <w:tc>
          <w:tcPr/>
          <w:p>
            <w:pPr>
              <w:pStyle w:val="BodyText"/>
            </w:pPr>
            <w:r>
              <w:t xml:space="preserve">Sep 7 - Sep 13</w:t>
            </w:r>
          </w:p>
        </w:tc>
        <w:tc>
          <w:tcPr/>
          <w:p>
            <w:pPr>
              <w:pStyle w:val="BodyText"/>
            </w:pPr>
            <w:r>
              <w:t xml:space="preserve">Module 3 (1 of 4): System Framing and Initial Elements</w:t>
            </w:r>
          </w:p>
        </w:tc>
        <w:tc>
          <w:tcPr/>
          <w:p>
            <w:pPr>
              <w:pStyle w:val="BodyText"/>
            </w:pPr>
            <w:r>
              <w:t xml:space="preserve">Labor Day Mon Sep 7, campus closed. Last day to drop without a W: Tue Sep 8.</w:t>
            </w:r>
          </w:p>
        </w:tc>
      </w:tr>
      <w:tr>
        <w:tc>
          <w:tcPr/>
          <w:p>
            <w:pPr>
              <w:pStyle w:val="BodyText"/>
            </w:pPr>
            <w:r>
              <w:t xml:space="preserve">4</w:t>
            </w:r>
          </w:p>
        </w:tc>
        <w:tc>
          <w:tcPr/>
          <w:p>
            <w:pPr>
              <w:pStyle w:val="BodyText"/>
            </w:pPr>
            <w:r>
              <w:t xml:space="preserve">Sep 14 - Sep 20</w:t>
            </w:r>
          </w:p>
        </w:tc>
        <w:tc>
          <w:tcPr/>
          <w:p>
            <w:pPr>
              <w:pStyle w:val="BodyText"/>
            </w:pPr>
            <w:r>
              <w:t xml:space="preserve">Module 3 (2 of 4), continued</w:t>
            </w:r>
          </w:p>
        </w:tc>
        <w:tc>
          <w:tcPr/>
          <w:p>
            <w:pPr>
              <w:pStyle w:val="BodyText"/>
            </w:pPr>
            <w:r>
              <w:t xml:space="preserve">Exam 1 window: Mon Sep 14 - Fri Sep 18.</w:t>
            </w:r>
          </w:p>
        </w:tc>
      </w:tr>
      <w:tr>
        <w:tc>
          <w:tcPr/>
          <w:p>
            <w:pPr>
              <w:pStyle w:val="BodyText"/>
            </w:pPr>
            <w:r>
              <w:t xml:space="preserve">5</w:t>
            </w:r>
          </w:p>
        </w:tc>
        <w:tc>
          <w:tcPr/>
          <w:p>
            <w:pPr>
              <w:pStyle w:val="BodyText"/>
            </w:pPr>
            <w:r>
              <w:t xml:space="preserve">Sep 21 - Sep 27</w:t>
            </w:r>
          </w:p>
        </w:tc>
        <w:tc>
          <w:tcPr/>
          <w:p>
            <w:pPr>
              <w:pStyle w:val="BodyText"/>
            </w:pPr>
            <w:r>
              <w:t xml:space="preserve">Module 3 (3 of 4), continued</w:t>
            </w:r>
          </w:p>
        </w:tc>
        <w:tc>
          <w:tcPr/>
          <w:p>
            <w:pPr>
              <w:pStyle w:val="BodyText"/>
            </w:pPr>
            <w:r>
              <w:t xml:space="preserve">Nothing graded.</w:t>
            </w:r>
          </w:p>
        </w:tc>
      </w:tr>
      <w:tr>
        <w:tc>
          <w:tcPr/>
          <w:p>
            <w:pPr>
              <w:pStyle w:val="BodyText"/>
            </w:pPr>
            <w:r>
              <w:t xml:space="preserve">6</w:t>
            </w:r>
          </w:p>
        </w:tc>
        <w:tc>
          <w:tcPr/>
          <w:p>
            <w:pPr>
              <w:pStyle w:val="BodyText"/>
            </w:pPr>
            <w:r>
              <w:t xml:space="preserve">Sep 28 - Oct 4</w:t>
            </w:r>
          </w:p>
        </w:tc>
        <w:tc>
          <w:tcPr/>
          <w:p>
            <w:pPr>
              <w:pStyle w:val="BodyText"/>
            </w:pPr>
            <w:r>
              <w:t xml:space="preserve">Module 3 (4 of 4), continued</w:t>
            </w:r>
          </w:p>
        </w:tc>
        <w:tc>
          <w:tcPr/>
          <w:p>
            <w:pPr>
              <w:pStyle w:val="BodyText"/>
            </w:pPr>
            <w:r>
              <w:t xml:space="preserve">Element List, Initial System Map, and Team Checkpoint 1 due Fri Oct 2.</w:t>
            </w:r>
          </w:p>
        </w:tc>
      </w:tr>
      <w:tr>
        <w:tc>
          <w:tcPr/>
          <w:p>
            <w:pPr>
              <w:pStyle w:val="BodyText"/>
            </w:pPr>
            <w:r>
              <w:t xml:space="preserve">7</w:t>
            </w:r>
          </w:p>
        </w:tc>
        <w:tc>
          <w:tcPr/>
          <w:p>
            <w:pPr>
              <w:pStyle w:val="BodyText"/>
            </w:pPr>
            <w:r>
              <w:t xml:space="preserve">Oct 5 - Oct 11</w:t>
            </w:r>
          </w:p>
        </w:tc>
        <w:tc>
          <w:tcPr/>
          <w:p>
            <w:pPr>
              <w:pStyle w:val="BodyText"/>
            </w:pPr>
            <w:r>
              <w:t xml:space="preserve">Module 4 (1 of 2): System Expansion and Early Evidence</w:t>
            </w:r>
          </w:p>
        </w:tc>
        <w:tc>
          <w:tcPr/>
          <w:p>
            <w:pPr>
              <w:pStyle w:val="BodyText"/>
            </w:pPr>
            <w:r>
              <w:t xml:space="preserve">Nothing graded.</w:t>
            </w:r>
          </w:p>
        </w:tc>
      </w:tr>
      <w:tr>
        <w:tc>
          <w:tcPr/>
          <w:p>
            <w:pPr>
              <w:pStyle w:val="BodyText"/>
            </w:pPr>
            <w:r>
              <w:t xml:space="preserve">8</w:t>
            </w:r>
          </w:p>
        </w:tc>
        <w:tc>
          <w:tcPr/>
          <w:p>
            <w:pPr>
              <w:pStyle w:val="BodyText"/>
            </w:pPr>
            <w:r>
              <w:t xml:space="preserve">Oct 12 - Oct 18</w:t>
            </w:r>
          </w:p>
        </w:tc>
        <w:tc>
          <w:tcPr/>
          <w:p>
            <w:pPr>
              <w:pStyle w:val="BodyText"/>
            </w:pPr>
            <w:r>
              <w:t xml:space="preserve">Module 4 (2 of 2), continued</w:t>
            </w:r>
          </w:p>
        </w:tc>
        <w:tc>
          <w:tcPr/>
          <w:p>
            <w:pPr>
              <w:pStyle w:val="BodyText"/>
            </w:pPr>
            <w:r>
              <w:t xml:space="preserve">Revised System Map, Element Reconsideration, and Brief Memo due Fri Oct 16.</w:t>
            </w:r>
          </w:p>
        </w:tc>
      </w:tr>
      <w:tr>
        <w:tc>
          <w:tcPr/>
          <w:p>
            <w:pPr>
              <w:pStyle w:val="BodyText"/>
            </w:pPr>
            <w:r>
              <w:t xml:space="preserve">9</w:t>
            </w:r>
          </w:p>
        </w:tc>
        <w:tc>
          <w:tcPr/>
          <w:p>
            <w:pPr>
              <w:pStyle w:val="BodyText"/>
            </w:pPr>
            <w:r>
              <w:t xml:space="preserve">Oct 19 - Oct 25</w:t>
            </w:r>
          </w:p>
        </w:tc>
        <w:tc>
          <w:tcPr/>
          <w:p>
            <w:pPr>
              <w:pStyle w:val="BodyText"/>
            </w:pPr>
            <w:r>
              <w:t xml:space="preserve">Module 5 (1 of 3): Research and System Refinement</w:t>
            </w:r>
          </w:p>
        </w:tc>
        <w:tc>
          <w:tcPr/>
          <w:p>
            <w:pPr>
              <w:pStyle w:val="BodyText"/>
            </w:pPr>
            <w:r>
              <w:t xml:space="preserve">Nothing graded.</w:t>
            </w:r>
          </w:p>
        </w:tc>
      </w:tr>
      <w:tr>
        <w:tc>
          <w:tcPr/>
          <w:p>
            <w:pPr>
              <w:pStyle w:val="BodyText"/>
            </w:pPr>
            <w:r>
              <w:t xml:space="preserve">10</w:t>
            </w:r>
          </w:p>
        </w:tc>
        <w:tc>
          <w:tcPr/>
          <w:p>
            <w:pPr>
              <w:pStyle w:val="BodyText"/>
            </w:pPr>
            <w:r>
              <w:t xml:space="preserve">Oct 26 - Nov 1</w:t>
            </w:r>
          </w:p>
        </w:tc>
        <w:tc>
          <w:tcPr/>
          <w:p>
            <w:pPr>
              <w:pStyle w:val="BodyText"/>
            </w:pPr>
            <w:r>
              <w:t xml:space="preserve">Module 5 (2 of 3), continued</w:t>
            </w:r>
          </w:p>
        </w:tc>
        <w:tc>
          <w:tcPr/>
          <w:p>
            <w:pPr>
              <w:pStyle w:val="BodyText"/>
            </w:pPr>
            <w:r>
              <w:t xml:space="preserve">Nothing graded.</w:t>
            </w:r>
          </w:p>
        </w:tc>
      </w:tr>
      <w:tr>
        <w:tc>
          <w:tcPr/>
          <w:p>
            <w:pPr>
              <w:pStyle w:val="BodyText"/>
            </w:pPr>
            <w:r>
              <w:t xml:space="preserve">11</w:t>
            </w:r>
          </w:p>
        </w:tc>
        <w:tc>
          <w:tcPr/>
          <w:p>
            <w:pPr>
              <w:pStyle w:val="BodyText"/>
            </w:pPr>
            <w:r>
              <w:t xml:space="preserve">Nov 2 - Nov 8</w:t>
            </w:r>
          </w:p>
        </w:tc>
        <w:tc>
          <w:tcPr/>
          <w:p>
            <w:pPr>
              <w:pStyle w:val="BodyText"/>
            </w:pPr>
            <w:r>
              <w:t xml:space="preserve">Module 5 (3 of 3), continued</w:t>
            </w:r>
          </w:p>
        </w:tc>
        <w:tc>
          <w:tcPr/>
          <w:p>
            <w:pPr>
              <w:pStyle w:val="BodyText"/>
            </w:pPr>
            <w:r>
              <w:t xml:space="preserve">Refined System Map, Research Summary Memo, and Team Checkpoint 2 due Fri Nov 6.</w:t>
            </w:r>
          </w:p>
        </w:tc>
      </w:tr>
      <w:tr>
        <w:tc>
          <w:tcPr/>
          <w:p>
            <w:pPr>
              <w:pStyle w:val="BodyText"/>
            </w:pPr>
            <w:r>
              <w:t xml:space="preserve">12</w:t>
            </w:r>
          </w:p>
        </w:tc>
        <w:tc>
          <w:tcPr/>
          <w:p>
            <w:pPr>
              <w:pStyle w:val="BodyText"/>
            </w:pPr>
            <w:r>
              <w:t xml:space="preserve">Nov 9 - Nov 15</w:t>
            </w:r>
          </w:p>
        </w:tc>
        <w:tc>
          <w:tcPr/>
          <w:p>
            <w:pPr>
              <w:pStyle w:val="BodyText"/>
            </w:pPr>
            <w:r>
              <w:t xml:space="preserve">Modules 6 and 7 (1 of 2): Interpretation, Leverage, and Synthesis</w:t>
            </w:r>
          </w:p>
        </w:tc>
        <w:tc>
          <w:tcPr/>
          <w:p>
            <w:pPr>
              <w:pStyle w:val="BodyText"/>
            </w:pPr>
            <w:r>
              <w:t xml:space="preserve">Veterans Day Wed Nov 11, campus closed. Last day to withdraw with a W: Fri Nov 13.</w:t>
            </w:r>
          </w:p>
        </w:tc>
      </w:tr>
      <w:tr>
        <w:tc>
          <w:tcPr/>
          <w:p>
            <w:pPr>
              <w:pStyle w:val="BodyText"/>
            </w:pPr>
            <w:r>
              <w:t xml:space="preserve">13</w:t>
            </w:r>
          </w:p>
        </w:tc>
        <w:tc>
          <w:tcPr/>
          <w:p>
            <w:pPr>
              <w:pStyle w:val="BodyText"/>
            </w:pPr>
            <w:r>
              <w:t xml:space="preserve">Nov 16 - Nov 22</w:t>
            </w:r>
          </w:p>
        </w:tc>
        <w:tc>
          <w:tcPr/>
          <w:p>
            <w:pPr>
              <w:pStyle w:val="BodyText"/>
            </w:pPr>
            <w:r>
              <w:t xml:space="preserve">Modules 6 and 7 (2 of 2), continued</w:t>
            </w:r>
          </w:p>
        </w:tc>
        <w:tc>
          <w:tcPr/>
          <w:p>
            <w:pPr>
              <w:pStyle w:val="BodyText"/>
            </w:pPr>
            <w:r>
              <w:t xml:space="preserve">Individual Leverage Memo, drafted critique skill, and response (Module 6) and Final System Map (Module 7) all due Fri Nov 20.</w:t>
            </w:r>
          </w:p>
        </w:tc>
      </w:tr>
      <w:tr>
        <w:tc>
          <w:tcPr/>
          <w:p>
            <w:pPr>
              <w:pStyle w:val="BodyText"/>
            </w:pPr>
            <w:r>
              <w:t xml:space="preserve">14</w:t>
            </w:r>
          </w:p>
        </w:tc>
        <w:tc>
          <w:tcPr/>
          <w:p>
            <w:pPr>
              <w:pStyle w:val="BodyText"/>
            </w:pPr>
            <w:r>
              <w:t xml:space="preserve">Nov 23 - Nov 29</w:t>
            </w:r>
          </w:p>
        </w:tc>
        <w:tc>
          <w:tcPr/>
          <w:p>
            <w:pPr>
              <w:pStyle w:val="BodyText"/>
            </w:pPr>
            <w:r>
              <w:t xml:space="preserve">Fall Recess. No new instruction.</w:t>
            </w:r>
          </w:p>
        </w:tc>
        <w:tc>
          <w:tcPr/>
          <w:p>
            <w:pPr>
              <w:pStyle w:val="BodyText"/>
            </w:pPr>
            <w:r>
              <w:t xml:space="preserve">Campus closed Nov 23-27.</w:t>
            </w:r>
          </w:p>
        </w:tc>
      </w:tr>
      <w:tr>
        <w:tc>
          <w:tcPr/>
          <w:p>
            <w:pPr>
              <w:pStyle w:val="BodyText"/>
            </w:pPr>
            <w:r>
              <w:t xml:space="preserve">15</w:t>
            </w:r>
          </w:p>
        </w:tc>
        <w:tc>
          <w:tcPr/>
          <w:p>
            <w:pPr>
              <w:pStyle w:val="BodyText"/>
            </w:pPr>
            <w:r>
              <w:t xml:space="preserve">Nov 30 - Dec 6</w:t>
            </w:r>
          </w:p>
        </w:tc>
        <w:tc>
          <w:tcPr/>
          <w:p>
            <w:pPr>
              <w:pStyle w:val="BodyText"/>
            </w:pPr>
            <w:r>
              <w:t xml:space="preserve">No new module content.</w:t>
            </w:r>
          </w:p>
        </w:tc>
        <w:tc>
          <w:tcPr/>
          <w:p>
            <w:pPr>
              <w:pStyle w:val="BodyText"/>
            </w:pPr>
            <w:r>
              <w:t xml:space="preserve">Prepare for the Final Exam.</w:t>
            </w:r>
          </w:p>
        </w:tc>
      </w:tr>
      <w:tr>
        <w:tc>
          <w:tcPr/>
          <w:p>
            <w:pPr>
              <w:pStyle w:val="BodyText"/>
            </w:pPr>
            <w:r>
              <w:t xml:space="preserve">16</w:t>
            </w:r>
          </w:p>
        </w:tc>
        <w:tc>
          <w:tcPr/>
          <w:p>
            <w:pPr>
              <w:pStyle w:val="BodyText"/>
            </w:pPr>
            <w:r>
              <w:t xml:space="preserve">Dec 7 - Dec 11</w:t>
            </w:r>
          </w:p>
        </w:tc>
        <w:tc>
          <w:tcPr/>
          <w:p>
            <w:pPr>
              <w:pStyle w:val="BodyText"/>
            </w:pPr>
            <w:r>
              <w:t xml:space="preserve">No new module content.</w:t>
            </w:r>
          </w:p>
        </w:tc>
        <w:tc>
          <w:tcPr/>
          <w:p>
            <w:pPr>
              <w:pStyle w:val="BodyText"/>
            </w:pPr>
            <w:r>
              <w:t xml:space="preserve">Prepare for the Final Exam. Last day of classes Fri Dec 11.</w:t>
            </w:r>
          </w:p>
        </w:tc>
      </w:tr>
      <w:tr>
        <w:tc>
          <w:tcPr/>
          <w:p>
            <w:pPr>
              <w:pStyle w:val="BodyText"/>
            </w:pPr>
            <w:r>
              <w:t xml:space="preserve">Finals</w:t>
            </w:r>
          </w:p>
        </w:tc>
        <w:tc>
          <w:tcPr/>
          <w:p>
            <w:pPr>
              <w:pStyle w:val="BodyText"/>
            </w:pPr>
            <w:r>
              <w:t xml:space="preserve">Dec 13 - Dec 19</w:t>
            </w:r>
          </w:p>
        </w:tc>
        <w:tc>
          <w:tcPr/>
          <w:p>
            <w:pPr>
              <w:pStyle w:val="BodyText"/>
            </w:pPr>
            <w:r>
              <w:t xml:space="preserve">Final examination week.</w:t>
            </w:r>
          </w:p>
        </w:tc>
        <w:tc>
          <w:tcPr/>
          <w:p>
            <w:pPr>
              <w:pStyle w:val="BodyText"/>
            </w:pPr>
            <w:r>
              <w:t xml:space="preserve">Final Exam open window. No single fixed date or time; complete it at any point during Dec 13-19.</w:t>
            </w:r>
          </w:p>
        </w:tc>
      </w:tr>
    </w:tbl>
    <w:bookmarkEnd w:id="28"/>
    <w:bookmarkStart w:id="35" w:name="required-course-assignments"/>
    <w:p>
      <w:pPr>
        <w:pStyle w:val="Heading1"/>
      </w:pPr>
      <w:r>
        <w:t xml:space="preserve">Required Course Assignments</w:t>
      </w:r>
    </w:p>
    <w:p>
      <w:pPr>
        <w:pStyle w:val="BodyText"/>
      </w:pPr>
      <w:r>
        <w:t xml:space="preserve">There are three graded components: two individual exams and one team Systems Analysis Project carried across Modules 1 and 3 through 7. Graduate students complete one additional individual assignment. The table below lists every deliverable, whether it is individual or group work, and when it is due.</w:t>
      </w:r>
    </w:p>
    <w:tbl>
      <w:tblPr>
        <w:tblStyle w:val="Table"/>
        <w:tblW w:type="pct" w:w="5000"/>
        <w:tblLayout w:type="fixed"/>
        <w:tblLook w:firstRow="1" w:lastRow="0" w:firstColumn="0" w:lastColumn="0" w:noHBand="0" w:noVBand="0" w:val="0020"/>
        <w:tblCaption w:val="Required Assignments, Type, and Due Dates"/>
        <w:tblDescription w:val="Four-column table listing every graded deliverable in the course. Columns are the module it belongs to, the assignment name, whether it is individual or group work, and its due date."/>
      </w:tblPr>
      <w:tblGrid>
        <w:gridCol w:w="1980"/>
        <w:gridCol w:w="1980"/>
        <w:gridCol w:w="1980"/>
        <w:gridCol w:w="1980"/>
      </w:tblGrid>
      <w:tr>
        <w:trPr>
          <w:tblHeader/>
          <w:tblHeader w:val="on"/>
        </w:trPr>
        <w:tc>
          <w:tcPr/>
          <w:p>
            <w:pPr>
              <w:pStyle w:val="BodyText"/>
            </w:pPr>
            <w:r>
              <w:t xml:space="preserve">Module</w:t>
            </w:r>
          </w:p>
        </w:tc>
        <w:tc>
          <w:tcPr/>
          <w:p>
            <w:pPr>
              <w:pStyle w:val="BodyText"/>
            </w:pPr>
            <w:r>
              <w:t xml:space="preserve">Assignment</w:t>
            </w:r>
          </w:p>
        </w:tc>
        <w:tc>
          <w:tcPr/>
          <w:p>
            <w:pPr>
              <w:pStyle w:val="BodyText"/>
            </w:pPr>
            <w:r>
              <w:t xml:space="preserve">Individual or group</w:t>
            </w:r>
          </w:p>
        </w:tc>
        <w:tc>
          <w:tcPr/>
          <w:p>
            <w:pPr>
              <w:pStyle w:val="BodyText"/>
            </w:pPr>
            <w:r>
              <w:t xml:space="preserve">Due date</w:t>
            </w:r>
          </w:p>
        </w:tc>
      </w:tr>
      <w:tr>
        <w:tc>
          <w:tcPr/>
          <w:p>
            <w:pPr>
              <w:pStyle w:val="BodyText"/>
            </w:pPr>
            <w:r>
              <w:t xml:space="preserve">Module 1</w:t>
            </w:r>
          </w:p>
        </w:tc>
        <w:tc>
          <w:tcPr/>
          <w:p>
            <w:pPr>
              <w:pStyle w:val="BodyText"/>
            </w:pPr>
            <w:r>
              <w:t xml:space="preserve">Team Agreement</w:t>
            </w:r>
          </w:p>
        </w:tc>
        <w:tc>
          <w:tcPr/>
          <w:p>
            <w:pPr>
              <w:pStyle w:val="BodyText"/>
            </w:pPr>
            <w:r>
              <w:t xml:space="preserve">Group</w:t>
            </w:r>
          </w:p>
        </w:tc>
        <w:tc>
          <w:tcPr/>
          <w:p>
            <w:pPr>
              <w:pStyle w:val="BodyText"/>
            </w:pPr>
            <w:r>
              <w:t xml:space="preserve">Friday, August 28, 2026</w:t>
            </w:r>
          </w:p>
        </w:tc>
      </w:tr>
      <w:tr>
        <w:tc>
          <w:tcPr/>
          <w:p>
            <w:pPr>
              <w:pStyle w:val="BodyText"/>
            </w:pPr>
            <w:r>
              <w:t xml:space="preserve">Module 2</w:t>
            </w:r>
          </w:p>
        </w:tc>
        <w:tc>
          <w:tcPr/>
          <w:p>
            <w:pPr>
              <w:pStyle w:val="BodyText"/>
            </w:pPr>
            <w:r>
              <w:t xml:space="preserve">Exam 1 (Systems Thinking)</w:t>
            </w:r>
          </w:p>
        </w:tc>
        <w:tc>
          <w:tcPr/>
          <w:p>
            <w:pPr>
              <w:pStyle w:val="BodyText"/>
            </w:pPr>
            <w:r>
              <w:t xml:space="preserve">Individual</w:t>
            </w:r>
          </w:p>
        </w:tc>
        <w:tc>
          <w:tcPr/>
          <w:p>
            <w:pPr>
              <w:pStyle w:val="BodyText"/>
            </w:pPr>
            <w:r>
              <w:t xml:space="preserve">Window: Monday, September 14 - Friday, September 18, 2026</w:t>
            </w:r>
          </w:p>
        </w:tc>
      </w:tr>
      <w:tr>
        <w:tc>
          <w:tcPr/>
          <w:p>
            <w:pPr>
              <w:pStyle w:val="BodyText"/>
            </w:pPr>
            <w:r>
              <w:t xml:space="preserve">Module 3</w:t>
            </w:r>
          </w:p>
        </w:tc>
        <w:tc>
          <w:tcPr/>
          <w:p>
            <w:pPr>
              <w:pStyle w:val="BodyText"/>
            </w:pPr>
            <w:r>
              <w:t xml:space="preserve">Element List</w:t>
            </w:r>
          </w:p>
        </w:tc>
        <w:tc>
          <w:tcPr/>
          <w:p>
            <w:pPr>
              <w:pStyle w:val="BodyText"/>
            </w:pPr>
            <w:r>
              <w:t xml:space="preserve">Group</w:t>
            </w:r>
          </w:p>
        </w:tc>
        <w:tc>
          <w:tcPr/>
          <w:p>
            <w:pPr>
              <w:pStyle w:val="BodyText"/>
            </w:pPr>
            <w:r>
              <w:t xml:space="preserve">Friday, October 2, 2026</w:t>
            </w:r>
          </w:p>
        </w:tc>
      </w:tr>
      <w:tr>
        <w:tc>
          <w:tcPr/>
          <w:p>
            <w:pPr>
              <w:pStyle w:val="BodyText"/>
            </w:pPr>
            <w:r>
              <w:t xml:space="preserve">Module 3</w:t>
            </w:r>
          </w:p>
        </w:tc>
        <w:tc>
          <w:tcPr/>
          <w:p>
            <w:pPr>
              <w:pStyle w:val="BodyText"/>
            </w:pPr>
            <w:r>
              <w:t xml:space="preserve">Initial System Map (</w:t>
            </w:r>
            <w:r>
              <w:rPr>
                <w:rStyle w:val="VerbatimChar"/>
              </w:rPr>
              <w:t xml:space="preserve">.gv</w:t>
            </w:r>
            <w:r>
              <w:t xml:space="preserve"> </w:t>
            </w:r>
            <w:r>
              <w:t xml:space="preserve">file and rendered map)</w:t>
            </w:r>
          </w:p>
        </w:tc>
        <w:tc>
          <w:tcPr/>
          <w:p>
            <w:pPr>
              <w:pStyle w:val="BodyText"/>
            </w:pPr>
            <w:r>
              <w:t xml:space="preserve">Group</w:t>
            </w:r>
          </w:p>
        </w:tc>
        <w:tc>
          <w:tcPr/>
          <w:p>
            <w:pPr>
              <w:pStyle w:val="BodyText"/>
            </w:pPr>
            <w:r>
              <w:t xml:space="preserve">Friday, October 2, 2026</w:t>
            </w:r>
          </w:p>
        </w:tc>
      </w:tr>
      <w:tr>
        <w:tc>
          <w:tcPr/>
          <w:p>
            <w:pPr>
              <w:pStyle w:val="BodyText"/>
            </w:pPr>
            <w:r>
              <w:t xml:space="preserve">Module 3</w:t>
            </w:r>
          </w:p>
        </w:tc>
        <w:tc>
          <w:tcPr/>
          <w:p>
            <w:pPr>
              <w:pStyle w:val="BodyText"/>
            </w:pPr>
            <w:r>
              <w:t xml:space="preserve">Team Checkpoint 1</w:t>
            </w:r>
          </w:p>
        </w:tc>
        <w:tc>
          <w:tcPr/>
          <w:p>
            <w:pPr>
              <w:pStyle w:val="BodyText"/>
            </w:pPr>
            <w:r>
              <w:t xml:space="preserve">Individual</w:t>
            </w:r>
          </w:p>
        </w:tc>
        <w:tc>
          <w:tcPr/>
          <w:p>
            <w:pPr>
              <w:pStyle w:val="BodyText"/>
            </w:pPr>
            <w:r>
              <w:t xml:space="preserve">Friday, October 2, 2026</w:t>
            </w:r>
          </w:p>
        </w:tc>
      </w:tr>
      <w:tr>
        <w:tc>
          <w:tcPr/>
          <w:p>
            <w:pPr>
              <w:pStyle w:val="BodyText"/>
            </w:pPr>
            <w:r>
              <w:t xml:space="preserve">Module 4</w:t>
            </w:r>
          </w:p>
        </w:tc>
        <w:tc>
          <w:tcPr/>
          <w:p>
            <w:pPr>
              <w:pStyle w:val="BodyText"/>
            </w:pPr>
            <w:r>
              <w:t xml:space="preserve">Revised System Map</w:t>
            </w:r>
          </w:p>
        </w:tc>
        <w:tc>
          <w:tcPr/>
          <w:p>
            <w:pPr>
              <w:pStyle w:val="BodyText"/>
            </w:pPr>
            <w:r>
              <w:t xml:space="preserve">Group</w:t>
            </w:r>
          </w:p>
        </w:tc>
        <w:tc>
          <w:tcPr/>
          <w:p>
            <w:pPr>
              <w:pStyle w:val="BodyText"/>
            </w:pPr>
            <w:r>
              <w:t xml:space="preserve">Friday, October 16, 2026</w:t>
            </w:r>
          </w:p>
        </w:tc>
      </w:tr>
      <w:tr>
        <w:tc>
          <w:tcPr/>
          <w:p>
            <w:pPr>
              <w:pStyle w:val="BodyText"/>
            </w:pPr>
            <w:r>
              <w:t xml:space="preserve">Module 4</w:t>
            </w:r>
          </w:p>
        </w:tc>
        <w:tc>
          <w:tcPr/>
          <w:p>
            <w:pPr>
              <w:pStyle w:val="BodyText"/>
            </w:pPr>
            <w:r>
              <w:t xml:space="preserve">Element Reconsideration</w:t>
            </w:r>
          </w:p>
        </w:tc>
        <w:tc>
          <w:tcPr/>
          <w:p>
            <w:pPr>
              <w:pStyle w:val="BodyText"/>
            </w:pPr>
            <w:r>
              <w:t xml:space="preserve">Group</w:t>
            </w:r>
          </w:p>
        </w:tc>
        <w:tc>
          <w:tcPr/>
          <w:p>
            <w:pPr>
              <w:pStyle w:val="BodyText"/>
            </w:pPr>
            <w:r>
              <w:t xml:space="preserve">Friday, October 16, 2026</w:t>
            </w:r>
          </w:p>
        </w:tc>
      </w:tr>
      <w:tr>
        <w:tc>
          <w:tcPr/>
          <w:p>
            <w:pPr>
              <w:pStyle w:val="BodyText"/>
            </w:pPr>
            <w:r>
              <w:t xml:space="preserve">Module 4</w:t>
            </w:r>
          </w:p>
        </w:tc>
        <w:tc>
          <w:tcPr/>
          <w:p>
            <w:pPr>
              <w:pStyle w:val="BodyText"/>
            </w:pPr>
            <w:r>
              <w:t xml:space="preserve">Brief Memo: Reflection on System Behavior</w:t>
            </w:r>
          </w:p>
        </w:tc>
        <w:tc>
          <w:tcPr/>
          <w:p>
            <w:pPr>
              <w:pStyle w:val="BodyText"/>
            </w:pPr>
            <w:r>
              <w:t xml:space="preserve">Group</w:t>
            </w:r>
          </w:p>
        </w:tc>
        <w:tc>
          <w:tcPr/>
          <w:p>
            <w:pPr>
              <w:pStyle w:val="BodyText"/>
            </w:pPr>
            <w:r>
              <w:t xml:space="preserve">Friday, October 16, 2026</w:t>
            </w:r>
          </w:p>
        </w:tc>
      </w:tr>
      <w:tr>
        <w:tc>
          <w:tcPr/>
          <w:p>
            <w:pPr>
              <w:pStyle w:val="BodyText"/>
            </w:pPr>
            <w:r>
              <w:t xml:space="preserve">Module 5</w:t>
            </w:r>
          </w:p>
        </w:tc>
        <w:tc>
          <w:tcPr/>
          <w:p>
            <w:pPr>
              <w:pStyle w:val="BodyText"/>
            </w:pPr>
            <w:r>
              <w:t xml:space="preserve">Refined System Map</w:t>
            </w:r>
          </w:p>
        </w:tc>
        <w:tc>
          <w:tcPr/>
          <w:p>
            <w:pPr>
              <w:pStyle w:val="BodyText"/>
            </w:pPr>
            <w:r>
              <w:t xml:space="preserve">Group</w:t>
            </w:r>
          </w:p>
        </w:tc>
        <w:tc>
          <w:tcPr/>
          <w:p>
            <w:pPr>
              <w:pStyle w:val="BodyText"/>
            </w:pPr>
            <w:r>
              <w:t xml:space="preserve">Friday, November 6, 2026</w:t>
            </w:r>
          </w:p>
        </w:tc>
      </w:tr>
      <w:tr>
        <w:tc>
          <w:tcPr/>
          <w:p>
            <w:pPr>
              <w:pStyle w:val="BodyText"/>
            </w:pPr>
            <w:r>
              <w:t xml:space="preserve">Module 5</w:t>
            </w:r>
          </w:p>
        </w:tc>
        <w:tc>
          <w:tcPr/>
          <w:p>
            <w:pPr>
              <w:pStyle w:val="BodyText"/>
            </w:pPr>
            <w:r>
              <w:t xml:space="preserve">Brief Memo: Summary of Research Activity</w:t>
            </w:r>
          </w:p>
        </w:tc>
        <w:tc>
          <w:tcPr/>
          <w:p>
            <w:pPr>
              <w:pStyle w:val="BodyText"/>
            </w:pPr>
            <w:r>
              <w:t xml:space="preserve">Group</w:t>
            </w:r>
          </w:p>
        </w:tc>
        <w:tc>
          <w:tcPr/>
          <w:p>
            <w:pPr>
              <w:pStyle w:val="BodyText"/>
            </w:pPr>
            <w:r>
              <w:t xml:space="preserve">Friday, November 6, 2026</w:t>
            </w:r>
          </w:p>
        </w:tc>
      </w:tr>
      <w:tr>
        <w:tc>
          <w:tcPr/>
          <w:p>
            <w:pPr>
              <w:pStyle w:val="BodyText"/>
            </w:pPr>
            <w:r>
              <w:t xml:space="preserve">Module 5</w:t>
            </w:r>
          </w:p>
        </w:tc>
        <w:tc>
          <w:tcPr/>
          <w:p>
            <w:pPr>
              <w:pStyle w:val="BodyText"/>
            </w:pPr>
            <w:r>
              <w:t xml:space="preserve">Team Checkpoint 2</w:t>
            </w:r>
          </w:p>
        </w:tc>
        <w:tc>
          <w:tcPr/>
          <w:p>
            <w:pPr>
              <w:pStyle w:val="BodyText"/>
            </w:pPr>
            <w:r>
              <w:t xml:space="preserve">Individual</w:t>
            </w:r>
          </w:p>
        </w:tc>
        <w:tc>
          <w:tcPr/>
          <w:p>
            <w:pPr>
              <w:pStyle w:val="BodyText"/>
            </w:pPr>
            <w:r>
              <w:t xml:space="preserve">Friday, November 6, 2026</w:t>
            </w:r>
          </w:p>
        </w:tc>
      </w:tr>
      <w:tr>
        <w:tc>
          <w:tcPr/>
          <w:p>
            <w:pPr>
              <w:pStyle w:val="BodyText"/>
            </w:pPr>
            <w:r>
              <w:t xml:space="preserve">Module 6</w:t>
            </w:r>
          </w:p>
        </w:tc>
        <w:tc>
          <w:tcPr/>
          <w:p>
            <w:pPr>
              <w:pStyle w:val="BodyText"/>
            </w:pPr>
            <w:r>
              <w:t xml:space="preserve">System Interpretation and Leverage Analysis</w:t>
            </w:r>
          </w:p>
        </w:tc>
        <w:tc>
          <w:tcPr/>
          <w:p>
            <w:pPr>
              <w:pStyle w:val="BodyText"/>
            </w:pPr>
            <w:r>
              <w:t xml:space="preserve">Individual and group components</w:t>
            </w:r>
          </w:p>
        </w:tc>
        <w:tc>
          <w:tcPr/>
          <w:p>
            <w:pPr>
              <w:pStyle w:val="BodyText"/>
            </w:pPr>
            <w:r>
              <w:t xml:space="preserve">Friday, November 20, 2026</w:t>
            </w:r>
          </w:p>
        </w:tc>
      </w:tr>
      <w:tr>
        <w:tc>
          <w:tcPr/>
          <w:p>
            <w:pPr>
              <w:pStyle w:val="BodyText"/>
            </w:pPr>
            <w:r>
              <w:t xml:space="preserve">Module 7</w:t>
            </w:r>
          </w:p>
        </w:tc>
        <w:tc>
          <w:tcPr/>
          <w:p>
            <w:pPr>
              <w:pStyle w:val="BodyText"/>
            </w:pPr>
            <w:r>
              <w:t xml:space="preserve">Final System Map</w:t>
            </w:r>
          </w:p>
        </w:tc>
        <w:tc>
          <w:tcPr/>
          <w:p>
            <w:pPr>
              <w:pStyle w:val="BodyText"/>
            </w:pPr>
            <w:r>
              <w:t xml:space="preserve">Group</w:t>
            </w:r>
          </w:p>
        </w:tc>
        <w:tc>
          <w:tcPr/>
          <w:p>
            <w:pPr>
              <w:pStyle w:val="BodyText"/>
            </w:pPr>
            <w:r>
              <w:t xml:space="preserve">Friday, November 20, 2026</w:t>
            </w:r>
          </w:p>
        </w:tc>
      </w:tr>
      <w:tr>
        <w:tc>
          <w:tcPr/>
          <w:p>
            <w:pPr>
              <w:pStyle w:val="BodyText"/>
            </w:pPr>
            <w:r>
              <w:t xml:space="preserve">Graduate students only</w:t>
            </w:r>
          </w:p>
        </w:tc>
        <w:tc>
          <w:tcPr/>
          <w:p>
            <w:pPr>
              <w:pStyle w:val="BodyText"/>
            </w:pPr>
            <w:r>
              <w:t xml:space="preserve">Secondary System Analysis</w:t>
            </w:r>
          </w:p>
        </w:tc>
        <w:tc>
          <w:tcPr/>
          <w:p>
            <w:pPr>
              <w:pStyle w:val="BodyText"/>
            </w:pPr>
            <w:r>
              <w:t xml:space="preserve">Individual</w:t>
            </w:r>
          </w:p>
        </w:tc>
        <w:tc>
          <w:tcPr/>
          <w:p>
            <w:pPr>
              <w:pStyle w:val="BodyText"/>
            </w:pPr>
            <w:r>
              <w:t xml:space="preserve">Friday, November 20, 2026</w:t>
            </w:r>
          </w:p>
        </w:tc>
      </w:tr>
      <w:tr>
        <w:tc>
          <w:tcPr/>
          <w:p>
            <w:pPr>
              <w:pStyle w:val="BodyText"/>
            </w:pPr>
            <w:r>
              <w:t xml:space="preserve">Finals week</w:t>
            </w:r>
          </w:p>
        </w:tc>
        <w:tc>
          <w:tcPr/>
          <w:p>
            <w:pPr>
              <w:pStyle w:val="BodyText"/>
            </w:pPr>
            <w:r>
              <w:t xml:space="preserve">Final Exam</w:t>
            </w:r>
          </w:p>
        </w:tc>
        <w:tc>
          <w:tcPr/>
          <w:p>
            <w:pPr>
              <w:pStyle w:val="BodyText"/>
            </w:pPr>
            <w:r>
              <w:t xml:space="preserve">Individual</w:t>
            </w:r>
          </w:p>
        </w:tc>
        <w:tc>
          <w:tcPr/>
          <w:p>
            <w:pPr>
              <w:pStyle w:val="BodyText"/>
            </w:pPr>
            <w:r>
              <w:t xml:space="preserve">Open window: Sunday, December 13 - Saturday, December 19, 2026</w:t>
            </w:r>
          </w:p>
        </w:tc>
      </w:tr>
    </w:tbl>
    <w:bookmarkStart w:id="31" w:name="individual-assignments"/>
    <w:p>
      <w:pPr>
        <w:pStyle w:val="Heading2"/>
      </w:pPr>
      <w:r>
        <w:t xml:space="preserve">Individual Assignments</w:t>
      </w:r>
    </w:p>
    <w:bookmarkStart w:id="29" w:name="exam-1-systems-thinking"/>
    <w:p>
      <w:pPr>
        <w:pStyle w:val="Heading3"/>
      </w:pPr>
      <w:r>
        <w:t xml:space="preserve">Exam 1: Systems Thinking</w:t>
      </w:r>
    </w:p>
    <w:p>
      <w:pPr>
        <w:pStyle w:val="BodyText"/>
      </w:pPr>
      <w:r>
        <w:t xml:space="preserve">Exam 1 covers Module 2 and is taken in Canvas during the window of September 14-18, 2026. It consists of multiple-choice and multiple-answer questions and assesses your ability to reason about systems, not to memorize terms or definitions. You will analyze short system descriptions and, in some cases, simple diagrams. All necessary information is provided in each question.</w:t>
      </w:r>
    </w:p>
    <w:p>
      <w:pPr>
        <w:pStyle w:val="BodyText"/>
      </w:pPr>
      <w:r>
        <w:t xml:space="preserve">The exam is fully auto-graded. You may move between questions and change your answers before submitting. You have 75 minutes. The time limit is set so that students who understand the material can finish comfortably without external resources.</w:t>
      </w:r>
    </w:p>
    <w:p>
      <w:pPr>
        <w:pStyle w:val="BodyText"/>
      </w:pPr>
      <w:r>
        <w:t xml:space="preserve">This exam must be completed independently. AI tools may not be used. The structure and timing are designed so that external tools, shared answers, or AI-generated responses are unlikely to help, and may produce answers that are internally inconsistent or incorrect.</w:t>
      </w:r>
    </w:p>
    <w:bookmarkEnd w:id="29"/>
    <w:bookmarkStart w:id="30" w:name="final-exam"/>
    <w:p>
      <w:pPr>
        <w:pStyle w:val="Heading3"/>
      </w:pPr>
      <w:r>
        <w:t xml:space="preserve">Final Exam</w:t>
      </w:r>
    </w:p>
    <w:p>
      <w:pPr>
        <w:pStyle w:val="BodyText"/>
      </w:pPr>
      <w:r>
        <w:t xml:space="preserve">The Final Exam is an individual assessment of your understanding of the organization and financing of the U.S. health care system, taken in Canvas during an open window in finals week, December 13-19, 2026. There is no single fixed date or time.</w:t>
      </w:r>
    </w:p>
    <w:p>
      <w:pPr>
        <w:pStyle w:val="BodyText"/>
      </w:pPr>
      <w:r>
        <w:t xml:space="preserve">The exam is primarily multiple choice and focuses on explanation and reasoning rather than memorization. Questions ask you to interpret short scenarios and identify which explanations or outcomes are most consistent with how the U.S. health care system is structured, including financing, payment, governance, access, and equity. You are not expected to recall exhaustive factual detail. You are expected to connect system components, recognize constraints and tradeoffs, and explain why certain patterns or outcomes persist. Your team’s final system map may be used to write part of your individualized final exam questions.</w:t>
      </w:r>
    </w:p>
    <w:bookmarkEnd w:id="30"/>
    <w:bookmarkEnd w:id="31"/>
    <w:bookmarkStart w:id="32" w:name="X159171bbdd583ddfbf68dad42c04337422f1524"/>
    <w:p>
      <w:pPr>
        <w:pStyle w:val="Heading2"/>
      </w:pPr>
      <w:r>
        <w:t xml:space="preserve">Group Assignment: Systems Analysis of the U.S. Health Care System</w:t>
      </w:r>
    </w:p>
    <w:p>
      <w:pPr>
        <w:pStyle w:val="BodyText"/>
      </w:pPr>
      <w:r>
        <w:t xml:space="preserve">Your team selects a U.S. health problem in Module 1 and analyzes how the health care system affects it, building and revising a systems map across Modules 3 through 7. Deliverables and due dates are in the table above.</w:t>
      </w:r>
    </w:p>
    <w:p>
      <w:pPr>
        <w:pStyle w:val="BodyText"/>
      </w:pPr>
      <w:r>
        <w:t xml:space="preserve">Work in the project is evaluated using a single diagnostic question rather than a rubric:</w:t>
      </w:r>
    </w:p>
    <w:p>
      <w:pPr>
        <w:pStyle w:val="Quote"/>
      </w:pPr>
      <w:r>
        <w:t xml:space="preserve">Does this work demonstrate the kind of systems thinking I expect at this stage of the project?</w:t>
      </w:r>
    </w:p>
    <w:p>
      <w:pPr>
        <w:pStyle w:val="BodyText"/>
      </w:pPr>
      <w:r>
        <w:t xml:space="preserve">Work is graded at one of three levels: Yes (full credit), Partially (partial credit), or Not Yet (minimal credit). Grammar, formatting, and technical polish are not graded directly, but work must be intelligible. Where a deliverable includes a</w:t>
      </w:r>
      <w:r>
        <w:t xml:space="preserve"> </w:t>
      </w:r>
      <w:r>
        <w:rPr>
          <w:rStyle w:val="VerbatimChar"/>
        </w:rPr>
        <w:t xml:space="preserve">.gv</w:t>
      </w:r>
      <w:r>
        <w:t xml:space="preserve"> </w:t>
      </w:r>
      <w:r>
        <w:t xml:space="preserve">file, it must render; a file that does not render cannot be evaluated and receives no credit for that component.</w:t>
      </w:r>
    </w:p>
    <w:p>
      <w:pPr>
        <w:pStyle w:val="BodyText"/>
      </w:pPr>
      <w:r>
        <w:t xml:space="preserve">If technical problems prevent evaluation of your reasoning or system structure, the assignment may receive partial or minimal credit.</w:t>
      </w:r>
    </w:p>
    <w:bookmarkEnd w:id="32"/>
    <w:bookmarkStart w:id="33" w:name="team-check-ins"/>
    <w:p>
      <w:pPr>
        <w:pStyle w:val="Heading2"/>
      </w:pPr>
      <w:r>
        <w:t xml:space="preserve">Team Check-Ins</w:t>
      </w:r>
    </w:p>
    <w:p>
      <w:pPr>
        <w:pStyle w:val="BodyText"/>
      </w:pPr>
      <w:r>
        <w:t xml:space="preserve">This course includes substantial team-based work. Team work supports learning; it is not a measure of effort, personality, or time spent. Contribution is understood as demonstrated understanding of the system being analyzed.</w:t>
      </w:r>
    </w:p>
    <w:p>
      <w:pPr>
        <w:pStyle w:val="BodyText"/>
      </w:pPr>
      <w:r>
        <w:t xml:space="preserve">Individual contribution is evaluated on your ability to explain and engage with the system at the appropriate stage of the project. The course does not use peer grading, contribution logs, or time tracking. You will not be asked to evaluate or report on your teammates.</w:t>
      </w:r>
    </w:p>
    <w:p>
      <w:pPr>
        <w:pStyle w:val="BodyText"/>
      </w:pPr>
      <w:r>
        <w:t xml:space="preserve">At two points in the term - Team Checkpoint 1 in Module 3 and Team Checkpoint 2 in Module 5 - you complete a brief individual check-in. These are private and are not shared with teammates. Check-ins are scored as a percentage of your team’s score for that component.</w:t>
      </w:r>
    </w:p>
    <w:tbl>
      <w:tblPr>
        <w:tblStyle w:val="Table"/>
        <w:tblW w:type="auto" w:w="0"/>
        <w:tblLook w:firstRow="1" w:lastRow="0" w:firstColumn="0" w:lastColumn="0" w:noHBand="0" w:noVBand="0" w:val="0020"/>
        <w:tblCaption w:val="Team Check-In Scoring"/>
        <w:tblDescription w:val="Two-column table giving the five check-in tiers, from clear understanding to non-submission, and the percentage of the team score each tier earns."/>
      </w:tblPr>
      <w:tblGrid>
        <w:gridCol w:w="3960"/>
        <w:gridCol w:w="3960"/>
      </w:tblGrid>
      <w:tr>
        <w:trPr>
          <w:tblHeader/>
          <w:tblHeader w:val="on"/>
        </w:trPr>
        <w:tc>
          <w:tcPr/>
          <w:p>
            <w:pPr>
              <w:pStyle w:val="BodyText"/>
            </w:pPr>
            <w:r>
              <w:t xml:space="preserve">Check-in tier</w:t>
            </w:r>
          </w:p>
        </w:tc>
        <w:tc>
          <w:tcPr/>
          <w:p>
            <w:pPr>
              <w:pStyle w:val="BodyText"/>
            </w:pPr>
            <w:r>
              <w:t xml:space="preserve">Score, as a percentage of team score</w:t>
            </w:r>
          </w:p>
        </w:tc>
      </w:tr>
      <w:tr>
        <w:tc>
          <w:tcPr/>
          <w:p>
            <w:pPr>
              <w:pStyle w:val="BodyText"/>
            </w:pPr>
            <w:r>
              <w:t xml:space="preserve">Clear understanding</w:t>
            </w:r>
          </w:p>
        </w:tc>
        <w:tc>
          <w:tcPr/>
          <w:p>
            <w:pPr>
              <w:pStyle w:val="BodyText"/>
            </w:pPr>
            <w:r>
              <w:t xml:space="preserve">100%</w:t>
            </w:r>
          </w:p>
        </w:tc>
      </w:tr>
      <w:tr>
        <w:tc>
          <w:tcPr/>
          <w:p>
            <w:pPr>
              <w:pStyle w:val="BodyText"/>
            </w:pPr>
            <w:r>
              <w:t xml:space="preserve">Partial understanding</w:t>
            </w:r>
          </w:p>
        </w:tc>
        <w:tc>
          <w:tcPr/>
          <w:p>
            <w:pPr>
              <w:pStyle w:val="BodyText"/>
            </w:pPr>
            <w:r>
              <w:t xml:space="preserve">90%</w:t>
            </w:r>
          </w:p>
        </w:tc>
      </w:tr>
      <w:tr>
        <w:tc>
          <w:tcPr/>
          <w:p>
            <w:pPr>
              <w:pStyle w:val="BodyText"/>
            </w:pPr>
            <w:r>
              <w:t xml:space="preserve">Minimal understanding</w:t>
            </w:r>
          </w:p>
        </w:tc>
        <w:tc>
          <w:tcPr/>
          <w:p>
            <w:pPr>
              <w:pStyle w:val="BodyText"/>
            </w:pPr>
            <w:r>
              <w:t xml:space="preserve">85%</w:t>
            </w:r>
          </w:p>
        </w:tc>
      </w:tr>
      <w:tr>
        <w:tc>
          <w:tcPr/>
          <w:p>
            <w:pPr>
              <w:pStyle w:val="BodyText"/>
            </w:pPr>
            <w:r>
              <w:t xml:space="preserve">Cannot explain the system</w:t>
            </w:r>
          </w:p>
        </w:tc>
        <w:tc>
          <w:tcPr/>
          <w:p>
            <w:pPr>
              <w:pStyle w:val="BodyText"/>
            </w:pPr>
            <w:r>
              <w:t xml:space="preserve">75%</w:t>
            </w:r>
          </w:p>
        </w:tc>
      </w:tr>
      <w:tr>
        <w:tc>
          <w:tcPr/>
          <w:p>
            <w:pPr>
              <w:pStyle w:val="BodyText"/>
            </w:pPr>
            <w:r>
              <w:t xml:space="preserve">Non-submission</w:t>
            </w:r>
          </w:p>
        </w:tc>
        <w:tc>
          <w:tcPr/>
          <w:p>
            <w:pPr>
              <w:pStyle w:val="BodyText"/>
            </w:pPr>
            <w:r>
              <w:t xml:space="preserve">0%</w:t>
            </w:r>
          </w:p>
        </w:tc>
      </w:tr>
    </w:tbl>
    <w:p>
      <w:pPr>
        <w:pStyle w:val="BodyText"/>
      </w:pPr>
      <w:r>
        <w:t xml:space="preserve">Not submitting a check-in is scored separately from, and more harshly than, submitting a weak one. A check-in that shows you are struggling is worth engaging with the course about; it will never be scored as though you did not try.</w:t>
      </w:r>
    </w:p>
    <w:p>
      <w:pPr>
        <w:pStyle w:val="BodyText"/>
      </w:pPr>
      <w:r>
        <w:t xml:space="preserve">If you appear to be struggling to understand or engage with the system, the default response is a learning-focused intervention, such as an individual systems memo. Escalation beyond that is rare. Group grades are not reduced because of individual difficulties.</w:t>
      </w:r>
    </w:p>
    <w:bookmarkEnd w:id="33"/>
    <w:bookmarkStart w:id="34" w:name="graduate-student-assignment"/>
    <w:p>
      <w:pPr>
        <w:pStyle w:val="Heading2"/>
      </w:pPr>
      <w:r>
        <w:t xml:space="preserve">Graduate Student Assignment</w:t>
      </w:r>
    </w:p>
    <w:p>
      <w:pPr>
        <w:pStyle w:val="BodyText"/>
      </w:pPr>
      <w:r>
        <w:t xml:space="preserve">Graduate students complete a Secondary System Analysis, an individual assignment worth 15% of the graduate course grade. The full description is on the course website and in Canvas.</w:t>
      </w:r>
    </w:p>
    <w:bookmarkEnd w:id="34"/>
    <w:bookmarkEnd w:id="35"/>
    <w:bookmarkStart w:id="47" w:name="grading-policy-standards-and-criteria"/>
    <w:p>
      <w:pPr>
        <w:pStyle w:val="Heading1"/>
      </w:pPr>
      <w:r>
        <w:t xml:space="preserve">Grading Policy, Standards, and Criteria</w:t>
      </w:r>
    </w:p>
    <w:bookmarkStart w:id="36" w:name="grade-breakdown-undergraduate-students"/>
    <w:p>
      <w:pPr>
        <w:pStyle w:val="Heading2"/>
      </w:pPr>
      <w:r>
        <w:t xml:space="preserve">Grade Breakdown: Undergraduate Students</w:t>
      </w:r>
    </w:p>
    <w:tbl>
      <w:tblPr>
        <w:tblStyle w:val="Table"/>
        <w:tblW w:type="auto" w:w="0"/>
        <w:tblLook w:firstRow="1" w:lastRow="0" w:firstColumn="0" w:lastColumn="0" w:noHBand="0" w:noVBand="0" w:val="0020"/>
        <w:tblCaption w:val="Grade Breakdown, Undergraduate Students"/>
        <w:tblDescription w:val="Two-column table listing the three graded components for undergraduates and their weights: Exam 1 at 22 percent, Systems Analysis Project at 40 percent, and Final Exam at 38 percent, totaling 100 percent."/>
      </w:tblPr>
      <w:tblGrid>
        <w:gridCol w:w="3960"/>
        <w:gridCol w:w="3960"/>
      </w:tblGrid>
      <w:tr>
        <w:trPr>
          <w:tblHeader/>
          <w:tblHeader w:val="on"/>
        </w:trPr>
        <w:tc>
          <w:tcPr/>
          <w:p>
            <w:pPr>
              <w:pStyle w:val="BodyText"/>
            </w:pPr>
            <w:r>
              <w:t xml:space="preserve">Component</w:t>
            </w:r>
          </w:p>
        </w:tc>
        <w:tc>
          <w:tcPr/>
          <w:p>
            <w:pPr>
              <w:pStyle w:val="BodyText"/>
            </w:pPr>
            <w:r>
              <w:t xml:space="preserve">Weight</w:t>
            </w:r>
          </w:p>
        </w:tc>
      </w:tr>
      <w:tr>
        <w:tc>
          <w:tcPr/>
          <w:p>
            <w:pPr>
              <w:pStyle w:val="BodyText"/>
            </w:pPr>
            <w:r>
              <w:t xml:space="preserve">Exam 1</w:t>
            </w:r>
          </w:p>
        </w:tc>
        <w:tc>
          <w:tcPr/>
          <w:p>
            <w:pPr>
              <w:pStyle w:val="BodyText"/>
            </w:pPr>
            <w:r>
              <w:t xml:space="preserve">22%</w:t>
            </w:r>
          </w:p>
        </w:tc>
      </w:tr>
      <w:tr>
        <w:tc>
          <w:tcPr/>
          <w:p>
            <w:pPr>
              <w:pStyle w:val="BodyText"/>
            </w:pPr>
            <w:r>
              <w:t xml:space="preserve">Systems Analysis Project</w:t>
            </w:r>
          </w:p>
        </w:tc>
        <w:tc>
          <w:tcPr/>
          <w:p>
            <w:pPr>
              <w:pStyle w:val="BodyText"/>
            </w:pPr>
            <w:r>
              <w:t xml:space="preserve">40%</w:t>
            </w:r>
          </w:p>
        </w:tc>
      </w:tr>
      <w:tr>
        <w:tc>
          <w:tcPr/>
          <w:p>
            <w:pPr>
              <w:pStyle w:val="BodyText"/>
            </w:pPr>
            <w:r>
              <w:t xml:space="preserve">Final Exam</w:t>
            </w:r>
          </w:p>
        </w:tc>
        <w:tc>
          <w:tcPr/>
          <w:p>
            <w:pPr>
              <w:pStyle w:val="BodyText"/>
            </w:pPr>
            <w:r>
              <w:t xml:space="preserve">38%</w:t>
            </w:r>
          </w:p>
        </w:tc>
      </w:tr>
      <w:tr>
        <w:tc>
          <w:tcPr/>
          <w:p>
            <w:pPr>
              <w:pStyle w:val="BodyText"/>
            </w:pPr>
            <w:r>
              <w:t xml:space="preserve">Total</w:t>
            </w:r>
          </w:p>
        </w:tc>
        <w:tc>
          <w:tcPr/>
          <w:p>
            <w:pPr>
              <w:pStyle w:val="BodyText"/>
            </w:pPr>
            <w:r>
              <w:t xml:space="preserve">100%</w:t>
            </w:r>
          </w:p>
        </w:tc>
      </w:tr>
    </w:tbl>
    <w:bookmarkEnd w:id="36"/>
    <w:bookmarkStart w:id="37" w:name="grade-breakdown-graduate-students"/>
    <w:p>
      <w:pPr>
        <w:pStyle w:val="Heading2"/>
      </w:pPr>
      <w:r>
        <w:t xml:space="preserve">Grade Breakdown: Graduate Students</w:t>
      </w:r>
    </w:p>
    <w:tbl>
      <w:tblPr>
        <w:tblStyle w:val="Table"/>
        <w:tblW w:type="auto" w:w="0"/>
        <w:tblLook w:firstRow="1" w:lastRow="0" w:firstColumn="0" w:lastColumn="0" w:noHBand="0" w:noVBand="0" w:val="0020"/>
        <w:tblCaption w:val="Grade Breakdown, Graduate Students"/>
        <w:tblDescription w:val="Two-column table listing the four graded components for graduate students and their weights: Exam 1 at 22 percent, Systems Analysis Project at 40 percent, Final Exam at 23 percent, and Secondary System Analysis at 15 percent, totaling 100 percent."/>
      </w:tblPr>
      <w:tblGrid>
        <w:gridCol w:w="3960"/>
        <w:gridCol w:w="3960"/>
      </w:tblGrid>
      <w:tr>
        <w:trPr>
          <w:tblHeader/>
          <w:tblHeader w:val="on"/>
        </w:trPr>
        <w:tc>
          <w:tcPr/>
          <w:p>
            <w:pPr>
              <w:pStyle w:val="BodyText"/>
            </w:pPr>
            <w:r>
              <w:t xml:space="preserve">Component</w:t>
            </w:r>
          </w:p>
        </w:tc>
        <w:tc>
          <w:tcPr/>
          <w:p>
            <w:pPr>
              <w:pStyle w:val="BodyText"/>
            </w:pPr>
            <w:r>
              <w:t xml:space="preserve">Weight</w:t>
            </w:r>
          </w:p>
        </w:tc>
      </w:tr>
      <w:tr>
        <w:tc>
          <w:tcPr/>
          <w:p>
            <w:pPr>
              <w:pStyle w:val="BodyText"/>
            </w:pPr>
            <w:r>
              <w:t xml:space="preserve">Exam 1</w:t>
            </w:r>
          </w:p>
        </w:tc>
        <w:tc>
          <w:tcPr/>
          <w:p>
            <w:pPr>
              <w:pStyle w:val="BodyText"/>
            </w:pPr>
            <w:r>
              <w:t xml:space="preserve">22%</w:t>
            </w:r>
          </w:p>
        </w:tc>
      </w:tr>
      <w:tr>
        <w:tc>
          <w:tcPr/>
          <w:p>
            <w:pPr>
              <w:pStyle w:val="BodyText"/>
            </w:pPr>
            <w:r>
              <w:t xml:space="preserve">Systems Analysis Project</w:t>
            </w:r>
          </w:p>
        </w:tc>
        <w:tc>
          <w:tcPr/>
          <w:p>
            <w:pPr>
              <w:pStyle w:val="BodyText"/>
            </w:pPr>
            <w:r>
              <w:t xml:space="preserve">40%</w:t>
            </w:r>
          </w:p>
        </w:tc>
      </w:tr>
      <w:tr>
        <w:tc>
          <w:tcPr/>
          <w:p>
            <w:pPr>
              <w:pStyle w:val="BodyText"/>
            </w:pPr>
            <w:r>
              <w:t xml:space="preserve">Final Exam</w:t>
            </w:r>
          </w:p>
        </w:tc>
        <w:tc>
          <w:tcPr/>
          <w:p>
            <w:pPr>
              <w:pStyle w:val="BodyText"/>
            </w:pPr>
            <w:r>
              <w:t xml:space="preserve">23%</w:t>
            </w:r>
          </w:p>
        </w:tc>
      </w:tr>
      <w:tr>
        <w:tc>
          <w:tcPr/>
          <w:p>
            <w:pPr>
              <w:pStyle w:val="BodyText"/>
            </w:pPr>
            <w:r>
              <w:t xml:space="preserve">Secondary System Analysis</w:t>
            </w:r>
          </w:p>
        </w:tc>
        <w:tc>
          <w:tcPr/>
          <w:p>
            <w:pPr>
              <w:pStyle w:val="BodyText"/>
            </w:pPr>
            <w:r>
              <w:t xml:space="preserve">15%</w:t>
            </w:r>
          </w:p>
        </w:tc>
      </w:tr>
      <w:tr>
        <w:tc>
          <w:tcPr/>
          <w:p>
            <w:pPr>
              <w:pStyle w:val="BodyText"/>
            </w:pPr>
            <w:r>
              <w:t xml:space="preserve">Total</w:t>
            </w:r>
          </w:p>
        </w:tc>
        <w:tc>
          <w:tcPr/>
          <w:p>
            <w:pPr>
              <w:pStyle w:val="BodyText"/>
            </w:pPr>
            <w:r>
              <w:t xml:space="preserve">100%</w:t>
            </w:r>
          </w:p>
        </w:tc>
      </w:tr>
    </w:tbl>
    <w:bookmarkEnd w:id="37"/>
    <w:bookmarkStart w:id="38" w:name="grading-scale"/>
    <w:p>
      <w:pPr>
        <w:pStyle w:val="Heading2"/>
      </w:pPr>
      <w:r>
        <w:t xml:space="preserve">Grading Scale</w:t>
      </w:r>
    </w:p>
    <w:p>
      <w:pPr>
        <w:pStyle w:val="BodyText"/>
      </w:pPr>
      <w:r>
        <w:t xml:space="preserve">This course uses the standard A through F grading scale outlined in the CSUF catalog, and it uses plus/minus (+/-) grading. Final percentages are assigned according to the approved CSUF grading scale.</w:t>
      </w:r>
    </w:p>
    <w:bookmarkEnd w:id="38"/>
    <w:bookmarkStart w:id="39" w:name="attendance"/>
    <w:p>
      <w:pPr>
        <w:pStyle w:val="Heading2"/>
      </w:pPr>
      <w:r>
        <w:t xml:space="preserve">Attendance</w:t>
      </w:r>
    </w:p>
    <w:p>
      <w:pPr>
        <w:pStyle w:val="BodyText"/>
      </w:pPr>
      <w:r>
        <w:t xml:space="preserve">This course has no meeting time and no attendance requirement. It does, however, require participation: nearly half of your grade depends on work produced with a team over the full term. See Non-Participation below.</w:t>
      </w:r>
    </w:p>
    <w:bookmarkEnd w:id="39"/>
    <w:bookmarkStart w:id="40" w:name="examination-dates"/>
    <w:p>
      <w:pPr>
        <w:pStyle w:val="Heading2"/>
      </w:pPr>
      <w:r>
        <w:t xml:space="preserve">Examination Dates</w:t>
      </w:r>
    </w:p>
    <w:p>
      <w:pPr>
        <w:pStyle w:val="BodyText"/>
      </w:pPr>
      <w:r>
        <w:t xml:space="preserve">Exam 1 is taken in Canvas during the window of Monday, September 14 through Friday, September 18, 2026. The Final Exam is taken in Canvas during an open window in finals week, December 13-19, 2026. There is no single fixed date or time for the Final Exam.</w:t>
      </w:r>
    </w:p>
    <w:bookmarkEnd w:id="40"/>
    <w:bookmarkStart w:id="41" w:name="make-up-and-late-submission-policy"/>
    <w:p>
      <w:pPr>
        <w:pStyle w:val="Heading2"/>
      </w:pPr>
      <w:r>
        <w:t xml:space="preserve">Make-Up and Late Submission Policy</w:t>
      </w:r>
    </w:p>
    <w:p>
      <w:pPr>
        <w:pStyle w:val="ListBullet"/>
        <w:numPr>
          <w:ilvl w:val="0"/>
          <w:numId w:val="1006"/>
        </w:numPr>
      </w:pPr>
      <w:r>
        <w:t xml:space="preserve">Exams. If you miss Exam 1, you may take it late. The exam time will be reduced and the score is reduced by 5%. You must contact me within two days of the missed exam; if I do not hear from you within two days, you may not take a late exam.</w:t>
      </w:r>
    </w:p>
    <w:p>
      <w:pPr>
        <w:pStyle w:val="ListBullet"/>
        <w:numPr>
          <w:ilvl w:val="0"/>
          <w:numId w:val="1006"/>
        </w:numPr>
      </w:pPr>
      <w:r>
        <w:t xml:space="preserve">Project deliverables. Late submissions receive a one-time 5% reduction of the assignment grade.</w:t>
      </w:r>
    </w:p>
    <w:p>
      <w:pPr>
        <w:pStyle w:val="ListBullet"/>
        <w:numPr>
          <w:ilvl w:val="0"/>
          <w:numId w:val="1006"/>
        </w:numPr>
      </w:pPr>
      <w:r>
        <w:t xml:space="preserve">Make-up work beyond the exam provision above is not offered.</w:t>
      </w:r>
    </w:p>
    <w:p>
      <w:pPr>
        <w:pStyle w:val="ListBullet"/>
        <w:numPr>
          <w:ilvl w:val="0"/>
          <w:numId w:val="1006"/>
        </w:numPr>
      </w:pPr>
      <w:r>
        <w:t xml:space="preserve">Technical problems are handled under the Technical Problems policy below, not under this policy.</w:t>
      </w:r>
    </w:p>
    <w:bookmarkEnd w:id="41"/>
    <w:bookmarkStart w:id="42" w:name="extra-credit"/>
    <w:p>
      <w:pPr>
        <w:pStyle w:val="Heading2"/>
      </w:pPr>
      <w:r>
        <w:t xml:space="preserve">Extra Credit</w:t>
      </w:r>
    </w:p>
    <w:p>
      <w:pPr>
        <w:pStyle w:val="BodyText"/>
      </w:pPr>
      <w:r>
        <w:t xml:space="preserve">There is no extra credit in this course. No extra credit will be offered to any individual student.</w:t>
      </w:r>
    </w:p>
    <w:bookmarkEnd w:id="42"/>
    <w:bookmarkStart w:id="43" w:name="authentication-of-student-work"/>
    <w:p>
      <w:pPr>
        <w:pStyle w:val="Heading2"/>
      </w:pPr>
      <w:r>
        <w:t xml:space="preserve">Authentication of Student Work</w:t>
      </w:r>
    </w:p>
    <w:p>
      <w:pPr>
        <w:pStyle w:val="ListBullet"/>
        <w:numPr>
          <w:ilvl w:val="0"/>
          <w:numId w:val="1007"/>
        </w:numPr>
      </w:pPr>
      <w:r>
        <w:rPr>
          <w:b/>
          <w:bCs/>
        </w:rPr>
        <w:t xml:space="preserve">Canvas.</w:t>
      </w:r>
      <w:r>
        <w:t xml:space="preserve"> </w:t>
      </w:r>
      <w:r>
        <w:t xml:space="preserve">CSUF’s Canvas learning management system, accessed through your CSUF single sign-on credentials, is the baseline method used to authenticate that submitted coursework, quizzes, and exam attempts belong to the enrolled student.</w:t>
      </w:r>
    </w:p>
    <w:p>
      <w:pPr>
        <w:pStyle w:val="ListBullet"/>
        <w:numPr>
          <w:ilvl w:val="0"/>
          <w:numId w:val="1007"/>
        </w:numPr>
      </w:pPr>
      <w:r>
        <w:rPr>
          <w:b/>
          <w:bCs/>
        </w:rPr>
        <w:t xml:space="preserve">Email.</w:t>
      </w:r>
      <w:r>
        <w:t xml:space="preserve"> </w:t>
      </w:r>
      <w:r>
        <w:t xml:space="preserve">I reply only to messages sent from your official CSUF email address. Messages from personal or non-CSUF accounts are not treated as verified communication from a student in this course.</w:t>
      </w:r>
    </w:p>
    <w:p>
      <w:pPr>
        <w:pStyle w:val="ListBullet"/>
        <w:numPr>
          <w:ilvl w:val="0"/>
          <w:numId w:val="1007"/>
        </w:numPr>
      </w:pPr>
      <w:r>
        <w:rPr>
          <w:b/>
          <w:bCs/>
        </w:rPr>
        <w:t xml:space="preserve">Plagiarism detection.</w:t>
      </w:r>
      <w:r>
        <w:t xml:space="preserve"> </w:t>
      </w:r>
      <w:r>
        <w:t xml:space="preserve">Submitted written work may be checked using plagiarism-detection software.</w:t>
      </w:r>
    </w:p>
    <w:p>
      <w:pPr>
        <w:pStyle w:val="ListBullet"/>
        <w:numPr>
          <w:ilvl w:val="0"/>
          <w:numId w:val="1007"/>
        </w:numPr>
      </w:pPr>
      <w:r>
        <w:rPr>
          <w:b/>
          <w:bCs/>
        </w:rPr>
        <w:t xml:space="preserve">Exam proctoring.</w:t>
      </w:r>
      <w:r>
        <w:t xml:space="preserve"> </w:t>
      </w:r>
      <w:r>
        <w:t xml:space="preserve">Respondus (LockDown Browser and Monitor) may be used during exams to verify identity and monitor exam conditions.</w:t>
      </w:r>
    </w:p>
    <w:p>
      <w:pPr>
        <w:pStyle w:val="ListBullet"/>
        <w:numPr>
          <w:ilvl w:val="0"/>
          <w:numId w:val="1007"/>
        </w:numPr>
      </w:pPr>
      <w:r>
        <w:rPr>
          <w:b/>
          <w:bCs/>
        </w:rPr>
        <w:t xml:space="preserve">Explanation of submitted work.</w:t>
      </w:r>
      <w:r>
        <w:t xml:space="preserve"> </w:t>
      </w:r>
      <w:r>
        <w:t xml:space="preserve">Because contribution is assessed as demonstrated understanding, you may be asked to explain your team’s system and your part in building it, including in an oral or written follow-up.</w:t>
      </w:r>
    </w:p>
    <w:p>
      <w:pPr>
        <w:pStyle w:val="ListBullet"/>
        <w:numPr>
          <w:ilvl w:val="0"/>
          <w:numId w:val="1007"/>
        </w:numPr>
      </w:pPr>
      <w:r>
        <w:rPr>
          <w:b/>
          <w:bCs/>
        </w:rPr>
        <w:t xml:space="preserve">AI-assisted evaluation.</w:t>
      </w:r>
      <w:r>
        <w:t xml:space="preserve"> </w:t>
      </w:r>
      <w:r>
        <w:t xml:space="preserve">As described under Instructor Use of AI below, submitted work may be reviewed with the assistance of a large language model as part of my grading process, for triage and surfacing only, never for scoring. Identifying information is removed first. I remain fully responsible for all final grading decisions.</w:t>
      </w:r>
    </w:p>
    <w:bookmarkEnd w:id="43"/>
    <w:bookmarkStart w:id="45" w:name="f-and-wu-grades"/>
    <w:p>
      <w:pPr>
        <w:pStyle w:val="Heading2"/>
      </w:pPr>
      <w:r>
        <w:t xml:space="preserve">F and WU Grades</w:t>
      </w:r>
    </w:p>
    <w:p>
      <w:pPr>
        <w:pStyle w:val="BodyText"/>
      </w:pPr>
      <w:r>
        <w:t xml:space="preserve">An F is assigned when you attempt the work of the course but do not pass it. A WU (</w:t>
      </w:r>
      <w:r>
        <w:t xml:space="preserve">“Withdrawal Unauthorized”</w:t>
      </w:r>
      <w:r>
        <w:t xml:space="preserve">) is assigned when you remain enrolled but complete so little of the course that I cannot evaluate your academic performance - for example, not taking an exam at all, or not submitting your individual check-ins. A WU is calculated as an F for your GPA; the difference is that a WU indicates there was not enough submitted work to evaluate rather than work that did not meet the standard. It is critical that you attempt each assignment and that you contribute to your team’s efforts.</w:t>
      </w:r>
    </w:p>
    <w:p>
      <w:pPr>
        <w:pStyle w:val="BodyText"/>
      </w:pPr>
      <w:r>
        <w:t xml:space="preserve">See the</w:t>
      </w:r>
      <w:r>
        <w:t xml:space="preserve"> </w:t>
      </w:r>
      <w:hyperlink r:id="rId44">
        <w:r>
          <w:rPr>
            <w:rStyle w:val="Hyperlink"/>
          </w:rPr>
          <w:t xml:space="preserve">CSUF University Catalog, Grading and Academic Standards</w:t>
        </w:r>
      </w:hyperlink>
      <w:r>
        <w:t xml:space="preserve">, for complete details regarding WU.</w:t>
      </w:r>
    </w:p>
    <w:bookmarkEnd w:id="45"/>
    <w:bookmarkStart w:id="46" w:name="non-participation"/>
    <w:p>
      <w:pPr>
        <w:pStyle w:val="Heading2"/>
      </w:pPr>
      <w:r>
        <w:t xml:space="preserve">Non-Participation</w:t>
      </w:r>
    </w:p>
    <w:p>
      <w:pPr>
        <w:pStyle w:val="BodyText"/>
      </w:pPr>
      <w:r>
        <w:t xml:space="preserve">This course has no attendance policy, but it does require participation. Nearly half of your grade depends on work produced with a team over the full term, and a student who disengages affects their teammates’ ability to do the assignment. For that reason, non-participation is handled directly during the term rather than left to accumulate as missing scores at the end of it.</w:t>
      </w:r>
    </w:p>
    <w:p>
      <w:pPr>
        <w:pStyle w:val="BodyText"/>
      </w:pPr>
      <w:r>
        <w:rPr>
          <w:b/>
          <w:bCs/>
        </w:rPr>
        <w:t xml:space="preserve">What counts as non-participation.</w:t>
      </w:r>
      <w:r>
        <w:t xml:space="preserve"> </w:t>
      </w:r>
      <w:r>
        <w:t xml:space="preserve">I look at whether you are doing the work, not at how much time you spend or how your team divides tasks. Indicators include:</w:t>
      </w:r>
    </w:p>
    <w:p>
      <w:pPr>
        <w:pStyle w:val="ListBullet"/>
        <w:numPr>
          <w:ilvl w:val="0"/>
          <w:numId w:val="1008"/>
        </w:numPr>
      </w:pPr>
      <w:r>
        <w:t xml:space="preserve">Missing consecutive project deliverables or checkpoints</w:t>
      </w:r>
    </w:p>
    <w:p>
      <w:pPr>
        <w:pStyle w:val="ListBullet"/>
        <w:numPr>
          <w:ilvl w:val="0"/>
          <w:numId w:val="1008"/>
        </w:numPr>
      </w:pPr>
      <w:r>
        <w:t xml:space="preserve">Not submitting an individual check-in</w:t>
      </w:r>
    </w:p>
    <w:p>
      <w:pPr>
        <w:pStyle w:val="ListBullet"/>
        <w:numPr>
          <w:ilvl w:val="0"/>
          <w:numId w:val="1008"/>
        </w:numPr>
      </w:pPr>
      <w:r>
        <w:t xml:space="preserve">No visible contribution to your team’s shared work product across a module</w:t>
      </w:r>
    </w:p>
    <w:p>
      <w:pPr>
        <w:pStyle w:val="ListBullet"/>
        <w:numPr>
          <w:ilvl w:val="0"/>
          <w:numId w:val="1008"/>
        </w:numPr>
      </w:pPr>
      <w:r>
        <w:t xml:space="preserve">Not responding to my emails about any of the above</w:t>
      </w:r>
    </w:p>
    <w:p>
      <w:pPr>
        <w:pStyle w:val="BodyText"/>
      </w:pPr>
      <w:r>
        <w:rPr>
          <w:b/>
          <w:bCs/>
        </w:rPr>
        <w:t xml:space="preserve">What happens.</w:t>
      </w:r>
      <w:r>
        <w:t xml:space="preserve"> </w:t>
      </w:r>
      <w:r>
        <w:t xml:space="preserve">If I see this pattern, you will receive two emails at your CSUF address:</w:t>
      </w:r>
    </w:p>
    <w:p>
      <w:pPr>
        <w:pStyle w:val="ListNumber"/>
        <w:numPr>
          <w:ilvl w:val="0"/>
          <w:numId w:val="1009"/>
        </w:numPr>
      </w:pPr>
      <w:r>
        <w:t xml:space="preserve">First notice. I will tell you what I am seeing and ask you to reply. You have seven calendar days to respond.</w:t>
      </w:r>
    </w:p>
    <w:p>
      <w:pPr>
        <w:pStyle w:val="ListNumber"/>
        <w:numPr>
          <w:ilvl w:val="0"/>
          <w:numId w:val="1009"/>
        </w:numPr>
      </w:pPr>
      <w:r>
        <w:t xml:space="preserve">Second and final notice. If I do not hear from you, I will send a second email stating that you must contact me within seven calendar days.</w:t>
      </w:r>
    </w:p>
    <w:p>
      <w:pPr>
        <w:pStyle w:val="BodyText"/>
      </w:pPr>
      <w:r>
        <w:t xml:space="preserve">I will not send a third notice. If you do not respond to either one, what happens next depends on where in the term we are:</w:t>
      </w:r>
    </w:p>
    <w:p>
      <w:pPr>
        <w:pStyle w:val="ListBullet"/>
        <w:numPr>
          <w:ilvl w:val="0"/>
          <w:numId w:val="1010"/>
        </w:numPr>
      </w:pPr>
      <w:r>
        <w:t xml:space="preserve">On or before the withdrawal deadline of Friday, November 13, 2026, you can still withdraw from the course with a W, and my second notice will tell you so. A W is a better outcome for you than a WU.</w:t>
      </w:r>
    </w:p>
    <w:p>
      <w:pPr>
        <w:pStyle w:val="ListBullet"/>
        <w:numPr>
          <w:ilvl w:val="0"/>
          <w:numId w:val="1010"/>
        </w:numPr>
      </w:pPr>
      <w:r>
        <w:t xml:space="preserve">After the withdrawal deadline, withdrawal is no longer available. I will assign a WU at the end of the term, or an F if you have completed enough work for your performance to be evaluated.</w:t>
      </w:r>
    </w:p>
    <w:p>
      <w:pPr>
        <w:pStyle w:val="BodyText"/>
      </w:pPr>
      <w:r>
        <w:t xml:space="preserve">Responding is a low bar, and it is the whole point. You do not need to have caught up, fixed anything, or explained yourself well.</w:t>
      </w:r>
      <w:r>
        <w:t xml:space="preserve"> </w:t>
      </w:r>
      <w:r>
        <w:t xml:space="preserve">“I’m behind and I don’t know where to start”</w:t>
      </w:r>
      <w:r>
        <w:t xml:space="preserve"> </w:t>
      </w:r>
      <w:r>
        <w:t xml:space="preserve">is a sufficient reply and stops this process immediately. I would much rather know in Week 6 than discover it in Week 15, when almost nothing can be done.</w:t>
      </w:r>
    </w:p>
    <w:p>
      <w:pPr>
        <w:pStyle w:val="BodyText"/>
      </w:pPr>
      <w:r>
        <w:t xml:space="preserve">This policy is not a penalty for struggling with the material, for being confused, or for producing weak work. Confusion and revision are expected parts of systems thinking. This policy addresses absence only: a student who has stopped participating and does not respond when contacted.</w:t>
      </w:r>
    </w:p>
    <w:p>
      <w:pPr>
        <w:pStyle w:val="BodyText"/>
      </w:pPr>
      <w:r>
        <w:t xml:space="preserve">Notices are sent to your official CSUF email address. Checking that account is your responsibility.</w:t>
      </w:r>
    </w:p>
    <w:bookmarkEnd w:id="46"/>
    <w:bookmarkEnd w:id="47"/>
    <w:bookmarkStart w:id="48" w:name="course-communications"/>
    <w:p>
      <w:pPr>
        <w:pStyle w:val="Heading1"/>
      </w:pPr>
      <w:r>
        <w:t xml:space="preserve">Course Communications</w:t>
      </w:r>
    </w:p>
    <w:p>
      <w:pPr>
        <w:pStyle w:val="BodyText"/>
      </w:pPr>
      <w:r>
        <w:t xml:space="preserve">All course communication goes through email. I do not monitor Canvas messages for quick response. Announcements to the whole class are posted in Canvas; check them regularly, because in an asynchronous course they are the primary way I reach everyone.</w:t>
      </w:r>
    </w:p>
    <w:p>
      <w:pPr>
        <w:pStyle w:val="BodyText"/>
      </w:pPr>
      <w:r>
        <w:t xml:space="preserve">This course is designed to challenge how you think about public health problems, and there will be times when you feel uncertain or unsure how to proceed, especially early in the term. That experience is expected. Confusion is often the first signal that you are engaging with systems thinking rather than memorization.</w:t>
      </w:r>
    </w:p>
    <w:p>
      <w:pPr>
        <w:pStyle w:val="BodyText"/>
      </w:pPr>
      <w:r>
        <w:t xml:space="preserve">You do not need a fully formed question in order to reach out.</w:t>
      </w:r>
      <w:r>
        <w:t xml:space="preserve"> </w:t>
      </w:r>
      <w:r>
        <w:t xml:space="preserve">“I’m not sure what I’m missing,”</w:t>
      </w:r>
      <w:r>
        <w:t xml:space="preserve"> </w:t>
      </w:r>
      <w:r>
        <w:t xml:space="preserve">“I don’t know how to improve this,”</w:t>
      </w:r>
      <w:r>
        <w:t xml:space="preserve"> </w:t>
      </w:r>
      <w:r>
        <w:t xml:space="preserve">or</w:t>
      </w:r>
      <w:r>
        <w:t xml:space="preserve"> </w:t>
      </w:r>
      <w:r>
        <w:t xml:space="preserve">“I feel stuck”</w:t>
      </w:r>
      <w:r>
        <w:t xml:space="preserve"> </w:t>
      </w:r>
      <w:r>
        <w:t xml:space="preserve">are each sufficient reason to email me or come to office hours. Waiting until the end of the term to raise questions makes them much harder to resolve.</w:t>
      </w:r>
    </w:p>
    <w:bookmarkEnd w:id="48"/>
    <w:bookmarkStart w:id="55" w:name="Xf4c0329647e66f81aaf93e1947449067eb47746"/>
    <w:p>
      <w:pPr>
        <w:pStyle w:val="Heading1"/>
      </w:pPr>
      <w:r>
        <w:t xml:space="preserve">Technical Problems: Reporting and Documentation</w:t>
      </w:r>
    </w:p>
    <w:p>
      <w:pPr>
        <w:pStyle w:val="BodyText"/>
      </w:pPr>
      <w:r>
        <w:t xml:space="preserve">This course uses multiple platforms with distinct roles. It is your responsibility to use them appropriately and to report technical problems promptly and through the correct channel.</w:t>
      </w:r>
    </w:p>
    <w:bookmarkStart w:id="49" w:name="canvas-technical-failures"/>
    <w:p>
      <w:pPr>
        <w:pStyle w:val="Heading2"/>
      </w:pPr>
      <w:r>
        <w:t xml:space="preserve">Canvas Technical Failures</w:t>
      </w:r>
    </w:p>
    <w:p>
      <w:pPr>
        <w:pStyle w:val="BodyText"/>
      </w:pPr>
      <w:r>
        <w:t xml:space="preserve">Issues involving Canvas access, submissions, quizzes, or grades must be reported to me immediately. After notifying me, contact CSUF Student Information Technology Services and follow their procedures. Documentation from ITS may be required. Canvas problems reported after a deadline, without prior notice or documentation, will not be accommodated.</w:t>
      </w:r>
    </w:p>
    <w:bookmarkEnd w:id="49"/>
    <w:bookmarkStart w:id="50" w:name="course-website-issues"/>
    <w:p>
      <w:pPr>
        <w:pStyle w:val="Heading2"/>
      </w:pPr>
      <w:r>
        <w:t xml:space="preserve">Course Website Issues</w:t>
      </w:r>
    </w:p>
    <w:p>
      <w:pPr>
        <w:pStyle w:val="BodyText"/>
      </w:pPr>
      <w:r>
        <w:t xml:space="preserve">Problems accessing or using the course website should be reported directly to me. The website is part of the course infrastructure but is not centrally supported by the university, so timely communication is required.</w:t>
      </w:r>
    </w:p>
    <w:bookmarkEnd w:id="50"/>
    <w:bookmarkStart w:id="51" w:name="personal-technical-problems"/>
    <w:p>
      <w:pPr>
        <w:pStyle w:val="Heading2"/>
      </w:pPr>
      <w:r>
        <w:t xml:space="preserve">Personal Technical Problems</w:t>
      </w:r>
    </w:p>
    <w:p>
      <w:pPr>
        <w:pStyle w:val="BodyText"/>
      </w:pPr>
      <w:r>
        <w:t xml:space="preserve">Problems with your own computer, internet connection, software, file corruption, browser, time zone settings, or general device failure are not grounds for extensions or exceptions. You are expected to maintain reliable access to a functioning computer and internet connection for an online course.</w:t>
      </w:r>
    </w:p>
    <w:bookmarkEnd w:id="51"/>
    <w:bookmarkStart w:id="52" w:name="timing-and-documentation"/>
    <w:p>
      <w:pPr>
        <w:pStyle w:val="Heading2"/>
      </w:pPr>
      <w:r>
        <w:t xml:space="preserve">Timing and Documentation</w:t>
      </w:r>
    </w:p>
    <w:p>
      <w:pPr>
        <w:pStyle w:val="BodyText"/>
      </w:pPr>
      <w:r>
        <w:t xml:space="preserve">Report technical issues as soon as they occur. Waiting until or after a deadline substantially limits what, if anything, can be done. Screenshots, error messages, timestamps, or ITS documentation may be required.</w:t>
      </w:r>
    </w:p>
    <w:bookmarkEnd w:id="52"/>
    <w:bookmarkStart w:id="53" w:name="alternative-submission"/>
    <w:p>
      <w:pPr>
        <w:pStyle w:val="Heading2"/>
      </w:pPr>
      <w:r>
        <w:t xml:space="preserve">Alternative Submission</w:t>
      </w:r>
    </w:p>
    <w:p>
      <w:pPr>
        <w:pStyle w:val="BodyText"/>
      </w:pPr>
      <w:r>
        <w:t xml:space="preserve">If Canvas is unavailable at a deadline and you have reported the problem before that deadline, email your work to jasosmith@fullerton.edu as an attachment. The time stamp on that email is treated as the submission time, and you then upload the same file to Canvas once service is restored.</w:t>
      </w:r>
    </w:p>
    <w:bookmarkEnd w:id="53"/>
    <w:bookmarkStart w:id="54" w:name="the-bottom-line"/>
    <w:p>
      <w:pPr>
        <w:pStyle w:val="Heading2"/>
      </w:pPr>
      <w:r>
        <w:t xml:space="preserve">The Bottom Line</w:t>
      </w:r>
    </w:p>
    <w:p>
      <w:pPr>
        <w:pStyle w:val="BodyText"/>
      </w:pPr>
      <w:r>
        <w:t xml:space="preserve">This is an asynchronous online course, and managing your technology is part of managing the course. Legitimate system failures are handled fairly when reported promptly and through the correct channel. Personal technical failures remain your responsibility.</w:t>
      </w:r>
    </w:p>
    <w:bookmarkEnd w:id="54"/>
    <w:bookmarkEnd w:id="55"/>
    <w:bookmarkStart w:id="58" w:name="Xc6069a796fdcf534533f7c3a7167a15f0d0db2a"/>
    <w:p>
      <w:pPr>
        <w:pStyle w:val="Heading1"/>
      </w:pPr>
      <w:r>
        <w:t xml:space="preserve">Policy on Generative Artificial Intelligence</w:t>
      </w:r>
    </w:p>
    <w:p>
      <w:pPr>
        <w:pStyle w:val="BodyText"/>
      </w:pPr>
      <w:r>
        <w:t xml:space="preserve">This course permits the use of artificial intelligence and foundation models (for example ChatGPT, Gemini, Claude, Copilot, and similar tools) without restriction as part of your process. You are encouraged to use these tools for brainstorming, drafting, organizing ideas, checking clarity, exploring alternatives, and supporting learning.</w:t>
      </w:r>
    </w:p>
    <w:p>
      <w:pPr>
        <w:pStyle w:val="BodyText"/>
      </w:pPr>
      <w:r>
        <w:t xml:space="preserve">All submitted work must ultimately represent your own reasoning, judgment, and understanding. You are responsible for the accuracy, integrity, and ethical quality of anything you submit, whether or not AI tools were used. AI systems are known to generate incorrect information, fabricated citations, biased outputs, and other errors. Reliance on AI output does not excuse mistakes or misrepresentation.</w:t>
      </w:r>
    </w:p>
    <w:p>
      <w:pPr>
        <w:pStyle w:val="BodyText"/>
      </w:pPr>
      <w:r>
        <w:t xml:space="preserve">If you use AI tools, their role must be clearly acknowledged. Failure to acknowledge AI use is misrepresentation.</w:t>
      </w:r>
    </w:p>
    <w:p>
      <w:pPr>
        <w:pStyle w:val="BodyText"/>
      </w:pPr>
      <w:r>
        <w:t xml:space="preserve">You may not submit work that is primarily or substantially generated by an AI system in place of your own thinking. Work is unacceptable if you cannot explain, defend, revise, or extend its reasoning independently of the tool. AI may support your work; it may not substitute for your analysis, synthesis, or conclusions.</w:t>
      </w:r>
    </w:p>
    <w:p>
      <w:pPr>
        <w:pStyle w:val="BodyText"/>
      </w:pPr>
      <w:r>
        <w:t xml:space="preserve">The university’s plagiarism policy continues to apply to uncited or improperly cited use of work created by other human beings. Misrepresenting AI-generated content as your own reasoning is a separate violation of academic integrity and is treated accordingly.</w:t>
      </w:r>
    </w:p>
    <w:p>
      <w:pPr>
        <w:pStyle w:val="BodyText"/>
      </w:pPr>
      <w:r>
        <w:t xml:space="preserve">AI tools may not be used during examinations. Exams assess individual understanding and reasoning under constraint.</w:t>
      </w:r>
    </w:p>
    <w:bookmarkStart w:id="56" w:name="ai-use-disclosure"/>
    <w:p>
      <w:pPr>
        <w:pStyle w:val="Heading2"/>
      </w:pPr>
      <w:r>
        <w:t xml:space="preserve">AI Use Disclosure</w:t>
      </w:r>
    </w:p>
    <w:p>
      <w:pPr>
        <w:pStyle w:val="BodyText"/>
      </w:pPr>
      <w:r>
        <w:t xml:space="preserve">If you used AI tools at any point in completing an assignment, include a brief disclosure at the end of your submission:</w:t>
      </w:r>
    </w:p>
    <w:p>
      <w:pPr>
        <w:pStyle w:val="Quote"/>
      </w:pPr>
      <w:r>
        <w:t xml:space="preserve">I used an AI tool (name of tool) to support my work on this assignment. Specifically, I used it for: [for example, brainstorming ideas, outlining, checking clarity, generating alternative phrasings]. All analysis, interpretation, and final conclusions are my own, and I reviewed and verified any AI-assisted content for accuracy and appropriateness.</w:t>
      </w:r>
    </w:p>
    <w:p>
      <w:pPr>
        <w:pStyle w:val="BodyText"/>
      </w:pPr>
      <w:r>
        <w:t xml:space="preserve">If you did not use AI tools, no disclosure is required.</w:t>
      </w:r>
    </w:p>
    <w:bookmarkEnd w:id="56"/>
    <w:bookmarkStart w:id="57" w:name="instructor-use-of-ai"/>
    <w:p>
      <w:pPr>
        <w:pStyle w:val="Heading2"/>
      </w:pPr>
      <w:r>
        <w:t xml:space="preserve">Instructor Use of AI</w:t>
      </w:r>
    </w:p>
    <w:p>
      <w:pPr>
        <w:pStyle w:val="BodyText"/>
      </w:pPr>
      <w:r>
        <w:t xml:space="preserve">In designing this course, its materials, and its assessments, I use AI tools as part of my drafting, synthesis, and analytic workflow. This may include course design, developing rubrics, testing assessment logic, and assisting with large-scale evaluation under criteria that I define and control. I remain fully responsible for all instructional, evaluative, and grading decisions, and no automated system operates independently of my judgment.</w:t>
      </w:r>
    </w:p>
    <w:p>
      <w:pPr>
        <w:pStyle w:val="BodyText"/>
      </w:pPr>
      <w:r>
        <w:t xml:space="preserve">When AI tools are used to support review of student submissions, identifying information is removed first, and the use is triage and surfacing only, never scoring.</w:t>
      </w:r>
    </w:p>
    <w:bookmarkEnd w:id="57"/>
    <w:bookmarkEnd w:id="58"/>
    <w:bookmarkStart w:id="62" w:name="Xa87549dac4ec522f5a58890168be640529fd693"/>
    <w:p>
      <w:pPr>
        <w:pStyle w:val="Heading1"/>
      </w:pPr>
      <w:r>
        <w:t xml:space="preserve">Academic Integrity and Penalties for Academic Dishonesty</w:t>
      </w:r>
    </w:p>
    <w:p>
      <w:pPr>
        <w:pStyle w:val="BodyText"/>
      </w:pPr>
      <w:r>
        <w:t xml:space="preserve">Most students hold themselves to high ethical standards. When others engage in academic misconduct, it reduces morale and diminishes the meaning of being a Titan. The following policy is intended to support everyone in the Titan community.</w:t>
      </w:r>
    </w:p>
    <w:p>
      <w:pPr>
        <w:pStyle w:val="BodyText"/>
      </w:pPr>
      <w:r>
        <w:t xml:space="preserve">California State University has a strict policy against academic fraud and dishonesty. It is the student’s responsibility to adhere to the guidelines regarding academic dishonesty set forth in the university handbook. Policies can be found at the</w:t>
      </w:r>
      <w:r>
        <w:t xml:space="preserve"> </w:t>
      </w:r>
      <w:hyperlink r:id="rId59">
        <w:r>
          <w:rPr>
            <w:rStyle w:val="Hyperlink"/>
          </w:rPr>
          <w:t xml:space="preserve">CSUF Dean of Students, Student Conduct policies and procedures</w:t>
        </w:r>
      </w:hyperlink>
      <w:r>
        <w:t xml:space="preserve">. These include, but are not limited to, California Code of Regulations Title 5, Section 41301; Student Rights and Responsibilities (UPS 300.000); and the</w:t>
      </w:r>
      <w:r>
        <w:t xml:space="preserve"> </w:t>
      </w:r>
      <w:hyperlink r:id="rId60">
        <w:r>
          <w:rPr>
            <w:rStyle w:val="Hyperlink"/>
          </w:rPr>
          <w:t xml:space="preserve">Academic Dishonesty Policy (UPS 300.021)</w:t>
        </w:r>
      </w:hyperlink>
      <w:r>
        <w:t xml:space="preserve">.</w:t>
      </w:r>
    </w:p>
    <w:p>
      <w:pPr>
        <w:pStyle w:val="BodyText"/>
      </w:pPr>
      <w:r>
        <w:t xml:space="preserve">The success of public health intervention relies on the public’s trust in the integrity of public health workers. Every act of dishonesty undermines the potential for public health officials and their research to be trusted. Probity should be considered a requisite characteristic of all persons working in the health sciences and is expected of Titans.</w:t>
      </w:r>
    </w:p>
    <w:bookmarkStart w:id="61" w:name="penalties"/>
    <w:p>
      <w:pPr>
        <w:pStyle w:val="Heading2"/>
      </w:pPr>
      <w:r>
        <w:t xml:space="preserve">Penalties</w:t>
      </w:r>
    </w:p>
    <w:p>
      <w:pPr>
        <w:pStyle w:val="BodyText"/>
      </w:pPr>
      <w:r>
        <w:t xml:space="preserve">This course includes both individual work and team work, so penalties are applied as follows.</w:t>
      </w:r>
    </w:p>
    <w:p>
      <w:pPr>
        <w:pStyle w:val="ListBullet"/>
        <w:numPr>
          <w:ilvl w:val="0"/>
          <w:numId w:val="1011"/>
        </w:numPr>
      </w:pPr>
      <w:r>
        <w:t xml:space="preserve">A student who inadvertently or negligently engages in academic dishonesty will be ineligible to receive credit for the related work - that is, a zero on that assignment.</w:t>
      </w:r>
    </w:p>
    <w:p>
      <w:pPr>
        <w:pStyle w:val="ListBullet"/>
        <w:numPr>
          <w:ilvl w:val="0"/>
          <w:numId w:val="1011"/>
        </w:numPr>
      </w:pPr>
      <w:r>
        <w:t xml:space="preserve">The student may be reassessed on all course material using a variety of modalities, including oral examination.</w:t>
      </w:r>
    </w:p>
    <w:p>
      <w:pPr>
        <w:pStyle w:val="ListBullet"/>
        <w:numPr>
          <w:ilvl w:val="0"/>
          <w:numId w:val="1011"/>
        </w:numPr>
      </w:pPr>
      <w:r>
        <w:t xml:space="preserve">Evidence of academic dishonesty will be reported to the Dean of Students and the CSUF Student Conduct team.</w:t>
      </w:r>
    </w:p>
    <w:p>
      <w:pPr>
        <w:pStyle w:val="ListBullet"/>
        <w:numPr>
          <w:ilvl w:val="0"/>
          <w:numId w:val="1011"/>
        </w:numPr>
      </w:pPr>
      <w:r>
        <w:t xml:space="preserve">The student will receive an F in the course upon a determination that the incident was the result of willful intent or gross negligence.</w:t>
      </w:r>
    </w:p>
    <w:p>
      <w:pPr>
        <w:pStyle w:val="ListBullet"/>
        <w:numPr>
          <w:ilvl w:val="0"/>
          <w:numId w:val="1011"/>
        </w:numPr>
      </w:pPr>
      <w:r>
        <w:t xml:space="preserve">Submitting work generated by generative AI or a large language model, in violation of the policy above, is academic dishonesty and is subject to these penalties.</w:t>
      </w:r>
    </w:p>
    <w:p>
      <w:pPr>
        <w:pStyle w:val="BodyText"/>
      </w:pPr>
      <w:r>
        <w:t xml:space="preserve">On team deliverables, penalties apply to the individual student responsible for the dishonest content. A team is not penalized for the conduct of one member, and I will ask team members individually to explain the work in question in order to establish responsibility. Where every member of a team knowingly submitted dishonest work, the penalties apply to each of them individually.</w:t>
      </w:r>
    </w:p>
    <w:bookmarkEnd w:id="61"/>
    <w:bookmarkEnd w:id="62"/>
    <w:bookmarkStart w:id="64" w:name="accessibility-and-accommodations"/>
    <w:p>
      <w:pPr>
        <w:pStyle w:val="Heading1"/>
      </w:pPr>
      <w:r>
        <w:t xml:space="preserve">Accessibility and Accommodations</w:t>
      </w:r>
    </w:p>
    <w:p>
      <w:pPr>
        <w:pStyle w:val="BodyText"/>
      </w:pPr>
      <w:r>
        <w:t xml:space="preserve">I want this course to be usable by every student enrolled in it. If any part of the course - a reading, a video, an exam format, a file format, a deadline structure - creates a barrier for you, tell me and we will work on it.</w:t>
      </w:r>
    </w:p>
    <w:p>
      <w:pPr>
        <w:pStyle w:val="BodyText"/>
      </w:pPr>
      <w:r>
        <w:t xml:space="preserve">Students with documented disabilities are entitled to reasonable accommodations. Register with the campus office that coordinates disability support services and provide me with your accommodation letter as early in the semester as you can, so that accommodations are in place before the first exam. Contact information and the full statement of students’ rights to accommodations are on the</w:t>
      </w:r>
      <w:r>
        <w:t xml:space="preserve"> </w:t>
      </w:r>
      <w:hyperlink r:id="rId63">
        <w:r>
          <w:rPr>
            <w:rStyle w:val="Hyperlink"/>
          </w:rPr>
          <w:t xml:space="preserve">Student Information for Course Syllabi</w:t>
        </w:r>
      </w:hyperlink>
      <w:r>
        <w:t xml:space="preserve"> </w:t>
      </w:r>
      <w:r>
        <w:t xml:space="preserve">page.</w:t>
      </w:r>
    </w:p>
    <w:p>
      <w:pPr>
        <w:pStyle w:val="BodyText"/>
      </w:pPr>
      <w:r>
        <w:t xml:space="preserve">This syllabus is provided as an accessible digital document and is posted in Canvas. If you need it in another format, email me and I will provide one.</w:t>
      </w:r>
    </w:p>
    <w:bookmarkEnd w:id="64"/>
    <w:bookmarkStart w:id="65" w:name="changes-to-the-course"/>
    <w:p>
      <w:pPr>
        <w:pStyle w:val="Heading1"/>
      </w:pPr>
      <w:r>
        <w:t xml:space="preserve">Changes to the Course</w:t>
      </w:r>
    </w:p>
    <w:p>
      <w:pPr>
        <w:pStyle w:val="BodyText"/>
      </w:pPr>
      <w:r>
        <w:t xml:space="preserve">Adjustments may be required as the semester progresses. This syllabus and the assignments are subject to change. Any change to a major assignment or course requirement - for example, an additional paper or examination - will be announced in Canvas with a reasonable timetable for completion, as required by UPS 300.004.</w:t>
      </w:r>
    </w:p>
    <w:p>
      <w:pPr>
        <w:pStyle w:val="BodyText"/>
      </w:pPr>
      <w:r>
        <w:t xml:space="preserve">Announcements are made through Canvas. Check Canvas announcements regularly; in an asynchronous course they are the primary way I reach the whole class.</w:t>
      </w:r>
    </w:p>
    <w:bookmarkEnd w:id="65"/>
    <w:bookmarkStart w:id="66" w:name="Xf346ea5e3cdb99f7cc24bd81ab8be7d4867e96d"/>
    <w:p>
      <w:pPr>
        <w:pStyle w:val="Heading1"/>
      </w:pPr>
      <w:r>
        <w:t xml:space="preserve">Additional Student Information and Resources</w:t>
      </w:r>
    </w:p>
    <w:p>
      <w:pPr>
        <w:pStyle w:val="BodyText"/>
      </w:pPr>
      <w:r>
        <w:t xml:space="preserve">Please see the</w:t>
      </w:r>
      <w:r>
        <w:t xml:space="preserve"> </w:t>
      </w:r>
      <w:hyperlink r:id="rId63">
        <w:r>
          <w:rPr>
            <w:rStyle w:val="Hyperlink"/>
          </w:rPr>
          <w:t xml:space="preserve">Student Information for Course Syllabi</w:t>
        </w:r>
      </w:hyperlink>
      <w:r>
        <w:t xml:space="preserve"> </w:t>
      </w:r>
      <w:r>
        <w:t xml:space="preserve">website for important additional information.</w:t>
      </w:r>
    </w:p>
    <w:p>
      <w:pPr>
        <w:pStyle w:val="BodyText"/>
      </w:pPr>
      <w:r>
        <w:t xml:space="preserve">That page links to university learning goals and program learning outcomes; the learning objectives for each General Education category; appropriate online behavior (netiquette); students’ rights to accommodations for documented special needs; campus student support resources including Counseling and Psychological Services, Title IX and Gender Equity, Diversity Initiatives and Resource Centers, and Basic Needs Services; academic integrity; actions students should take in an emergency; library services; Student Information Technology Services; and software privacy and accessibility statements.</w:t>
      </w:r>
    </w:p>
    <w:p>
      <w:pPr>
        <w:pStyle w:val="BodyText"/>
      </w:pPr>
      <w:r>
        <w:t xml:space="preserve">This syllabus was prepared in accordance with CSUF University Policy Statement 300.004, Policy on Syllabi, effective November 5, 2025.</w:t>
      </w:r>
    </w:p>
    <w:bookmarkEnd w:id="66"/>
    <w:sectPr w:rsidR="00A81176"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538475326" w:numId="1">
    <w:abstractNumId w:val="8"/>
  </w:num>
  <w:num w16cid:durableId="329870386" w:numId="2">
    <w:abstractNumId w:val="6"/>
  </w:num>
  <w:num w16cid:durableId="1007638119" w:numId="3">
    <w:abstractNumId w:val="5"/>
  </w:num>
  <w:num w16cid:durableId="1538200292" w:numId="4">
    <w:abstractNumId w:val="4"/>
  </w:num>
  <w:num w16cid:durableId="1281108103" w:numId="5">
    <w:abstractNumId w:val="7"/>
  </w:num>
  <w:num w16cid:durableId="1178153789" w:numId="6">
    <w:abstractNumId w:val="3"/>
  </w:num>
  <w:num w16cid:durableId="869337939" w:numId="7">
    <w:abstractNumId w:val="2"/>
  </w:num>
  <w:num w16cid:durableId="1080131428" w:numId="8">
    <w:abstractNumId w:val="1"/>
  </w:num>
  <w:num w16cid:durableId="2027822240"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649"/>
    <w:rsid w:val="0029639D"/>
    <w:rsid w:val="00326F90"/>
    <w:rsid w:val="00345290"/>
    <w:rsid w:val="006E6DED"/>
    <w:rsid w:val="00894195"/>
    <w:rsid w:val="00A81176"/>
    <w:rsid w:val="00A8740D"/>
    <w:rsid w:val="00AA1D8D"/>
    <w:rsid w:val="00AF10E6"/>
    <w:rsid w:val="00B47730"/>
    <w:rsid w:val="00CB0664"/>
    <w:rsid w:val="00D556FC"/>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160"/>
    </w:pPr>
    <w:rPr>
      <w:rFonts w:ascii="Calibri" w:hAnsi="Calibri"/>
      <w:color w:val="1A1A1A"/>
      <w:sz w:val="24"/>
    </w:rPr>
  </w:style>
  <w:style w:styleId="Heading1" w:type="paragraph">
    <w:name w:val="heading 1"/>
    <w:basedOn w:val="Normal"/>
    <w:next w:val="Normal"/>
    <w:link w:val="Heading1Char"/>
    <w:uiPriority w:val="9"/>
    <w:qFormat/>
    <w:rsid w:val="00FC693F"/>
    <w:pPr>
      <w:keepNext/>
      <w:keepLines/>
      <w:spacing w:before="400"/>
      <w:outlineLvl w:val="0"/>
    </w:pPr>
    <w:rPr>
      <w:rFonts w:asciiTheme="majorHAnsi" w:cstheme="majorBidi" w:eastAsiaTheme="majorEastAsia" w:hAnsiTheme="majorHAnsi"/>
      <w:b/>
      <w:bCs/>
      <w:color w:val="1F3864"/>
      <w:sz w:val="34"/>
      <w:szCs w:val="28"/>
    </w:rPr>
  </w:style>
  <w:style w:styleId="Heading2" w:type="paragraph">
    <w:name w:val="heading 2"/>
    <w:basedOn w:val="Normal"/>
    <w:next w:val="Normal"/>
    <w:link w:val="Heading2Char"/>
    <w:uiPriority w:val="9"/>
    <w:unhideWhenUsed/>
    <w:qFormat/>
    <w:rsid w:val="00FC693F"/>
    <w:pPr>
      <w:keepNext/>
      <w:keepLines/>
      <w:spacing w:after="120" w:before="280"/>
      <w:outlineLvl w:val="1"/>
    </w:pPr>
    <w:rPr>
      <w:rFonts w:asciiTheme="majorHAnsi" w:cstheme="majorBidi" w:eastAsiaTheme="majorEastAsia" w:hAnsiTheme="majorHAnsi"/>
      <w:b/>
      <w:bCs/>
      <w:color w:val="2F5496"/>
      <w:sz w:val="28"/>
      <w:szCs w:val="26"/>
    </w:rPr>
  </w:style>
  <w:style w:styleId="Heading3" w:type="paragraph">
    <w:name w:val="heading 3"/>
    <w:basedOn w:val="Normal"/>
    <w:next w:val="Normal"/>
    <w:link w:val="Heading3Char"/>
    <w:uiPriority w:val="9"/>
    <w:unhideWhenUsed/>
    <w:qFormat/>
    <w:rsid w:val="00FC693F"/>
    <w:pPr>
      <w:keepNext/>
      <w:keepLines/>
      <w:spacing w:after="80" w:before="240"/>
      <w:outlineLvl w:val="2"/>
    </w:pPr>
    <w:rPr>
      <w:rFonts w:asciiTheme="majorHAnsi" w:cstheme="majorBidi" w:eastAsiaTheme="majorEastAsia" w:hAnsiTheme="majorHAnsi"/>
      <w:b/>
      <w:bCs/>
      <w:color w:val="33333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80" w:line="240" w:lineRule="auto"/>
      <w:contextualSpacing/>
    </w:pPr>
    <w:rPr>
      <w:rFonts w:asciiTheme="majorHAnsi" w:cstheme="majorBidi" w:eastAsiaTheme="majorEastAsia" w:hAnsiTheme="majorHAnsi"/>
      <w:b/>
      <w:color w:val="1F3864"/>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80"/>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Hyperlink1" w:type="character">
    <w:name w:val="Hyperlink1"/>
    <w:rPr>
      <w:color w:val="0B4F9E"/>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9" Target="http://www.fullerton.edu/deanofstudents/conduct/policies-procedures.php" TargetMode="External" /><Relationship Type="http://schemas.openxmlformats.org/officeDocument/2006/relationships/hyperlink" Id="rId44" Target="https://catalog.fullerton.edu/content.php?catoid=80&amp;navoid=10986" TargetMode="External" /><Relationship Type="http://schemas.openxmlformats.org/officeDocument/2006/relationships/hyperlink" Id="rId63" Target="https://fdc.fullerton.edu/teaching/student-info-syllabi.html" TargetMode="External" /><Relationship Type="http://schemas.openxmlformats.org/officeDocument/2006/relationships/hyperlink" Id="rId19" Target="https://www.fullerton.edu/it/services/software/office.html" TargetMode="External" /><Relationship Type="http://schemas.openxmlformats.org/officeDocument/2006/relationships/hyperlink" Id="rId60" Target="https://www.fullerton.edu/senate/publications-policies-resolutions/ups/UPS%20300/UPS%20300.021.pdf" TargetMode="External" /></Relationships>
</file>

<file path=word/_rels/footnotes.xml.rels><?xml version="1.0" encoding="UTF-8"?><Relationships xmlns="http://schemas.openxmlformats.org/package/2006/relationships"><Relationship Type="http://schemas.openxmlformats.org/officeDocument/2006/relationships/hyperlink" Id="rId59" Target="http://www.fullerton.edu/deanofstudents/conduct/policies-procedures.php" TargetMode="External" /><Relationship Type="http://schemas.openxmlformats.org/officeDocument/2006/relationships/hyperlink" Id="rId44" Target="https://catalog.fullerton.edu/content.php?catoid=80&amp;navoid=10986" TargetMode="External" /><Relationship Type="http://schemas.openxmlformats.org/officeDocument/2006/relationships/hyperlink" Id="rId63" Target="https://fdc.fullerton.edu/teaching/student-info-syllabi.html" TargetMode="External" /><Relationship Type="http://schemas.openxmlformats.org/officeDocument/2006/relationships/hyperlink" Id="rId19" Target="https://www.fullerton.edu/it/services/software/office.html" TargetMode="External" /><Relationship Type="http://schemas.openxmlformats.org/officeDocument/2006/relationships/hyperlink" Id="rId60" Target="https://www.fullerton.edu/senate/publications-policies-resolutions/ups/UPS%20300/UPS%20300.021.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14</Pages>
  <Words>4894</Words>
  <Characters>26333</Characters>
  <Application>Microsoft Office Word</Application>
  <DocSecurity>0</DocSecurity>
  <Lines>626</Lines>
  <Paragraphs>439</Paragraphs>
  <ScaleCrop>false</ScaleCrop>
  <HeadingPairs>
    <vt:vector size="2" baseType="variant">
      <vt:variant>
        <vt:lpstr>Title</vt:lpstr>
      </vt:variant>
      <vt:variant>
        <vt:i4>1</vt:i4>
      </vt:variant>
    </vt:vector>
  </HeadingPairs>
  <TitlesOfParts>
    <vt:vector size="1" baseType="lpstr">
      <vt:lpstr>PUBH 115 Introduction to Environmental Health and Safety - Syllabus, Fall 2026</vt:lpstr>
    </vt:vector>
  </TitlesOfParts>
  <Manager/>
  <Company/>
  <LinksUpToDate>false</LinksUpToDate>
  <CharactersWithSpaces>30788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mitype/" xmlns:xsi="http://www.w3.org/2001/XMLSchema-instance">
  <dc:title>PUBH 402 Introduction to the U.S. Health Care System - Syllabus, Fall 2026</dc:title>
  <dc:subject>Course syllabus</dc:subject>
  <dc:creator>Jason A. Smith</dc:creator>
  <cp:keywords>PUBH 402, syllabus, Fall 2026, health care system, CSUF</cp:keywords>
  <dc:description>Accessible course syllabus prepared in accordance with CSUF UPS 300.004, Policy on Syllabi (effective November 5, 2025).</dc:description>
  <cp:lastModifiedBy>Jason A. Smith</cp:lastModifiedBy>
  <cp:revision>1</cp:revision>
  <dcterms:created xsi:type="dcterms:W3CDTF">2026-08-22T14:25:37Z</dcterms:created>
  <dcterms:modified xsi:type="dcterms:W3CDTF">2026-08-22T14:25:37Z</dcterms:modified>
  <cp:category>Syllabus</cp:category>
  <dc:language>en-US</dc:language>
</cp:coreProperties>
</file>

<file path=docProps/custom.xml><?xml version="1.0" encoding="utf-8"?>
<Properties xmlns="http://schemas.openxmlformats.org/officeDocument/2006/custom-properties" xmlns:vt="http://schemas.openxmlformats.org/officeDocument/2006/docPropsVTypes"/>
</file>