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Diseño Gráfico Computarizado I — Diseño Gráfico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Diseño Gráfico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Diseño Gráfico Computarizado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CNB 2: Utiliza programas de cómputo en la solución de problemas relacionados con el área o campo de trabajo.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Paleta digital: codificación de colores RGB, CMYK y HEX.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Exploración de las diferencias de uso entre RGB, CMYK y HEX según pantalla, impresión y medios digitales.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Construcción de una paleta de cinco colores con equivalencias y aplicación práctica en una pieza gráfica sencilla.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Justificación de las decisiones cromáticas, revisión de contraste y presentación de evidencia de la paleta aplicada.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2.1. Crea diseños personalizados para diferentes producciones.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2.1.1. Actividades ponderadas en 3, 3 y 4 puntos. Se pueden utilizar Inkscape, Photopea u otras herramientas disponibles para consultar y aplicar valores de color.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