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Общие сведения о МГОТУ</w:t>
      </w: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Сфера деятельности МГОТУ, история появления и развития МГОТУ</w:t>
      </w:r>
    </w:p>
    <w:p>
      <w:pPr>
        <w:spacing w:before="0" w:after="0" w:line="360"/>
        <w:ind w:right="0" w:left="72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МГОТУ - учреждение высшего образования Московской области.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 МГОТУ производят образовательную и научную деятельность.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Университет образован 16 июля 1998 года в форме некоммерческой организации с названием: Негосударственное образовательное учреждение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Королевская академия управления, экономики и социологии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».</w:t>
      </w: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27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апреля 1999 года наименование было изменено на Негосударственное образовательное учреждение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Королевский институт управления, экономики и социологии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».</w:t>
      </w: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Постановлением Главы города Королёва от 13 июня 2001 года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1009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Королевский институт управления, экономики и социологии был преобразован в муниципальное образовательное учреждение.</w:t>
      </w: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26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декабря 2005 года постановлением Правительства Московской области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964/52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вуз перешёл в собственность Московской области и получил наименование: Государственное образовательное учреждение высшего профессионального образования Московской области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Королевский институт управления, экономики и социологии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Этим же постановлением учредителем вуза было назначено Министерство образования Московской области.</w:t>
      </w: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Постановлением Правительства Московской области от 25.09.2007 года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725/32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Государственное образовательное учреждение высшего профессионального образования Московской области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Королевский институт управления, экономики и социологии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передано в ведомственное подчинение Министерства финансов Московской области.</w:t>
      </w: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 конце декабря 2011 года Приказом Федеральной службы по надзору в сфере образования и науки КИУЭС признан прошедшим процедуру государственной аккредитации с установлением статуса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академия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». 12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апреля 2012 года постановлением Правительства Московской области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484/13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вуз переименован в Государственное бюджетное образовательное учреждение высшего профессионального образования Московской области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Финансово-технологическая академия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».</w:t>
      </w: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11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июля 2012 года постановлением Правительства Московской области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906/24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Академия была реорганизована в форме присоединения к ней государственного бюджетного образовательного учреждения среднего профессионального образования Московской области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Королёвский государственный техникум технологии и дизайна одежды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 государственного бюджетного образовательного учреждения среднего профессионального образования Московской области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Королёвский колледж космического машиностроения и технологии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</w:t>
      </w: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26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декабря 2013 года постановлением Правительства Московской области от 26.12.2013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1137/57 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 передаче Государственного бюджетного образовательного учреждения высшего профессионального образования Московской области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Финансово-технологическая академия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 ведомственное подчинение Министерству образования Московской области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Академия была передана в ведомственное подчинение Министерству образования Московской области.</w:t>
      </w: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20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января 2015 года постановлением Правительства Московской области от 20.01.2015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9/2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Академии присвоен статус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университета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 вуз переименован в Государственное бюджетное образовательное учреждение высшего образования Московской области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Технологический университет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». </w:t>
      </w: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3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апреля 2015 года Технологическим университетом, Администрацией г.о. Королёв и ведущими предприятиями ракетно-космической отрасли РФ, работающими в наукограде Королёве, ряде городов Московской области и г. Москве, подписано соглашение о создании консорциума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Региональный научно-образовательный кластер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Северо-восток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 целью обеспечения потребностей наукоёмких высокотехнологичных предприятий квалифицированными кадрами. </w:t>
      </w:r>
    </w:p>
    <w:p>
      <w:pPr>
        <w:spacing w:before="0" w:after="0" w:line="360"/>
        <w:ind w:right="0" w:left="720" w:firstLine="72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22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ноября 2019 года постановлением Губернатора Московской области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 564-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ПГ Технологическому университету присвоено имя дважды Героя Советского Союза, лётчика-космонавта А.А. Леонова.</w:t>
      </w:r>
    </w:p>
    <w:p>
      <w:pPr>
        <w:spacing w:before="0" w:after="0" w:line="360"/>
        <w:ind w:right="0" w:left="720" w:firstLine="72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Подразделения МГОТУ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44" w:dyaOrig="4579">
          <v:rect xmlns:o="urn:schemas-microsoft-com:office:office" xmlns:v="urn:schemas-microsoft-com:vml" id="rectole0000000000" style="width:462.200000pt;height:22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object w:dxaOrig="9273" w:dyaOrig="2764">
          <v:rect xmlns:o="urn:schemas-microsoft-com:office:office" xmlns:v="urn:schemas-microsoft-com:vml" id="rectole0000000001" style="width:463.650000pt;height:13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 </w:t>
      </w: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Структура предприятия, функции подразделения и взаимосвязь с другими подразделениями.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Подразделения информационных технологий: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Отдел управления информационных технологий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Отдел информационно-технического и сетевого обеспечения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Отдел программного обеспечения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Отдел системного администрирования и планирования развития информационных технологий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Отдел информационных технологий среднего профессионального обеспечения</w:t>
      </w:r>
    </w:p>
    <w:p>
      <w:pPr>
        <w:spacing w:before="0" w:after="2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2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9" w:dyaOrig="6321">
          <v:rect xmlns:o="urn:schemas-microsoft-com:office:office" xmlns:v="urn:schemas-microsoft-com:vml" id="rectole0000000002" style="width:462.950000pt;height:316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8"/>
          <w:shd w:fill="auto" w:val="clear"/>
        </w:rPr>
        <w:t xml:space="preserve">Рисунок 1 - Структура 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8"/>
          <w:shd w:fill="auto" w:val="clear"/>
        </w:rPr>
        <w:t xml:space="preserve">Технологического университета</w:t>
      </w:r>
      <w:r>
        <w:rPr>
          <w:rFonts w:ascii="Times New Roman" w:hAnsi="Times New Roman" w:cs="Times New Roman" w:eastAsia="Times New Roman"/>
          <w:i/>
          <w:color w:val="44546A"/>
          <w:spacing w:val="0"/>
          <w:position w:val="0"/>
          <w:sz w:val="28"/>
          <w:shd w:fill="auto" w:val="clear"/>
        </w:rPr>
        <w:t xml:space="preserve">».</w:t>
      </w: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 </w:t>
      </w:r>
    </w:p>
    <w:p>
      <w:pPr>
        <w:keepNext w:val="true"/>
        <w:keepLines w:val="true"/>
        <w:spacing w:before="24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Список задач подразделения в сфере программирование в компьютерных системах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Отдел управления информационных технологий:</w:t>
      </w:r>
    </w:p>
    <w:p>
      <w:pPr>
        <w:numPr>
          <w:ilvl w:val="0"/>
          <w:numId w:val="17"/>
        </w:numPr>
        <w:spacing w:before="0" w:after="30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Анализ, внедрение и контроль развития информационных систем;</w:t>
      </w:r>
    </w:p>
    <w:p>
      <w:pPr>
        <w:numPr>
          <w:ilvl w:val="0"/>
          <w:numId w:val="17"/>
        </w:numPr>
        <w:spacing w:before="0" w:after="30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Сопровождение информационных систем;</w:t>
      </w:r>
    </w:p>
    <w:p>
      <w:pPr>
        <w:numPr>
          <w:ilvl w:val="0"/>
          <w:numId w:val="17"/>
        </w:numPr>
        <w:spacing w:before="0" w:after="30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Предоставление и контроль доступа к информационным ресурсам организации;</w:t>
      </w:r>
    </w:p>
    <w:p>
      <w:pPr>
        <w:numPr>
          <w:ilvl w:val="0"/>
          <w:numId w:val="17"/>
        </w:numPr>
        <w:spacing w:before="0" w:after="30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Материально-техническое обеспечение организации средствами автоматизации и связи;</w:t>
      </w:r>
    </w:p>
    <w:p>
      <w:pPr>
        <w:numPr>
          <w:ilvl w:val="0"/>
          <w:numId w:val="17"/>
        </w:numPr>
        <w:spacing w:before="0" w:after="30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Ведение технологической документации;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Отдел информационно-технического и сетевого обеспечения:</w:t>
      </w:r>
    </w:p>
    <w:p>
      <w:pPr>
        <w:numPr>
          <w:ilvl w:val="0"/>
          <w:numId w:val="19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Организацию электронного документооборота, в том числе применение средств электронной цифровой подписи или иных аналогов собственноручной подписи;</w:t>
      </w:r>
    </w:p>
    <w:p>
      <w:pPr>
        <w:numPr>
          <w:ilvl w:val="0"/>
          <w:numId w:val="19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применение средств антивирусной защиты;</w:t>
      </w:r>
    </w:p>
    <w:p>
      <w:pPr>
        <w:numPr>
          <w:ilvl w:val="0"/>
          <w:numId w:val="19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Ведение электронных журналов учета выполненных операций;</w:t>
      </w:r>
    </w:p>
    <w:p>
      <w:pPr>
        <w:numPr>
          <w:ilvl w:val="0"/>
          <w:numId w:val="19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Ограничение доступа к техническим средствам;</w:t>
      </w:r>
    </w:p>
    <w:p>
      <w:pPr>
        <w:numPr>
          <w:ilvl w:val="0"/>
          <w:numId w:val="19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Ежедневное копирование на резервный носитель содержащейся в </w:t>
      </w: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информационной системе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информации, обеспечивающее возможность ее восстановления;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Отдел программного обеспечения:</w:t>
      </w:r>
    </w:p>
    <w:p>
      <w:pPr>
        <w:numPr>
          <w:ilvl w:val="0"/>
          <w:numId w:val="22"/>
        </w:numPr>
        <w:spacing w:before="18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Разработка и оснащение станков с ЧПУ управляющими программами обработки деталей выпускаемых предприятием изделий, а также новых видов изделий и технической оснастки;</w:t>
      </w:r>
    </w:p>
    <w:p>
      <w:pPr>
        <w:numPr>
          <w:ilvl w:val="0"/>
          <w:numId w:val="22"/>
        </w:numPr>
        <w:spacing w:before="18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Разработка и реализация технических мероприятий по снижению всех видов затрат на единицу продукции;</w:t>
      </w:r>
    </w:p>
    <w:p>
      <w:pPr>
        <w:numPr>
          <w:ilvl w:val="0"/>
          <w:numId w:val="22"/>
        </w:numPr>
        <w:spacing w:before="18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Расчет и внедрение в производство оптимальных норм расходования основных и вспомогательных материалов и обеспечение всех соответствующих служб нормами расхода основных и вспомогательных материалов;</w:t>
      </w:r>
    </w:p>
    <w:p>
      <w:pPr>
        <w:numPr>
          <w:ilvl w:val="0"/>
          <w:numId w:val="22"/>
        </w:numPr>
        <w:spacing w:before="18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Обеспечение автоматизации рабочих мест конструкторов и технологов;</w:t>
      </w:r>
    </w:p>
    <w:p>
      <w:pPr>
        <w:spacing w:before="18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Отдел системного администрирования и планирования развития информационных технологий:</w:t>
      </w:r>
    </w:p>
    <w:p>
      <w:pPr>
        <w:numPr>
          <w:ilvl w:val="0"/>
          <w:numId w:val="25"/>
        </w:numPr>
        <w:spacing w:before="0" w:after="0" w:line="480"/>
        <w:ind w:right="0" w:left="720" w:hanging="360"/>
        <w:jc w:val="left"/>
        <w:rPr>
          <w:rFonts w:ascii="Times New Roman" w:hAnsi="Times New Roman" w:cs="Times New Roman" w:eastAsia="Times New Roman"/>
          <w:color w:val="3B3B3B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Ремонт используемой техники;</w:t>
      </w:r>
    </w:p>
    <w:p>
      <w:pPr>
        <w:numPr>
          <w:ilvl w:val="0"/>
          <w:numId w:val="25"/>
        </w:numPr>
        <w:spacing w:before="0" w:after="0" w:line="480"/>
        <w:ind w:right="0" w:left="720" w:hanging="360"/>
        <w:jc w:val="left"/>
        <w:rPr>
          <w:rFonts w:ascii="Times New Roman" w:hAnsi="Times New Roman" w:cs="Times New Roman" w:eastAsia="Times New Roman"/>
          <w:color w:val="3B3B3B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Обеспечение бесперебойной работы всех ПК и устранение неисправностей;</w:t>
      </w:r>
    </w:p>
    <w:p>
      <w:pPr>
        <w:numPr>
          <w:ilvl w:val="0"/>
          <w:numId w:val="25"/>
        </w:numPr>
        <w:spacing w:before="0" w:after="0" w:line="480"/>
        <w:ind w:right="0" w:left="720" w:hanging="360"/>
        <w:jc w:val="left"/>
        <w:rPr>
          <w:rFonts w:ascii="Times New Roman" w:hAnsi="Times New Roman" w:cs="Times New Roman" w:eastAsia="Times New Roman"/>
          <w:color w:val="3B3B3B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Помощь штатным сотрудникам, работающим с ПК и офисной техникой, электронной почтой и т.д. в случае, возникновения трудностей;</w:t>
      </w:r>
    </w:p>
    <w:p>
      <w:pPr>
        <w:numPr>
          <w:ilvl w:val="0"/>
          <w:numId w:val="25"/>
        </w:numPr>
        <w:spacing w:before="0" w:after="0" w:line="480"/>
        <w:ind w:right="0" w:left="720" w:hanging="360"/>
        <w:jc w:val="left"/>
        <w:rPr>
          <w:rFonts w:ascii="Times New Roman" w:hAnsi="Times New Roman" w:cs="Times New Roman" w:eastAsia="Times New Roman"/>
          <w:color w:val="3B3B3B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Обновление и закупка нужной техники и их комплектующих;</w:t>
      </w:r>
    </w:p>
    <w:p>
      <w:pPr>
        <w:numPr>
          <w:ilvl w:val="0"/>
          <w:numId w:val="25"/>
        </w:numPr>
        <w:spacing w:before="0" w:after="0" w:line="480"/>
        <w:ind w:right="0" w:left="720" w:hanging="360"/>
        <w:jc w:val="left"/>
        <w:rPr>
          <w:rFonts w:ascii="Times New Roman" w:hAnsi="Times New Roman" w:cs="Times New Roman" w:eastAsia="Times New Roman"/>
          <w:color w:val="3B3B3B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Обеспечение нормальной работы используемых операционных систем и набор рабочих программ (ОС Windows, MS Office и т.п.);</w:t>
      </w:r>
    </w:p>
    <w:p>
      <w:pPr>
        <w:numPr>
          <w:ilvl w:val="0"/>
          <w:numId w:val="25"/>
        </w:numPr>
        <w:spacing w:before="0" w:after="0" w:line="480"/>
        <w:ind w:right="0" w:left="720" w:hanging="360"/>
        <w:jc w:val="left"/>
        <w:rPr>
          <w:rFonts w:ascii="Times New Roman" w:hAnsi="Times New Roman" w:cs="Times New Roman" w:eastAsia="Times New Roman"/>
          <w:color w:val="3B3B3B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Установка и настройка ПО для корректной работы;</w:t>
      </w:r>
    </w:p>
    <w:p>
      <w:pPr>
        <w:numPr>
          <w:ilvl w:val="0"/>
          <w:numId w:val="25"/>
        </w:numPr>
        <w:spacing w:before="0" w:after="0" w:line="480"/>
        <w:ind w:right="0" w:left="720" w:hanging="360"/>
        <w:jc w:val="left"/>
        <w:rPr>
          <w:rFonts w:ascii="Times New Roman" w:hAnsi="Times New Roman" w:cs="Times New Roman" w:eastAsia="Times New Roman"/>
          <w:color w:val="3B3B3B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Своевременное обновление необходимого ПО;</w:t>
      </w:r>
    </w:p>
    <w:p>
      <w:pPr>
        <w:numPr>
          <w:ilvl w:val="0"/>
          <w:numId w:val="25"/>
        </w:numPr>
        <w:spacing w:before="0" w:after="0" w:line="480"/>
        <w:ind w:right="0" w:left="720" w:hanging="360"/>
        <w:jc w:val="left"/>
        <w:rPr>
          <w:rFonts w:ascii="Times New Roman" w:hAnsi="Times New Roman" w:cs="Times New Roman" w:eastAsia="Times New Roman"/>
          <w:color w:val="3B3B3B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Обеспечение информационной безопасности и защиты от хакерских атак и от спама;</w:t>
      </w:r>
    </w:p>
    <w:p>
      <w:pPr>
        <w:numPr>
          <w:ilvl w:val="0"/>
          <w:numId w:val="25"/>
        </w:numPr>
        <w:spacing w:before="0" w:after="0" w:line="480"/>
        <w:ind w:right="0" w:left="720" w:hanging="360"/>
        <w:jc w:val="left"/>
        <w:rPr>
          <w:rFonts w:ascii="Times New Roman" w:hAnsi="Times New Roman" w:cs="Times New Roman" w:eastAsia="Times New Roman"/>
          <w:color w:val="3B3B3B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Создание резервных копий данных, удаление и их восстановление в случае необходимости;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Отдел информационных технологий среднего профессионального обеспечения: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реализация концепции развития информационных систем; 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обеспечение требуемого уровня информационной безопасности; 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разработка стандартов на использование вычислительной техники и программного обеспечения; 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обеспечение информационной и технической поддержки средств вычислительной техники и программного обеспечения; 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проведение работ по оптимизации использования информационно технических ресурсов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Описание предприятия, для которого разрабатывается программное обеспечение.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Автомобильное дело - интересная и прибыльная сфера бизнеса. Владелец может заниматься управлением самостоятельно и  организовать работу так, чтобы предприятие приносило хорошую прибыль, но это сможет далеко не каждый. В таком случае лучше прибегнуть к услугам профессионала.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Администратор автотехцентра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управляющий предприятием, который организует работу по предоставлению услуг клиентам по ремонту автомобилей.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Автослесарь автотехцентра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работник предприятия, который выполняет ремонт автомобильной техники  клиентов.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основном станции технического обслуживания предпочитают пользоваться специальной программой. Она позволяет грамотно распланировать совершение всех операций в сервисе и обеспечивает удобное хранение информации о клиентах, что открывает новые перспективы для развития предприятия. 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таких программ чаще всего простой и понятный для обычных пользователей.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Цели использования системы управления автотехцентра:</w:t>
      </w:r>
    </w:p>
    <w:p>
      <w:pPr>
        <w:numPr>
          <w:ilvl w:val="0"/>
          <w:numId w:val="34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Учет персонала.</w:t>
      </w:r>
    </w:p>
    <w:p>
      <w:pPr>
        <w:numPr>
          <w:ilvl w:val="0"/>
          <w:numId w:val="34"/>
        </w:numPr>
        <w:spacing w:before="0" w:after="2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Учет выручки.</w:t>
      </w:r>
    </w:p>
    <w:p>
      <w:pPr>
        <w:numPr>
          <w:ilvl w:val="0"/>
          <w:numId w:val="34"/>
        </w:numPr>
        <w:spacing w:before="0" w:after="20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Учет автозапчастей.</w:t>
      </w:r>
    </w:p>
    <w:p>
      <w:pPr>
        <w:numPr>
          <w:ilvl w:val="0"/>
          <w:numId w:val="34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Учет клиентов.</w:t>
      </w:r>
    </w:p>
    <w:p>
      <w:pPr>
        <w:numPr>
          <w:ilvl w:val="0"/>
          <w:numId w:val="34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Учет инструментов</w:t>
      </w:r>
    </w:p>
    <w:p>
      <w:pPr>
        <w:numPr>
          <w:ilvl w:val="0"/>
          <w:numId w:val="34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Учет краски для автомобилей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Основные требования:</w:t>
      </w:r>
    </w:p>
    <w:p>
      <w:pPr>
        <w:numPr>
          <w:ilvl w:val="0"/>
          <w:numId w:val="38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Консультация клиентов по поводу ремонта автомобиля.</w:t>
      </w:r>
    </w:p>
    <w:p>
      <w:pPr>
        <w:numPr>
          <w:ilvl w:val="0"/>
          <w:numId w:val="38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Оформление услуг клиентам.</w:t>
      </w:r>
    </w:p>
    <w:p>
      <w:pPr>
        <w:numPr>
          <w:ilvl w:val="0"/>
          <w:numId w:val="38"/>
        </w:numPr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Оплата по готовности заказа.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Современная станция технического обслуживания представляет собой интересный комплекс, в управлении которым особо важна точность, оперативность и удобство, ведь если допустить ошибку в такой сфере деятельности может обернуться большой проблемой. Если не обеспечить максимальную эффективность учета этих процессов, то работа всего предприятия будет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неэффективной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Характеристика мастерской 311б</w:t>
      </w:r>
    </w:p>
    <w:p>
      <w:pPr>
        <w:spacing w:before="120" w:after="12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Полное название учебно-научной мастерской: </w:t>
      </w:r>
    </w:p>
    <w:p>
      <w:pPr>
        <w:spacing w:before="120" w:after="12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Программные решения для бизнеса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20" w:after="12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Базовое подразделение (кафедра): ККМТ</w:t>
      </w:r>
    </w:p>
    <w:p>
      <w:pPr>
        <w:spacing w:before="120" w:after="12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Год создания мастерской: 2019</w:t>
      </w:r>
    </w:p>
    <w:p>
      <w:pPr>
        <w:spacing w:before="120" w:after="12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Месторасположение мастерской: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Московская область, г. Королёв, ул. Пионерская, д.8</w:t>
      </w:r>
    </w:p>
    <w:p>
      <w:pPr>
        <w:spacing w:before="120" w:after="12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Заведующий мастерской (ФИО, должность) </w:t>
      </w:r>
    </w:p>
    <w:p>
      <w:pPr>
        <w:spacing w:before="120" w:after="12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Попов Вячеслав Николаевич, зав. мастерской</w:t>
      </w:r>
    </w:p>
    <w:p>
      <w:pPr>
        <w:spacing w:before="120" w:after="12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Специализация мастерской: проведение занятий по закреплённым за лабораторией дисциплинам.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Количество студентов, прошедших обучение на базе лаборатории:</w:t>
      </w:r>
    </w:p>
    <w:tbl>
      <w:tblPr/>
      <w:tblGrid>
        <w:gridCol w:w="530"/>
        <w:gridCol w:w="5086"/>
        <w:gridCol w:w="1935"/>
        <w:gridCol w:w="1794"/>
      </w:tblGrid>
      <w:tr>
        <w:trPr>
          <w:trHeight w:val="1" w:hRule="atLeast"/>
          <w:jc w:val="left"/>
        </w:trPr>
        <w:tc>
          <w:tcPr>
            <w:tcW w:w="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auto"/>
                <w:spacing w:val="0"/>
                <w:position w:val="0"/>
                <w:sz w:val="28"/>
                <w:shd w:fill="auto" w:val="clear"/>
              </w:rPr>
              <w:t xml:space="preserve">№</w:t>
            </w:r>
          </w:p>
        </w:tc>
        <w:tc>
          <w:tcPr>
            <w:tcW w:w="50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Направление подготовки</w:t>
            </w:r>
          </w:p>
        </w:tc>
        <w:tc>
          <w:tcPr>
            <w:tcW w:w="19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Учебный год</w:t>
            </w:r>
          </w:p>
        </w:tc>
        <w:tc>
          <w:tcPr>
            <w:tcW w:w="1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студентов</w:t>
            </w:r>
          </w:p>
        </w:tc>
      </w:tr>
      <w:tr>
        <w:trPr>
          <w:trHeight w:val="1" w:hRule="atLeast"/>
          <w:jc w:val="left"/>
        </w:trPr>
        <w:tc>
          <w:tcPr>
            <w:tcW w:w="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1.</w:t>
            </w:r>
          </w:p>
        </w:tc>
        <w:tc>
          <w:tcPr>
            <w:tcW w:w="50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09.02.03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Программирование в компьютерных системах</w:t>
            </w:r>
          </w:p>
        </w:tc>
        <w:tc>
          <w:tcPr>
            <w:tcW w:w="19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2019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2020</w:t>
            </w:r>
          </w:p>
        </w:tc>
        <w:tc>
          <w:tcPr>
            <w:tcW w:w="1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114</w:t>
            </w:r>
          </w:p>
        </w:tc>
      </w:tr>
      <w:tr>
        <w:trPr>
          <w:trHeight w:val="1" w:hRule="atLeast"/>
          <w:jc w:val="left"/>
        </w:trPr>
        <w:tc>
          <w:tcPr>
            <w:tcW w:w="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2.</w:t>
            </w:r>
          </w:p>
        </w:tc>
        <w:tc>
          <w:tcPr>
            <w:tcW w:w="50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09.02.04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Информационные системы (по отраслям)</w:t>
            </w:r>
          </w:p>
        </w:tc>
        <w:tc>
          <w:tcPr>
            <w:tcW w:w="19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2019 - 2020</w:t>
            </w:r>
          </w:p>
        </w:tc>
        <w:tc>
          <w:tcPr>
            <w:tcW w:w="1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60</w:t>
            </w:r>
          </w:p>
        </w:tc>
      </w:tr>
      <w:tr>
        <w:trPr>
          <w:trHeight w:val="1" w:hRule="atLeast"/>
          <w:jc w:val="left"/>
        </w:trPr>
        <w:tc>
          <w:tcPr>
            <w:tcW w:w="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3.</w:t>
            </w:r>
          </w:p>
        </w:tc>
        <w:tc>
          <w:tcPr>
            <w:tcW w:w="50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09.02.03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Программирование в компьютерных системах</w:t>
            </w:r>
          </w:p>
        </w:tc>
        <w:tc>
          <w:tcPr>
            <w:tcW w:w="19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2020 - 2021</w:t>
            </w:r>
          </w:p>
        </w:tc>
        <w:tc>
          <w:tcPr>
            <w:tcW w:w="1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133</w:t>
            </w:r>
          </w:p>
        </w:tc>
      </w:tr>
      <w:tr>
        <w:trPr>
          <w:trHeight w:val="1" w:hRule="atLeast"/>
          <w:jc w:val="left"/>
        </w:trPr>
        <w:tc>
          <w:tcPr>
            <w:tcW w:w="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4.</w:t>
            </w:r>
          </w:p>
        </w:tc>
        <w:tc>
          <w:tcPr>
            <w:tcW w:w="50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09.02.04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Информационные системы (по отраслям)</w:t>
            </w:r>
          </w:p>
        </w:tc>
        <w:tc>
          <w:tcPr>
            <w:tcW w:w="19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2020 - 2021</w:t>
            </w:r>
          </w:p>
        </w:tc>
        <w:tc>
          <w:tcPr>
            <w:tcW w:w="1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60</w:t>
            </w:r>
          </w:p>
        </w:tc>
      </w:tr>
      <w:tr>
        <w:trPr>
          <w:trHeight w:val="1" w:hRule="atLeast"/>
          <w:jc w:val="left"/>
        </w:trPr>
        <w:tc>
          <w:tcPr>
            <w:tcW w:w="5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5.</w:t>
            </w:r>
          </w:p>
        </w:tc>
        <w:tc>
          <w:tcPr>
            <w:tcW w:w="50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10.02.04 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Обеспечение информационной безопасности телекоммуникационных систем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» 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по отраслям)</w:t>
            </w:r>
          </w:p>
        </w:tc>
        <w:tc>
          <w:tcPr>
            <w:tcW w:w="19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2020-2021</w:t>
            </w:r>
          </w:p>
        </w:tc>
        <w:tc>
          <w:tcPr>
            <w:tcW w:w="1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60</w:t>
            </w:r>
          </w:p>
        </w:tc>
      </w:tr>
    </w:tbl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Количество рабочих мест: 20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Среднее количество пар в неделю, проводимых в данной мастерской (период март-апрель 2021): 20</w:t>
      </w: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Планировка мастерской 313б</w:t>
      </w:r>
    </w:p>
    <w:p>
      <w:pPr>
        <w:keepNext w:val="true"/>
        <w:spacing w:before="0" w:after="2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4" w:dyaOrig="4666">
          <v:rect xmlns:o="urn:schemas-microsoft-com:office:office" xmlns:v="urn:schemas-microsoft-com:vml" id="rectole0000000003" style="width:432.700000pt;height:233.3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1. Общая схема </w:t>
      </w:r>
    </w:p>
    <w:p>
      <w:pPr>
        <w:keepNext w:val="true"/>
        <w:spacing w:before="0" w:after="2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2956">
          <v:rect xmlns:o="urn:schemas-microsoft-com:office:office" xmlns:v="urn:schemas-microsoft-com:vml" id="rectole0000000004" style="width:449.000000pt;height:147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2. Легенды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Планировка кабинета 304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80" w:dyaOrig="5406">
          <v:rect xmlns:o="urn:schemas-microsoft-com:office:office" xmlns:v="urn:schemas-microsoft-com:vml" id="rectole0000000005" style="width:449.000000pt;height:270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Планировка кабинета 311б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459" w:dyaOrig="7187">
          <v:rect xmlns:o="urn:schemas-microsoft-com:office:office" xmlns:v="urn:schemas-microsoft-com:vml" id="rectole0000000006" style="width:372.950000pt;height:359.3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7">
    <w:abstractNumId w:val="36"/>
  </w:num>
  <w:num w:numId="19">
    <w:abstractNumId w:val="30"/>
  </w:num>
  <w:num w:numId="22">
    <w:abstractNumId w:val="24"/>
  </w:num>
  <w:num w:numId="25">
    <w:abstractNumId w:val="18"/>
  </w:num>
  <w:num w:numId="28">
    <w:abstractNumId w:val="12"/>
  </w:num>
  <w:num w:numId="34">
    <w:abstractNumId w:val="6"/>
  </w: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embeddings/oleObject1.bin" Id="docRId2" Type="http://schemas.openxmlformats.org/officeDocument/2006/relationships/oleObject" /><Relationship TargetMode="External" Target="https://pandia.ru/text/category/informatcionnie_sistemi/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embeddings/oleObject2.bin" Id="docRId4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1.wmf" Id="docRId3" Type="http://schemas.openxmlformats.org/officeDocument/2006/relationships/image" /></Relationships>
</file>