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05C76" w:rsidRDefault="00E05E02" w:rsidP="001C63E9">
      <w:pPr>
        <w:spacing w:line="240" w:lineRule="auto"/>
        <w:rPr>
          <w:rFonts w:ascii="Arial" w:hAnsi="Arial" w:cs="Arial"/>
          <w:color w:val="222222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 xml:space="preserve">1.4  Архитектура вычислительной системы </w:t>
      </w:r>
      <w:proofErr w:type="gramStart"/>
      <w:r>
        <w:rPr>
          <w:rFonts w:ascii="Arial" w:hAnsi="Arial" w:cs="Arial"/>
          <w:color w:val="222222"/>
          <w:shd w:val="clear" w:color="auto" w:fill="FFFFFF"/>
        </w:rPr>
        <w:t xml:space="preserve">( </w:t>
      </w:r>
      <w:proofErr w:type="gramEnd"/>
      <w:r>
        <w:rPr>
          <w:rFonts w:ascii="Arial" w:hAnsi="Arial" w:cs="Arial"/>
          <w:color w:val="222222"/>
          <w:shd w:val="clear" w:color="auto" w:fill="FFFFFF"/>
        </w:rPr>
        <w:t>16.04.20 )</w:t>
      </w:r>
    </w:p>
    <w:p w:rsidR="00E05E02" w:rsidRDefault="00E05E02" w:rsidP="001C63E9">
      <w:pPr>
        <w:spacing w:line="240" w:lineRule="auto"/>
        <w:rPr>
          <w:rFonts w:ascii="Helvetica" w:hAnsi="Helvetica" w:cs="Helvetica"/>
          <w:color w:val="646464"/>
          <w:shd w:val="clear" w:color="auto" w:fill="FFFFFF"/>
        </w:rPr>
      </w:pPr>
      <w:proofErr w:type="spellStart"/>
      <w:r>
        <w:rPr>
          <w:rFonts w:ascii="Arial" w:hAnsi="Arial" w:cs="Arial"/>
          <w:color w:val="222222"/>
          <w:shd w:val="clear" w:color="auto" w:fill="FFFFFF"/>
        </w:rPr>
        <w:t>Бурлаев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Захар </w:t>
      </w:r>
      <w:r>
        <w:rPr>
          <w:rFonts w:ascii="Helvetica" w:hAnsi="Helvetica" w:cs="Helvetica"/>
          <w:color w:val="646464"/>
          <w:shd w:val="clear" w:color="auto" w:fill="FFFFFF"/>
        </w:rPr>
        <w:t>Сергеевич П2–18</w:t>
      </w:r>
    </w:p>
    <w:p w:rsidR="00F865DE" w:rsidRDefault="00E05E02" w:rsidP="001C63E9">
      <w:pPr>
        <w:spacing w:line="240" w:lineRule="auto"/>
        <w:rPr>
          <w:rFonts w:ascii="Verdana" w:hAnsi="Verdana"/>
          <w:color w:val="000000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543425"/>
            <wp:effectExtent l="1905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3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865DE">
        <w:t xml:space="preserve">1.  </w:t>
      </w:r>
      <w:r w:rsidR="00F865DE">
        <w:rPr>
          <w:rFonts w:ascii="Verdana" w:hAnsi="Verdana"/>
          <w:color w:val="000000"/>
          <w:shd w:val="clear" w:color="auto" w:fill="FFFFFF"/>
        </w:rPr>
        <w:t xml:space="preserve">В Гарвардской архитектуре характеристики устройств памяти программ и памяти данных не всегда выполняются </w:t>
      </w:r>
      <w:proofErr w:type="gramStart"/>
      <w:r w:rsidR="00F865DE">
        <w:rPr>
          <w:rFonts w:ascii="Verdana" w:hAnsi="Verdana"/>
          <w:color w:val="000000"/>
          <w:shd w:val="clear" w:color="auto" w:fill="FFFFFF"/>
        </w:rPr>
        <w:t>одинаковыми</w:t>
      </w:r>
      <w:proofErr w:type="gramEnd"/>
      <w:r w:rsidR="00F865DE">
        <w:rPr>
          <w:rFonts w:ascii="Verdana" w:hAnsi="Verdana"/>
          <w:color w:val="000000"/>
          <w:shd w:val="clear" w:color="auto" w:fill="FFFFFF"/>
        </w:rPr>
        <w:t>. В памяти данных и команд могут различаться разрядность шины данных и распределение адресов памяти.</w:t>
      </w:r>
    </w:p>
    <w:p w:rsidR="00F865DE" w:rsidRDefault="00F865DE" w:rsidP="001C63E9">
      <w:pPr>
        <w:spacing w:line="240" w:lineRule="auto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>2. Оперативной памяти зависит от количества разрядов, отдельных под адрес. В современных компьютерах он составляет от 512 Мбайт до 4 Гигабайт.</w:t>
      </w:r>
    </w:p>
    <w:p w:rsidR="00E05E02" w:rsidRPr="00852A02" w:rsidRDefault="00852A02" w:rsidP="001C63E9">
      <w:pPr>
        <w:spacing w:line="240" w:lineRule="auto"/>
        <w:rPr>
          <w:rFonts w:ascii="Verdana" w:hAnsi="Verdana"/>
          <w:color w:val="000000"/>
          <w:shd w:val="clear" w:color="auto" w:fill="FFFFFF"/>
        </w:rPr>
      </w:pPr>
      <w:r>
        <w:rPr>
          <w:rFonts w:ascii="Verdana" w:hAnsi="Verdana"/>
          <w:color w:val="000000"/>
          <w:shd w:val="clear" w:color="auto" w:fill="FFFFFF"/>
        </w:rPr>
        <w:t xml:space="preserve">3. В отличие от соединения точка-точка, к шине обычно можно подключить несколько устройств по одному набору проводников. Каждая шина определяет свой набор разъемов для </w:t>
      </w:r>
      <w:proofErr w:type="gramStart"/>
      <w:r>
        <w:rPr>
          <w:rFonts w:ascii="Verdana" w:hAnsi="Verdana"/>
          <w:color w:val="000000"/>
          <w:shd w:val="clear" w:color="auto" w:fill="FFFFFF"/>
        </w:rPr>
        <w:t>физического</w:t>
      </w:r>
      <w:proofErr w:type="gramEnd"/>
      <w:r>
        <w:rPr>
          <w:rFonts w:ascii="Verdana" w:hAnsi="Verdana"/>
          <w:color w:val="000000"/>
          <w:shd w:val="clear" w:color="auto" w:fill="FFFFFF"/>
        </w:rPr>
        <w:t xml:space="preserve"> подключению устройств, карт и кабелей.</w:t>
      </w:r>
    </w:p>
    <w:p w:rsidR="00E05E02" w:rsidRDefault="00E05E02" w:rsidP="001C63E9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0425" cy="4540256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02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0BE1" w:rsidRDefault="00760BE1" w:rsidP="001C63E9">
      <w:pPr>
        <w:pStyle w:val="a5"/>
        <w:numPr>
          <w:ilvl w:val="0"/>
          <w:numId w:val="2"/>
        </w:numPr>
        <w:spacing w:line="240" w:lineRule="auto"/>
      </w:pPr>
      <w:r>
        <w:t xml:space="preserve">Он  выбирает электронные импульсы заданной частоты, которая часто  используется  как эталонная - считая количество импульсов, можно, например, изменять </w:t>
      </w:r>
      <w:r w:rsidR="00856EFE">
        <w:t>временные интервалы.</w:t>
      </w:r>
    </w:p>
    <w:p w:rsidR="00856EFE" w:rsidRDefault="00856EFE" w:rsidP="001C63E9">
      <w:pPr>
        <w:pStyle w:val="a5"/>
        <w:numPr>
          <w:ilvl w:val="0"/>
          <w:numId w:val="2"/>
        </w:numPr>
        <w:spacing w:line="240" w:lineRule="auto"/>
      </w:pPr>
      <w:r>
        <w:t xml:space="preserve">Тактовая частота процессора определяет </w:t>
      </w:r>
      <w:proofErr w:type="gramStart"/>
      <w:r>
        <w:t>минимальные</w:t>
      </w:r>
      <w:proofErr w:type="gramEnd"/>
      <w:r>
        <w:t xml:space="preserve"> квант времени, за который процессор выполняет некоторую условную элементарную операцию. Тактовые частоты изменяются в мегагерцах и определяют количественные </w:t>
      </w:r>
      <w:proofErr w:type="spellStart"/>
      <w:r>
        <w:t>характиристики</w:t>
      </w:r>
      <w:proofErr w:type="spellEnd"/>
      <w:r>
        <w:t xml:space="preserve"> производительности компьютерных систем в целом. Чем больше (выше) тактовая частота, тем быстрее центральный процессор.</w:t>
      </w:r>
    </w:p>
    <w:p w:rsidR="00E05E02" w:rsidRDefault="00E05E02" w:rsidP="001C63E9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0425" cy="4524572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24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5CEB" w:rsidRPr="00A855CF" w:rsidRDefault="00145CEB" w:rsidP="001C63E9">
      <w:pPr>
        <w:spacing w:line="240" w:lineRule="auto"/>
        <w:ind w:left="720"/>
        <w:rPr>
          <w:rFonts w:cstheme="minorHAnsi"/>
        </w:rPr>
      </w:pPr>
      <w:r>
        <w:t>1.</w:t>
      </w:r>
      <w:r w:rsidR="00A855CF" w:rsidRPr="00A855CF">
        <w:rPr>
          <w:rFonts w:cstheme="minorHAnsi"/>
          <w:color w:val="222222"/>
          <w:shd w:val="clear" w:color="auto" w:fill="FFFFFF"/>
        </w:rPr>
        <w:t xml:space="preserve"> Во многих моделях процессоров ввод-вывод организуется теми же функциями, что и чтение-запись в память — так называемый «ввод-вывод через память». Соответственно, схемотехнически устройства ввода-вывода располагаются на шине памяти, и часть адресов памяти направляется на ввод-вывод.</w:t>
      </w:r>
    </w:p>
    <w:p w:rsidR="00856EFE" w:rsidRPr="00A22564" w:rsidRDefault="00856EFE" w:rsidP="001C63E9">
      <w:pPr>
        <w:spacing w:line="240" w:lineRule="auto"/>
        <w:ind w:left="720"/>
      </w:pPr>
      <w:r>
        <w:t xml:space="preserve">2.  </w:t>
      </w:r>
      <w:r w:rsidR="00876B26">
        <w:t xml:space="preserve">В процессорах </w:t>
      </w:r>
      <w:r w:rsidR="00876B26">
        <w:rPr>
          <w:lang w:val="en-US"/>
        </w:rPr>
        <w:t>Intel</w:t>
      </w:r>
      <w:r w:rsidR="00876B26">
        <w:t xml:space="preserve">, микроконтроллерах </w:t>
      </w:r>
      <w:r w:rsidR="00876B26">
        <w:rPr>
          <w:lang w:val="en-US"/>
        </w:rPr>
        <w:t>AVR</w:t>
      </w:r>
      <w:r w:rsidR="00876B26" w:rsidRPr="00876B26">
        <w:t xml:space="preserve"> </w:t>
      </w:r>
      <w:r w:rsidR="00876B26">
        <w:t xml:space="preserve">и некоторые других </w:t>
      </w:r>
      <w:proofErr w:type="gramStart"/>
      <w:r w:rsidR="00876B26">
        <w:t>существуют</w:t>
      </w:r>
      <w:proofErr w:type="gramEnd"/>
      <w:r w:rsidR="00876B26">
        <w:t xml:space="preserve"> отдельны команды для ввода – вывода – </w:t>
      </w:r>
      <w:r w:rsidR="00876B26">
        <w:rPr>
          <w:lang w:val="en-US"/>
        </w:rPr>
        <w:t>IN</w:t>
      </w:r>
      <w:r w:rsidR="00876B26" w:rsidRPr="00876B26">
        <w:t xml:space="preserve"> </w:t>
      </w:r>
      <w:r w:rsidR="00876B26">
        <w:t xml:space="preserve">и </w:t>
      </w:r>
      <w:r w:rsidR="00876B26">
        <w:rPr>
          <w:lang w:val="en-US"/>
        </w:rPr>
        <w:t>OUT</w:t>
      </w:r>
      <w:r w:rsidR="00876B26" w:rsidRPr="00876B26">
        <w:t xml:space="preserve"> </w:t>
      </w:r>
      <w:r w:rsidR="00876B26">
        <w:t>–</w:t>
      </w:r>
      <w:r w:rsidR="00876B26" w:rsidRPr="00876B26">
        <w:t xml:space="preserve"> </w:t>
      </w:r>
      <w:r w:rsidR="00876B26">
        <w:t>и, соответственно, отде</w:t>
      </w:r>
      <w:r w:rsidR="00A22564">
        <w:t>льное адресное пространство</w:t>
      </w:r>
      <w:r w:rsidR="00A22564" w:rsidRPr="00A22564">
        <w:t xml:space="preserve">:  </w:t>
      </w:r>
      <w:r w:rsidR="00A22564">
        <w:t xml:space="preserve">в процессорах </w:t>
      </w:r>
      <w:r w:rsidR="00A22564">
        <w:rPr>
          <w:lang w:val="en-US"/>
        </w:rPr>
        <w:t>Intel</w:t>
      </w:r>
      <w:r w:rsidR="00A22564" w:rsidRPr="00A22564">
        <w:t xml:space="preserve"> </w:t>
      </w:r>
      <w:r w:rsidR="00A22564">
        <w:t>–</w:t>
      </w:r>
      <w:r w:rsidR="00A22564" w:rsidRPr="00A22564">
        <w:t xml:space="preserve"> </w:t>
      </w:r>
      <w:r w:rsidR="00A22564">
        <w:t>от 0000</w:t>
      </w:r>
      <w:r w:rsidR="00A22564" w:rsidRPr="00A22564">
        <w:t xml:space="preserve">^16 </w:t>
      </w:r>
      <w:r w:rsidR="00A22564">
        <w:t xml:space="preserve">до </w:t>
      </w:r>
      <w:r w:rsidR="00A22564">
        <w:rPr>
          <w:lang w:val="en-US"/>
        </w:rPr>
        <w:t>FFFF</w:t>
      </w:r>
      <w:r w:rsidR="00A22564" w:rsidRPr="00A22564">
        <w:t>^16.</w:t>
      </w:r>
    </w:p>
    <w:p w:rsidR="00A22564" w:rsidRPr="00A22564" w:rsidRDefault="00A22564" w:rsidP="001C63E9">
      <w:pPr>
        <w:spacing w:line="240" w:lineRule="auto"/>
        <w:ind w:left="720"/>
      </w:pPr>
      <w:r>
        <w:t>3. Физический адрес порта подаётся через ту же адресную шину, что и адрес памяти</w:t>
      </w:r>
      <w:proofErr w:type="gramStart"/>
      <w:r>
        <w:t xml:space="preserve"> .</w:t>
      </w:r>
      <w:proofErr w:type="gramEnd"/>
    </w:p>
    <w:p w:rsidR="00A22564" w:rsidRDefault="00E05E02" w:rsidP="001C63E9">
      <w:pPr>
        <w:spacing w:line="240" w:lineRule="auto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4514850"/>
            <wp:effectExtent l="19050" t="0" r="3175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1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22564">
        <w:t>1. Программное прерывание – синхронное прерывание, которое может осуществить программа с помощью специальной инструкции.</w:t>
      </w:r>
    </w:p>
    <w:p w:rsidR="00E05E02" w:rsidRDefault="00A22564" w:rsidP="001C63E9">
      <w:pPr>
        <w:spacing w:line="240" w:lineRule="auto"/>
      </w:pPr>
      <w:r>
        <w:t xml:space="preserve">2. Прерывание – сигнал от программного или аппаратного обеспечения, </w:t>
      </w:r>
      <w:r w:rsidR="005E7184">
        <w:t xml:space="preserve">сообщающий процессору о наступлении какого-либо события, требующего немедленного внимания. Прерывание извещает процессор о наступлении высокоприоритетного </w:t>
      </w:r>
      <w:r>
        <w:t xml:space="preserve"> </w:t>
      </w:r>
      <w:r w:rsidR="005E7184">
        <w:t>события, требующий прерывания текущего кода, выполняемого процессом.</w:t>
      </w:r>
      <w:r>
        <w:br w:type="textWrapping" w:clear="all"/>
      </w:r>
    </w:p>
    <w:p w:rsidR="00E05E02" w:rsidRDefault="00E05E02" w:rsidP="001C63E9">
      <w:pPr>
        <w:spacing w:line="240" w:lineRule="auto"/>
      </w:pPr>
      <w:r>
        <w:rPr>
          <w:noProof/>
        </w:rPr>
        <w:lastRenderedPageBreak/>
        <w:drawing>
          <wp:inline distT="0" distB="0" distL="0" distR="0">
            <wp:extent cx="5940425" cy="4535108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35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7184" w:rsidRDefault="005E7184" w:rsidP="001C63E9">
      <w:pPr>
        <w:spacing w:line="240" w:lineRule="auto"/>
      </w:pPr>
      <w:r>
        <w:t>1.  Контроллер прерываний – микросхема или встроенный блок процессора, отвечающий за возможность последовательной обработки запросов на прерывание от разных устройств.</w:t>
      </w:r>
    </w:p>
    <w:p w:rsidR="005E7184" w:rsidRDefault="005E7184" w:rsidP="001C63E9">
      <w:pPr>
        <w:spacing w:line="240" w:lineRule="auto"/>
      </w:pPr>
      <w:r>
        <w:t xml:space="preserve">2. </w:t>
      </w:r>
      <w:r w:rsidRPr="00430461">
        <w:rPr>
          <w:rFonts w:cstheme="minorHAnsi"/>
          <w:color w:val="000000"/>
        </w:rPr>
        <w:t>Для нормального функционирования шины PCI в персональном компьютере ее преры</w:t>
      </w:r>
      <w:r w:rsidRPr="00430461">
        <w:rPr>
          <w:rFonts w:cstheme="minorHAnsi"/>
          <w:color w:val="000000"/>
        </w:rPr>
        <w:softHyphen/>
        <w:t>вания должны быть установлены в соответствии с существующими прерываниями ISA. Прерывания ISA не могут использоваться совместно, поэтому в большинстве случаев для каждой платы PCI, использующей прерывание INTA# шины PCI, следует установить прерывания, отличные от неразделяемых прерываний шины ISA.</w:t>
      </w:r>
      <w:r>
        <w:t xml:space="preserve"> </w:t>
      </w:r>
    </w:p>
    <w:sectPr w:rsidR="005E7184" w:rsidSect="00E05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F53B5"/>
    <w:multiLevelType w:val="hybridMultilevel"/>
    <w:tmpl w:val="A70020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3CD3358"/>
    <w:multiLevelType w:val="hybridMultilevel"/>
    <w:tmpl w:val="B094926A"/>
    <w:lvl w:ilvl="0" w:tplc="551C9E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16F00EF"/>
    <w:multiLevelType w:val="hybridMultilevel"/>
    <w:tmpl w:val="A8A405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E05E02"/>
    <w:rsid w:val="00145CEB"/>
    <w:rsid w:val="001C63E9"/>
    <w:rsid w:val="002C5B6E"/>
    <w:rsid w:val="00430461"/>
    <w:rsid w:val="005E7184"/>
    <w:rsid w:val="00760BE1"/>
    <w:rsid w:val="00852A02"/>
    <w:rsid w:val="00856EFE"/>
    <w:rsid w:val="00876B26"/>
    <w:rsid w:val="00A22564"/>
    <w:rsid w:val="00A855CF"/>
    <w:rsid w:val="00E05C76"/>
    <w:rsid w:val="00E05E02"/>
    <w:rsid w:val="00E6685D"/>
    <w:rsid w:val="00F865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05C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05E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05E02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F865DE"/>
    <w:pPr>
      <w:ind w:left="720"/>
      <w:contextualSpacing/>
    </w:pPr>
  </w:style>
  <w:style w:type="character" w:styleId="a6">
    <w:name w:val="Hyperlink"/>
    <w:basedOn w:val="a0"/>
    <w:uiPriority w:val="99"/>
    <w:semiHidden/>
    <w:unhideWhenUsed/>
    <w:rsid w:val="00852A02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zburl</dc:creator>
  <cp:keywords/>
  <dc:description/>
  <cp:lastModifiedBy>zburl</cp:lastModifiedBy>
  <cp:revision>6</cp:revision>
  <dcterms:created xsi:type="dcterms:W3CDTF">2020-04-16T12:03:00Z</dcterms:created>
  <dcterms:modified xsi:type="dcterms:W3CDTF">2020-04-18T14:34:00Z</dcterms:modified>
</cp:coreProperties>
</file>