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558E" w14:textId="77777777" w:rsidR="00A956AD" w:rsidRDefault="00A956AD" w:rsidP="00A956A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Лекция 3</w:t>
      </w:r>
    </w:p>
    <w:p w14:paraId="15AEE714" w14:textId="77777777" w:rsidR="00A956AD" w:rsidRDefault="00A956AD" w:rsidP="00A956AD">
      <w:pPr>
        <w:pStyle w:val="1"/>
        <w:shd w:val="clear" w:color="auto" w:fill="FFFFFF"/>
        <w:spacing w:before="0"/>
        <w:jc w:val="center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Направления ИТ аудита (</w:t>
      </w:r>
      <w:r>
        <w:rPr>
          <w:rFonts w:ascii="Verdana" w:hAnsi="Verdana"/>
          <w:color w:val="000000"/>
          <w:sz w:val="20"/>
          <w:szCs w:val="20"/>
        </w:rPr>
        <w:t>Что может входить в ИТ аудит?)</w:t>
      </w:r>
    </w:p>
    <w:tbl>
      <w:tblPr>
        <w:tblW w:w="10160" w:type="dxa"/>
        <w:shd w:val="clear" w:color="auto" w:fill="FFFFFF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14"/>
        <w:gridCol w:w="3071"/>
        <w:gridCol w:w="6575"/>
      </w:tblGrid>
      <w:tr w:rsidR="00A956AD" w14:paraId="06FC1302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auto"/>
            </w:tcBorders>
            <w:shd w:val="clear" w:color="auto" w:fill="EFEFE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1E3B079" w14:textId="77777777" w:rsidR="00A956AD" w:rsidRDefault="00A956AD" w:rsidP="00C87AD0">
            <w:pPr>
              <w:spacing w:before="167" w:after="167"/>
              <w:ind w:left="167" w:right="167"/>
              <w:rPr>
                <w:rFonts w:ascii="Tahoma" w:hAnsi="Tahoma" w:cs="Tahoma"/>
                <w:color w:val="A10043"/>
              </w:rPr>
            </w:pPr>
            <w:r>
              <w:rPr>
                <w:rFonts w:ascii="Tahoma" w:hAnsi="Tahoma" w:cs="Tahoma"/>
                <w:b/>
                <w:bCs/>
                <w:color w:val="A10043"/>
              </w:rPr>
              <w:t>№ п/п</w:t>
            </w:r>
          </w:p>
        </w:tc>
        <w:tc>
          <w:tcPr>
            <w:tcW w:w="3071" w:type="dxa"/>
            <w:tcBorders>
              <w:bottom w:val="single" w:sz="24" w:space="0" w:color="auto"/>
            </w:tcBorders>
            <w:shd w:val="clear" w:color="auto" w:fill="EFEFE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6F5F35D" w14:textId="77777777" w:rsidR="00A956AD" w:rsidRDefault="00A956AD" w:rsidP="00C87AD0">
            <w:pPr>
              <w:spacing w:before="167" w:after="167"/>
              <w:ind w:left="167" w:right="167"/>
              <w:rPr>
                <w:rFonts w:ascii="Tahoma" w:hAnsi="Tahoma" w:cs="Tahoma"/>
                <w:color w:val="A10043"/>
              </w:rPr>
            </w:pPr>
            <w:r>
              <w:rPr>
                <w:rFonts w:ascii="Tahoma" w:hAnsi="Tahoma" w:cs="Tahoma"/>
                <w:b/>
                <w:bCs/>
                <w:color w:val="A10043"/>
              </w:rPr>
              <w:t>Название раздела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EFEFE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648615B8" w14:textId="77777777" w:rsidR="00A956AD" w:rsidRDefault="00A956AD" w:rsidP="00C87AD0">
            <w:pPr>
              <w:spacing w:before="167" w:after="167"/>
              <w:ind w:left="167" w:right="167"/>
              <w:rPr>
                <w:rFonts w:ascii="Tahoma" w:hAnsi="Tahoma" w:cs="Tahoma"/>
                <w:color w:val="A10043"/>
              </w:rPr>
            </w:pPr>
            <w:r>
              <w:rPr>
                <w:rFonts w:ascii="Tahoma" w:hAnsi="Tahoma" w:cs="Tahoma"/>
                <w:b/>
                <w:bCs/>
                <w:color w:val="A10043"/>
              </w:rPr>
              <w:t>Что получит бизнес</w:t>
            </w:r>
          </w:p>
        </w:tc>
      </w:tr>
      <w:tr w:rsidR="00A956AD" w14:paraId="3F0FB260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F71DB11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1DEDDC84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«Аудит IT инфраструктуры»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931766A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Понимание состояния ИТ инфраструктуры с ее рисками,</w:t>
            </w:r>
          </w:p>
          <w:p w14:paraId="09989EC5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узкими местами</w:t>
            </w:r>
          </w:p>
        </w:tc>
      </w:tr>
      <w:tr w:rsidR="00A956AD" w14:paraId="1327B40E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83AD94D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2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64AF434D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«Аудит IT персонала»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2B5C321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Понимание состояния текущего ИТ персонала. Понимание </w:t>
            </w:r>
          </w:p>
          <w:p w14:paraId="020BA0E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текущих рисков в существующем составе в штатном расписании</w:t>
            </w:r>
          </w:p>
        </w:tc>
      </w:tr>
      <w:tr w:rsidR="00A956AD" w14:paraId="3E154313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533282B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3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698FB79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«Опрос ключевых бизнес пользователей»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5F4228D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Понимание текущей удовлетворенности </w:t>
            </w:r>
            <w:proofErr w:type="gram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бизнес пользователей</w:t>
            </w:r>
            <w:proofErr w:type="gramEnd"/>
            <w:r>
              <w:rPr>
                <w:rFonts w:ascii="Tahoma" w:hAnsi="Tahoma" w:cs="Tahoma"/>
                <w:color w:val="3F484A"/>
                <w:sz w:val="18"/>
                <w:szCs w:val="18"/>
              </w:rPr>
              <w:t>. </w:t>
            </w:r>
            <w:r>
              <w:rPr>
                <w:rFonts w:ascii="Tahoma" w:hAnsi="Tahoma" w:cs="Tahoma"/>
                <w:color w:val="3F484A"/>
                <w:sz w:val="18"/>
                <w:szCs w:val="18"/>
              </w:rPr>
              <w:br/>
              <w:t>Понимание возможных текущих потерь и</w:t>
            </w:r>
          </w:p>
          <w:p w14:paraId="31DE740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потребностей (возможные выгоды) бизнеса из-за ИТ.</w:t>
            </w:r>
          </w:p>
        </w:tc>
      </w:tr>
      <w:tr w:rsidR="00A956AD" w14:paraId="7C82652C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0BAFB48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4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046C8A8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Аудит ИТ стратегии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268CA428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Оценка соответствия стратегическим целям Бизнеса. В результате данного аудита ТОП менеджмент и акционеры получат объективную и независимую оценку ИТ процессов и рекомендации по их оптимизации для выравнивания тактических планов ИТ со стратегическими и приведения ИТ стратегии в соответствие со стратегией бизнеса.</w:t>
            </w:r>
          </w:p>
        </w:tc>
      </w:tr>
      <w:tr w:rsidR="00A956AD" w14:paraId="2E48B493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170569A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5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DB7111C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«Анализ IT затрат»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3183DBC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Оценка прозрачности ИТ затрат и их эффективности. </w:t>
            </w:r>
          </w:p>
          <w:p w14:paraId="4405119D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Рекомендации по процессам бюджетирования, </w:t>
            </w:r>
          </w:p>
          <w:p w14:paraId="11819658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обоснованности ИТ расходов и получения максимальной </w:t>
            </w:r>
          </w:p>
          <w:p w14:paraId="33716D6F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отдачи в интересах бизнеса.</w:t>
            </w:r>
          </w:p>
          <w:p w14:paraId="21800F65" w14:textId="77777777" w:rsidR="00A956AD" w:rsidRDefault="00A956AD" w:rsidP="00C87AD0">
            <w:pPr>
              <w:pStyle w:val="a3"/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Ответы на вопросы:</w:t>
            </w:r>
          </w:p>
          <w:p w14:paraId="48DB67E3" w14:textId="77777777" w:rsidR="00A956AD" w:rsidRDefault="00A956AD" w:rsidP="00A956AD">
            <w:pPr>
              <w:numPr>
                <w:ilvl w:val="0"/>
                <w:numId w:val="1"/>
              </w:numPr>
              <w:spacing w:before="100" w:beforeAutospacing="1" w:after="100" w:afterAutospacing="1"/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Сколько компания тратит на IT?</w:t>
            </w:r>
          </w:p>
          <w:p w14:paraId="242D5345" w14:textId="77777777" w:rsidR="00A956AD" w:rsidRDefault="00A956AD" w:rsidP="00A956AD">
            <w:pPr>
              <w:numPr>
                <w:ilvl w:val="0"/>
                <w:numId w:val="1"/>
              </w:numPr>
              <w:spacing w:before="100" w:beforeAutospacing="1" w:after="100" w:afterAutospacing="1"/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Насколько это адекватно?</w:t>
            </w:r>
          </w:p>
          <w:p w14:paraId="79E055CE" w14:textId="77777777" w:rsidR="00A956AD" w:rsidRDefault="00A956AD" w:rsidP="00A956AD">
            <w:pPr>
              <w:numPr>
                <w:ilvl w:val="0"/>
                <w:numId w:val="1"/>
              </w:numPr>
              <w:spacing w:before="100" w:beforeAutospacing="1" w:after="100" w:afterAutospacing="1"/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Сравнение с данными по отрасли (</w:t>
            </w: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Benchmarking</w:t>
            </w:r>
            <w:proofErr w:type="spellEnd"/>
            <w:r>
              <w:rPr>
                <w:rFonts w:ascii="Tahoma" w:hAnsi="Tahoma" w:cs="Tahoma"/>
                <w:color w:val="3F484A"/>
                <w:sz w:val="18"/>
                <w:szCs w:val="18"/>
              </w:rPr>
              <w:t>)</w:t>
            </w:r>
          </w:p>
        </w:tc>
      </w:tr>
      <w:tr w:rsidR="00A956AD" w14:paraId="55427B94" w14:textId="77777777" w:rsidTr="00C87AD0">
        <w:trPr>
          <w:trHeight w:val="144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644453E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6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4212D31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«Анализ работы с контрагентами»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7CFB08E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Позволит получить представления по текущей </w:t>
            </w:r>
          </w:p>
          <w:p w14:paraId="35B505E3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работе с внешними поставщиками, провайдерами. </w:t>
            </w:r>
          </w:p>
          <w:p w14:paraId="7CAFA82F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Насколько эта работа выстроена оптимально и нет ли</w:t>
            </w:r>
          </w:p>
          <w:p w14:paraId="79D4014A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здесь текущих или возможных потерь денег</w:t>
            </w:r>
          </w:p>
        </w:tc>
      </w:tr>
      <w:tr w:rsidR="00A956AD" w14:paraId="26709B0B" w14:textId="77777777" w:rsidTr="00C87AD0">
        <w:trPr>
          <w:trHeight w:val="1376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28BB4CE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7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4A42D15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«Аудит корпоративной информационной системы»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9626E59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Поможет оценить риски при управлении бизнесом, при </w:t>
            </w:r>
          </w:p>
          <w:p w14:paraId="30301F9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дальнейшем развитии бизнеса, соответствие </w:t>
            </w:r>
          </w:p>
          <w:p w14:paraId="4138430A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современным требованиям</w:t>
            </w:r>
          </w:p>
        </w:tc>
      </w:tr>
      <w:tr w:rsidR="00A956AD" w14:paraId="15E4E7E4" w14:textId="77777777" w:rsidTr="00C87AD0">
        <w:trPr>
          <w:trHeight w:val="1376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8F8C89E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lastRenderedPageBreak/>
              <w:t>8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B352427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«Краткий аудит IT процессов»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10B89BFA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Существующие риски в организационной модели </w:t>
            </w:r>
          </w:p>
          <w:p w14:paraId="154474F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proofErr w:type="gram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текущей  IT</w:t>
            </w:r>
            <w:proofErr w:type="gramEnd"/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службы. Какие потери могут возникнуть в </w:t>
            </w:r>
          </w:p>
          <w:p w14:paraId="7E4771C7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будущем из-за этого</w:t>
            </w:r>
          </w:p>
        </w:tc>
      </w:tr>
      <w:tr w:rsidR="00A956AD" w14:paraId="6BAE372B" w14:textId="77777777" w:rsidTr="00C87AD0">
        <w:trPr>
          <w:trHeight w:val="3173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9A0CE67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9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91AFE36" w14:textId="77777777" w:rsidR="00A956AD" w:rsidRPr="00982578" w:rsidRDefault="00A956AD" w:rsidP="00C87AD0">
            <w:pPr>
              <w:rPr>
                <w:rStyle w:val="a4"/>
                <w:rFonts w:ascii="Tahoma" w:hAnsi="Tahoma" w:cs="Tahoma"/>
                <w:color w:val="3F484A"/>
                <w:sz w:val="20"/>
                <w:szCs w:val="20"/>
              </w:rPr>
            </w:pPr>
            <w:r w:rsidRPr="00982578">
              <w:rPr>
                <w:rStyle w:val="a4"/>
                <w:rFonts w:ascii="Tahoma" w:hAnsi="Tahoma" w:cs="Tahoma"/>
                <w:color w:val="3F484A"/>
                <w:sz w:val="20"/>
                <w:szCs w:val="20"/>
              </w:rPr>
              <w:t>Аудит SLA</w:t>
            </w:r>
          </w:p>
          <w:p w14:paraId="1B9751AF" w14:textId="77777777" w:rsidR="00A956AD" w:rsidRPr="00982578" w:rsidRDefault="00A956AD" w:rsidP="00C87AD0">
            <w:pPr>
              <w:jc w:val="both"/>
              <w:rPr>
                <w:rFonts w:ascii="Tahoma" w:hAnsi="Tahoma" w:cs="Tahoma"/>
                <w:color w:val="3F484A"/>
                <w:sz w:val="20"/>
                <w:szCs w:val="20"/>
              </w:rPr>
            </w:pPr>
            <w:r w:rsidRPr="00982578">
              <w:rPr>
                <w:rStyle w:val="a4"/>
                <w:rFonts w:ascii="Tahoma" w:hAnsi="Tahoma" w:cs="Tahoma"/>
                <w:color w:val="3F484A"/>
                <w:sz w:val="20"/>
                <w:szCs w:val="20"/>
              </w:rPr>
              <w:t>(</w:t>
            </w:r>
            <w:r w:rsidRPr="00982578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Service Level </w:t>
            </w:r>
            <w:proofErr w:type="spellStart"/>
            <w:r w:rsidRPr="00982578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Agreemen</w:t>
            </w:r>
            <w:proofErr w:type="spellEnd"/>
            <w:r w:rsidRPr="00982578">
              <w:rPr>
                <w:rStyle w:val="a4"/>
                <w:rFonts w:ascii="Tahoma" w:hAnsi="Tahoma" w:cs="Tahoma"/>
                <w:color w:val="3F484A"/>
                <w:sz w:val="20"/>
                <w:szCs w:val="20"/>
              </w:rPr>
              <w:t>)</w:t>
            </w:r>
            <w:r w:rsidRPr="0098257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формальный договор между заказчиком услуги и её поставщиком, содержащий описание услуги, права и обязанности сторон и, самое главное, согласованный уровень качества предоставления данной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172567FD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В результате данного аудита ТОП менеджмент и акционеры</w:t>
            </w:r>
          </w:p>
          <w:p w14:paraId="11131E58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получат объективную и независимую оценку ИТ процессов</w:t>
            </w:r>
          </w:p>
          <w:p w14:paraId="257FC9BF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связанных с предоставлением ИТ услуг, анализ эффективности</w:t>
            </w:r>
          </w:p>
          <w:p w14:paraId="326B6B9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сорсинга</w:t>
            </w:r>
            <w:proofErr w:type="spellEnd"/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(</w:t>
            </w:r>
            <w:r w:rsidRPr="00982578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привлечение внешних ресурсов</w:t>
            </w:r>
            <w:r w:rsidRPr="00982578">
              <w:rPr>
                <w:rFonts w:ascii="Tahoma" w:hAnsi="Tahoma" w:cs="Tahoma"/>
                <w:color w:val="3F484A"/>
                <w:sz w:val="18"/>
                <w:szCs w:val="18"/>
              </w:rPr>
              <w:t>)</w:t>
            </w:r>
          </w:p>
          <w:p w14:paraId="5E0A88F1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(инсорсинг и аутсорсинг).  В результате будут</w:t>
            </w:r>
          </w:p>
          <w:p w14:paraId="55347BA3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предложены пути повышения эффективности </w:t>
            </w:r>
          </w:p>
          <w:p w14:paraId="5978003E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предоставления ИТ услуг</w:t>
            </w:r>
          </w:p>
        </w:tc>
      </w:tr>
      <w:tr w:rsidR="00A956AD" w14:paraId="61AA639D" w14:textId="77777777" w:rsidTr="00C87AD0">
        <w:trPr>
          <w:trHeight w:val="1376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15875500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9.1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3D49587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«Разработка каталога сервисов и SLA»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D791C2F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Каталог сервисов. Необходим для выстраивания</w:t>
            </w:r>
          </w:p>
          <w:p w14:paraId="7A3AFD21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работы службы, взаимоотношений между ИТ и бизнес</w:t>
            </w:r>
          </w:p>
          <w:p w14:paraId="440DD4D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подраздлениями</w:t>
            </w:r>
            <w:proofErr w:type="spellEnd"/>
          </w:p>
        </w:tc>
      </w:tr>
      <w:tr w:rsidR="00A956AD" w14:paraId="73363537" w14:textId="77777777" w:rsidTr="00C87AD0">
        <w:trPr>
          <w:trHeight w:val="2333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60BC6A61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10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749FE1B" w14:textId="77777777" w:rsidR="00A956AD" w:rsidRDefault="00A956AD" w:rsidP="00C87AD0">
            <w:pP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Оценка планов BCP и ITCP</w:t>
            </w:r>
          </w:p>
          <w:p w14:paraId="2CA616BE" w14:textId="77777777" w:rsidR="00A956AD" w:rsidRDefault="00A956AD" w:rsidP="00C87AD0">
            <w:pPr>
              <w:rPr>
                <w:rFonts w:ascii="Trebuchet MS" w:hAnsi="Trebuchet MS"/>
                <w:color w:val="444444"/>
              </w:rPr>
            </w:pPr>
            <w:r w:rsidRPr="00982578">
              <w:rPr>
                <w:rStyle w:val="a4"/>
                <w:sz w:val="18"/>
                <w:szCs w:val="18"/>
              </w:rPr>
              <w:t>(</w:t>
            </w:r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Business</w:t>
            </w:r>
            <w:r w:rsidRPr="00982578">
              <w:rPr>
                <w:rStyle w:val="apple-converted-space"/>
                <w:rFonts w:ascii="Trebuchet MS" w:eastAsiaTheme="majorEastAsia" w:hAnsi="Trebuchet MS"/>
                <w:color w:val="444444"/>
                <w:sz w:val="18"/>
                <w:szCs w:val="18"/>
              </w:rPr>
              <w:t> </w:t>
            </w:r>
            <w:proofErr w:type="spellStart"/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Continuity</w:t>
            </w:r>
            <w:proofErr w:type="spellEnd"/>
            <w:r w:rsidRPr="00982578">
              <w:rPr>
                <w:rStyle w:val="apple-converted-space"/>
                <w:rFonts w:ascii="Trebuchet MS" w:eastAsiaTheme="majorEastAsia" w:hAnsi="Trebuchet MS"/>
                <w:color w:val="444444"/>
                <w:sz w:val="18"/>
                <w:szCs w:val="18"/>
              </w:rPr>
              <w:t> </w:t>
            </w:r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Plan</w:t>
            </w:r>
            <w:r w:rsidRPr="00982578">
              <w:rPr>
                <w:rStyle w:val="apple-converted-space"/>
                <w:rFonts w:ascii="Trebuchet MS" w:eastAsiaTheme="majorEastAsia" w:hAnsi="Trebuchet MS"/>
                <w:color w:val="444444"/>
                <w:sz w:val="18"/>
                <w:szCs w:val="18"/>
              </w:rPr>
              <w:t> </w:t>
            </w:r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 xml:space="preserve">- </w:t>
            </w:r>
            <w:r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п</w:t>
            </w:r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лан обеспечения непрерывности</w:t>
            </w:r>
            <w:r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,</w:t>
            </w:r>
            <w:r w:rsidRPr="00982578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 xml:space="preserve"> восстановления после кризисных ситуаций</w:t>
            </w:r>
            <w:r w:rsidRPr="00982578">
              <w:rPr>
                <w:rStyle w:val="a4"/>
                <w:sz w:val="18"/>
                <w:szCs w:val="18"/>
              </w:rPr>
              <w:t>)</w:t>
            </w:r>
            <w:r>
              <w:rPr>
                <w:rFonts w:ascii="Trebuchet MS" w:hAnsi="Trebuchet MS"/>
                <w:color w:val="444444"/>
              </w:rPr>
              <w:t xml:space="preserve"> </w:t>
            </w:r>
          </w:p>
          <w:p w14:paraId="7AC3550E" w14:textId="77777777" w:rsidR="00A956AD" w:rsidRPr="00982578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proofErr w:type="spellStart"/>
            <w:r w:rsidRPr="0018471D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Disaster</w:t>
            </w:r>
            <w:proofErr w:type="spellEnd"/>
            <w:r w:rsidRPr="0018471D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 xml:space="preserve"> Recovery Plan </w:t>
            </w:r>
            <w:r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(</w:t>
            </w:r>
            <w:r w:rsidRPr="0018471D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DRP</w:t>
            </w:r>
            <w:r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>) - п</w:t>
            </w:r>
            <w:r w:rsidRPr="0018471D">
              <w:rPr>
                <w:rStyle w:val="a4"/>
                <w:rFonts w:ascii="Trebuchet MS" w:hAnsi="Trebuchet MS"/>
                <w:color w:val="444444"/>
                <w:sz w:val="18"/>
                <w:szCs w:val="18"/>
              </w:rPr>
              <w:t xml:space="preserve">лан восстановления после катастрофы 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2A2F8B7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В результате данного аудита будет предоставлена оценка </w:t>
            </w:r>
          </w:p>
          <w:p w14:paraId="312C5D6C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жизнеспособности планов BCP/DRP и предоставлены </w:t>
            </w:r>
          </w:p>
          <w:p w14:paraId="0E08C30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рекомендации для повышения «отказоустойчивости» </w:t>
            </w:r>
          </w:p>
          <w:p w14:paraId="012E2E93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ключевых бизнес-процессов, зависимых от ИТ. </w:t>
            </w:r>
          </w:p>
          <w:p w14:paraId="63BD60C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Будут предложены пути повышения эффективности планов ITCP</w:t>
            </w:r>
          </w:p>
        </w:tc>
      </w:tr>
      <w:tr w:rsidR="00A956AD" w14:paraId="62A7C0DA" w14:textId="77777777" w:rsidTr="00C87AD0">
        <w:trPr>
          <w:trHeight w:val="923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1A46782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11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1B23A8B1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Информационная безопасность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20B4633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Оценка эффективности процессов Информационной </w:t>
            </w:r>
          </w:p>
          <w:p w14:paraId="4590E4D6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безопасности и/или их соответствия требованиям ISO 27001</w:t>
            </w:r>
          </w:p>
        </w:tc>
      </w:tr>
      <w:tr w:rsidR="00A956AD" w14:paraId="3E6A2F5B" w14:textId="77777777" w:rsidTr="00C87AD0">
        <w:trPr>
          <w:trHeight w:val="906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89E669A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12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FD30201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Информационная безопасность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6D00B4F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Оценка процессов обработки и защиты </w:t>
            </w: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ПДн</w:t>
            </w:r>
            <w:proofErr w:type="spellEnd"/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требованиям </w:t>
            </w:r>
          </w:p>
          <w:p w14:paraId="4F2AF79D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Законодательства в соответствии с 152-ФЗ и Приказ №21 ФСТЭК</w:t>
            </w:r>
          </w:p>
        </w:tc>
      </w:tr>
      <w:tr w:rsidR="00A956AD" w14:paraId="6C2C370D" w14:textId="77777777" w:rsidTr="00C87AD0">
        <w:trPr>
          <w:trHeight w:val="923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AA7906D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13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95C5B52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«Аудит ведущихся проектов»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7283BB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Понимание текущего состояния по ведущимся и прошедшим</w:t>
            </w:r>
          </w:p>
          <w:p w14:paraId="6D86EC8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IT проектам за период. Имелись ли потери, в каком размере</w:t>
            </w:r>
          </w:p>
        </w:tc>
      </w:tr>
      <w:tr w:rsidR="00A956AD" w14:paraId="2A992824" w14:textId="77777777" w:rsidTr="00C87AD0">
        <w:trPr>
          <w:trHeight w:val="906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7748E96D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lastRenderedPageBreak/>
              <w:t>14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432FF69B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«Аудит проектного управления в IT»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22146377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Понимание существующих рисков в проектном управлении. </w:t>
            </w:r>
          </w:p>
          <w:p w14:paraId="033886D4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Какие потери могут возникнуть в будущем в ИТ проектах компании</w:t>
            </w:r>
          </w:p>
        </w:tc>
      </w:tr>
      <w:tr w:rsidR="00A956AD" w14:paraId="3671999A" w14:textId="77777777" w:rsidTr="00C87AD0">
        <w:trPr>
          <w:trHeight w:val="1812"/>
        </w:trPr>
        <w:tc>
          <w:tcPr>
            <w:tcW w:w="514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50A5BE9A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15</w:t>
            </w:r>
          </w:p>
        </w:tc>
        <w:tc>
          <w:tcPr>
            <w:tcW w:w="3071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018DFC68" w14:textId="77777777" w:rsidR="00A956AD" w:rsidRDefault="00A956AD" w:rsidP="00C87AD0">
            <w:pPr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color w:val="3F484A"/>
                <w:sz w:val="18"/>
                <w:szCs w:val="18"/>
              </w:rPr>
              <w:t>«Анализ рисков. Оценка управления ИТ рисками и/или бизнес-рисков, зависимых от ИТ.»</w:t>
            </w:r>
          </w:p>
        </w:tc>
        <w:tc>
          <w:tcPr>
            <w:tcW w:w="6575" w:type="dxa"/>
            <w:tcBorders>
              <w:bottom w:val="single" w:sz="24" w:space="0" w:color="C2C8C9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14:paraId="3F18C8D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Даст представление по всем рискам (в т.ч. и перечень</w:t>
            </w:r>
          </w:p>
          <w:p w14:paraId="34DCEC1E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невыявленных</w:t>
            </w:r>
            <w:proofErr w:type="spellEnd"/>
            <w:r>
              <w:rPr>
                <w:rFonts w:ascii="Tahoma" w:hAnsi="Tahoma" w:cs="Tahoma"/>
                <w:color w:val="3F484A"/>
                <w:sz w:val="18"/>
                <w:szCs w:val="18"/>
              </w:rPr>
              <w:t>), их сравнительную оценку, влияние,</w:t>
            </w:r>
          </w:p>
          <w:p w14:paraId="1A5B1950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вероятность реализации, краткое описание </w:t>
            </w:r>
            <w:proofErr w:type="spellStart"/>
            <w:r>
              <w:rPr>
                <w:rFonts w:ascii="Tahoma" w:hAnsi="Tahoma" w:cs="Tahoma"/>
                <w:color w:val="3F484A"/>
                <w:sz w:val="18"/>
                <w:szCs w:val="18"/>
              </w:rPr>
              <w:t>превентирующих</w:t>
            </w:r>
            <w:proofErr w:type="spellEnd"/>
            <w:r>
              <w:rPr>
                <w:rFonts w:ascii="Tahoma" w:hAnsi="Tahoma" w:cs="Tahoma"/>
                <w:color w:val="3F484A"/>
                <w:sz w:val="18"/>
                <w:szCs w:val="18"/>
              </w:rPr>
              <w:t xml:space="preserve"> </w:t>
            </w:r>
          </w:p>
          <w:p w14:paraId="33E6C072" w14:textId="77777777" w:rsidR="00A956AD" w:rsidRDefault="00A956AD" w:rsidP="00C87AD0">
            <w:pPr>
              <w:ind w:right="1464"/>
              <w:rPr>
                <w:rFonts w:ascii="Tahoma" w:hAnsi="Tahoma" w:cs="Tahoma"/>
                <w:color w:val="3F484A"/>
                <w:sz w:val="18"/>
                <w:szCs w:val="18"/>
              </w:rPr>
            </w:pPr>
            <w:r>
              <w:rPr>
                <w:rFonts w:ascii="Tahoma" w:hAnsi="Tahoma" w:cs="Tahoma"/>
                <w:color w:val="3F484A"/>
                <w:sz w:val="18"/>
                <w:szCs w:val="18"/>
              </w:rPr>
              <w:t>мероприятий</w:t>
            </w:r>
          </w:p>
        </w:tc>
      </w:tr>
    </w:tbl>
    <w:p w14:paraId="3F1E67A9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0C7B9983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7CBCE544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75B4681F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250B685F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41AFC8C6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0FB6199E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58017307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4AA6A8F6" w14:textId="77777777" w:rsidR="00A956AD" w:rsidRDefault="00A956AD" w:rsidP="00A956AD">
      <w:pPr>
        <w:pStyle w:val="a3"/>
        <w:shd w:val="clear" w:color="auto" w:fill="FFFFFF"/>
        <w:rPr>
          <w:rStyle w:val="a4"/>
          <w:rFonts w:ascii="Verdana" w:hAnsi="Verdana"/>
          <w:color w:val="000000"/>
          <w:sz w:val="20"/>
          <w:szCs w:val="20"/>
        </w:rPr>
      </w:pPr>
    </w:p>
    <w:p w14:paraId="76ACC1E7" w14:textId="77777777" w:rsidR="00A956AD" w:rsidRDefault="00A956AD" w:rsidP="00A956AD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Что может быть результатом IT аудита?</w:t>
      </w:r>
    </w:p>
    <w:p w14:paraId="5C97A145" w14:textId="77777777" w:rsidR="00A956AD" w:rsidRDefault="00A956AD" w:rsidP="00A956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Сводные отчет по текущему состоянию ИТ в компании</w:t>
      </w:r>
    </w:p>
    <w:p w14:paraId="4012B2B3" w14:textId="77777777" w:rsidR="00A956AD" w:rsidRDefault="00A956AD" w:rsidP="00A956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План работы ИТ на 1-2-3 года</w:t>
      </w:r>
    </w:p>
    <w:p w14:paraId="285E66AE" w14:textId="77777777" w:rsidR="00A956AD" w:rsidRDefault="00A956AD" w:rsidP="00A956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Детальная проработка проектов по этому плану</w:t>
      </w:r>
    </w:p>
    <w:p w14:paraId="4895D908" w14:textId="77777777" w:rsidR="00A956AD" w:rsidRDefault="00A956AD" w:rsidP="00A956AD">
      <w:pPr>
        <w:shd w:val="clear" w:color="auto" w:fill="FFFFFF"/>
        <w:spacing w:before="100" w:beforeAutospacing="1" w:after="100" w:afterAutospacing="1"/>
        <w:ind w:firstLine="567"/>
        <w:jc w:val="both"/>
        <w:rPr>
          <w:sz w:val="28"/>
          <w:szCs w:val="28"/>
        </w:rPr>
      </w:pPr>
    </w:p>
    <w:p w14:paraId="37B3EE1C" w14:textId="77777777" w:rsidR="00A956AD" w:rsidRPr="00395A33" w:rsidRDefault="00A956AD" w:rsidP="00A956AD">
      <w:pPr>
        <w:shd w:val="clear" w:color="auto" w:fill="FFFFFF"/>
        <w:spacing w:before="100" w:beforeAutospacing="1" w:after="100" w:afterAutospacing="1"/>
        <w:ind w:firstLine="567"/>
        <w:jc w:val="both"/>
        <w:rPr>
          <w:sz w:val="28"/>
          <w:szCs w:val="28"/>
        </w:rPr>
      </w:pPr>
    </w:p>
    <w:p w14:paraId="0CC278B9" w14:textId="77777777" w:rsidR="00A956AD" w:rsidRDefault="00A956AD" w:rsidP="00A956AD">
      <w:pPr>
        <w:jc w:val="both"/>
        <w:rPr>
          <w:sz w:val="32"/>
          <w:szCs w:val="32"/>
        </w:rPr>
      </w:pPr>
    </w:p>
    <w:p w14:paraId="1B9E0ECD" w14:textId="77777777" w:rsidR="00A956AD" w:rsidRDefault="00A956AD" w:rsidP="00A956AD">
      <w:pPr>
        <w:jc w:val="both"/>
        <w:rPr>
          <w:sz w:val="32"/>
          <w:szCs w:val="32"/>
        </w:rPr>
      </w:pPr>
    </w:p>
    <w:p w14:paraId="19AA8DCA" w14:textId="77777777" w:rsidR="00A956AD" w:rsidRDefault="00A956AD" w:rsidP="00A956AD">
      <w:pPr>
        <w:jc w:val="both"/>
        <w:rPr>
          <w:sz w:val="32"/>
          <w:szCs w:val="32"/>
        </w:rPr>
      </w:pPr>
    </w:p>
    <w:p w14:paraId="3F0E4484" w14:textId="77777777" w:rsidR="00A956AD" w:rsidRPr="00086E77" w:rsidRDefault="00A956AD" w:rsidP="00A956AD">
      <w:pPr>
        <w:jc w:val="both"/>
        <w:rPr>
          <w:color w:val="00B050"/>
          <w:sz w:val="32"/>
          <w:szCs w:val="32"/>
        </w:rPr>
      </w:pPr>
      <w:r w:rsidRPr="00086E77">
        <w:rPr>
          <w:b/>
          <w:color w:val="00B050"/>
          <w:sz w:val="32"/>
          <w:szCs w:val="32"/>
        </w:rPr>
        <w:t>Аудит информационной безопасности</w:t>
      </w:r>
      <w:r w:rsidRPr="00086E77">
        <w:rPr>
          <w:color w:val="00B050"/>
          <w:sz w:val="32"/>
          <w:szCs w:val="32"/>
        </w:rPr>
        <w:t xml:space="preserve"> — системный процесс получения объективных качественных и количественных оценок о текущем состоянии информационной безопасности автоматизированной системы в соответствии с определёнными критериями и показателями безопасности.</w:t>
      </w:r>
    </w:p>
    <w:p w14:paraId="21675665" w14:textId="77777777" w:rsidR="00A956AD" w:rsidRPr="00086E77" w:rsidRDefault="00A956AD" w:rsidP="00A956AD">
      <w:pPr>
        <w:jc w:val="both"/>
        <w:rPr>
          <w:color w:val="00B050"/>
          <w:sz w:val="32"/>
          <w:szCs w:val="32"/>
        </w:rPr>
      </w:pPr>
    </w:p>
    <w:p w14:paraId="146A1D63" w14:textId="77777777" w:rsidR="00A956AD" w:rsidRPr="00086E77" w:rsidRDefault="00A956AD" w:rsidP="00A956AD">
      <w:pPr>
        <w:jc w:val="both"/>
        <w:rPr>
          <w:color w:val="00B050"/>
          <w:sz w:val="32"/>
          <w:szCs w:val="32"/>
        </w:rPr>
      </w:pPr>
      <w:r w:rsidRPr="00086E77">
        <w:rPr>
          <w:b/>
          <w:color w:val="00B050"/>
          <w:sz w:val="32"/>
          <w:szCs w:val="32"/>
        </w:rPr>
        <w:lastRenderedPageBreak/>
        <w:t>Аудит информационной безопасности</w:t>
      </w:r>
      <w:r w:rsidRPr="00086E77">
        <w:rPr>
          <w:color w:val="00B050"/>
          <w:sz w:val="32"/>
          <w:szCs w:val="32"/>
        </w:rPr>
        <w:t xml:space="preserve"> – проверка соответствия требованиям </w:t>
      </w:r>
      <w:r w:rsidRPr="00086E77">
        <w:rPr>
          <w:b/>
          <w:color w:val="00B050"/>
          <w:sz w:val="32"/>
          <w:szCs w:val="32"/>
        </w:rPr>
        <w:t>ISO/IEC 27001</w:t>
      </w:r>
      <w:r w:rsidRPr="00086E77">
        <w:rPr>
          <w:color w:val="00B050"/>
          <w:sz w:val="32"/>
          <w:szCs w:val="32"/>
        </w:rPr>
        <w:t xml:space="preserve"> — международный стандарт по информационной безопасности, разработанный совместно Международной организацией по стандартизации и Международной электротехнической комиссией. Подготовлен к выпуску подкомитетом SC27 Объединенного технического комитета JTC 1. Стандарт содержит требования в области информационной безопасности для создания, развития и поддержания Системы менеджмента информационной безопасности (СМИБ).</w:t>
      </w:r>
    </w:p>
    <w:p w14:paraId="45F61763" w14:textId="77777777" w:rsidR="00A956AD" w:rsidRPr="00086E77" w:rsidRDefault="00A956AD" w:rsidP="00A956AD">
      <w:pPr>
        <w:jc w:val="center"/>
        <w:rPr>
          <w:b/>
          <w:color w:val="00B050"/>
          <w:sz w:val="32"/>
          <w:szCs w:val="32"/>
        </w:rPr>
      </w:pPr>
    </w:p>
    <w:p w14:paraId="0CEC0231" w14:textId="77777777" w:rsidR="00A956AD" w:rsidRPr="00086E77" w:rsidRDefault="00A956AD" w:rsidP="00A956AD">
      <w:pPr>
        <w:jc w:val="both"/>
        <w:rPr>
          <w:color w:val="00B050"/>
          <w:sz w:val="32"/>
          <w:szCs w:val="32"/>
        </w:rPr>
      </w:pPr>
      <w:r w:rsidRPr="00086E77">
        <w:rPr>
          <w:b/>
          <w:color w:val="00B050"/>
          <w:sz w:val="32"/>
          <w:szCs w:val="32"/>
        </w:rPr>
        <w:t>Информационная безопасность</w:t>
      </w:r>
      <w:r w:rsidRPr="00086E77">
        <w:rPr>
          <w:color w:val="00B050"/>
          <w:sz w:val="32"/>
          <w:szCs w:val="32"/>
        </w:rPr>
        <w:t xml:space="preserve"> — состояние сохранности информационных ресурсов и защищенности законных прав личности и общества в информационной сфере</w:t>
      </w:r>
    </w:p>
    <w:p w14:paraId="551CC161" w14:textId="77777777" w:rsidR="00A956AD" w:rsidRPr="00086E77" w:rsidRDefault="00A956AD" w:rsidP="00A956AD">
      <w:pPr>
        <w:pStyle w:val="a3"/>
        <w:shd w:val="clear" w:color="auto" w:fill="FFFFFF"/>
        <w:spacing w:before="120" w:beforeAutospacing="0" w:after="120" w:afterAutospacing="0"/>
        <w:rPr>
          <w:color w:val="00B050"/>
          <w:sz w:val="28"/>
          <w:szCs w:val="28"/>
        </w:rPr>
      </w:pPr>
    </w:p>
    <w:p w14:paraId="4B338D30" w14:textId="77777777" w:rsidR="00A956AD" w:rsidRPr="00086E77" w:rsidRDefault="00A956AD" w:rsidP="00A956AD">
      <w:pPr>
        <w:pStyle w:val="a3"/>
        <w:shd w:val="clear" w:color="auto" w:fill="FFFFFF"/>
        <w:spacing w:before="120" w:beforeAutospacing="0" w:after="120" w:afterAutospacing="0"/>
        <w:rPr>
          <w:color w:val="00B050"/>
          <w:sz w:val="32"/>
          <w:szCs w:val="32"/>
        </w:rPr>
      </w:pPr>
      <w:r w:rsidRPr="00086E77">
        <w:rPr>
          <w:b/>
          <w:color w:val="00B050"/>
          <w:sz w:val="32"/>
          <w:szCs w:val="32"/>
        </w:rPr>
        <w:t>Стратегическая цель АИБ:</w:t>
      </w:r>
      <w:r w:rsidRPr="00086E77">
        <w:rPr>
          <w:color w:val="00B050"/>
          <w:sz w:val="32"/>
          <w:szCs w:val="32"/>
        </w:rPr>
        <w:t xml:space="preserve"> добиться максимальной отдачи от средств, инвестируемых в создание и обслуживание системы безопасности фирмы.</w:t>
      </w:r>
    </w:p>
    <w:p w14:paraId="13BC5A4F" w14:textId="77777777" w:rsidR="00A956AD" w:rsidRPr="00086E77" w:rsidRDefault="00A956AD" w:rsidP="00A956AD">
      <w:pPr>
        <w:pStyle w:val="a3"/>
        <w:shd w:val="clear" w:color="auto" w:fill="FFFFFF"/>
        <w:spacing w:before="120" w:beforeAutospacing="0" w:after="120" w:afterAutospacing="0"/>
        <w:rPr>
          <w:color w:val="00B050"/>
          <w:sz w:val="28"/>
          <w:szCs w:val="28"/>
        </w:rPr>
      </w:pPr>
    </w:p>
    <w:p w14:paraId="3BE14372" w14:textId="77777777" w:rsidR="00A956AD" w:rsidRDefault="00A956AD" w:rsidP="00A956AD">
      <w:pPr>
        <w:spacing w:line="360" w:lineRule="auto"/>
        <w:jc w:val="both"/>
        <w:rPr>
          <w:color w:val="00B050"/>
          <w:sz w:val="32"/>
          <w:szCs w:val="32"/>
        </w:rPr>
      </w:pPr>
      <w:r w:rsidRPr="00086E77">
        <w:rPr>
          <w:b/>
          <w:color w:val="00B050"/>
          <w:sz w:val="32"/>
          <w:szCs w:val="32"/>
        </w:rPr>
        <w:t>Аудит позволяет</w:t>
      </w:r>
      <w:r w:rsidRPr="00086E77">
        <w:rPr>
          <w:color w:val="00B050"/>
          <w:sz w:val="32"/>
          <w:szCs w:val="32"/>
        </w:rPr>
        <w:t>: оценить текущую безопасность;  оценить и прогнозировать риски; управлять влиянием рисков ИБ на </w:t>
      </w:r>
      <w:hyperlink r:id="rId5" w:tooltip="Бизнес-процесс" w:history="1">
        <w:r w:rsidRPr="00086E77">
          <w:rPr>
            <w:color w:val="00B050"/>
            <w:sz w:val="32"/>
            <w:szCs w:val="32"/>
          </w:rPr>
          <w:t>бизнес-процессы</w:t>
        </w:r>
      </w:hyperlink>
      <w:r w:rsidRPr="00086E77">
        <w:rPr>
          <w:color w:val="00B050"/>
          <w:sz w:val="32"/>
          <w:szCs w:val="32"/>
        </w:rPr>
        <w:t xml:space="preserve"> фирмы, корректно и обоснованно подойти к вопросу обеспечения безопасности её информационных активов, стратегических планов развития, маркетинговых программ, финансовых и бухгалтерских ведомостей, содержимого корпоративных баз данных. </w:t>
      </w:r>
    </w:p>
    <w:p w14:paraId="667129D3" w14:textId="77777777" w:rsidR="00152E1E" w:rsidRDefault="00152E1E"/>
    <w:sectPr w:rsidR="0015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714E"/>
    <w:multiLevelType w:val="multilevel"/>
    <w:tmpl w:val="0E2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A1B53"/>
    <w:multiLevelType w:val="multilevel"/>
    <w:tmpl w:val="CE3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AD"/>
    <w:rsid w:val="00152E1E"/>
    <w:rsid w:val="00A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DBDB"/>
  <w15:chartTrackingRefBased/>
  <w15:docId w15:val="{96E9DF73-F961-4EF4-9BCB-A5EE37A8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956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6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956A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956AD"/>
    <w:rPr>
      <w:b/>
      <w:bCs/>
    </w:rPr>
  </w:style>
  <w:style w:type="character" w:customStyle="1" w:styleId="apple-converted-space">
    <w:name w:val="apple-converted-space"/>
    <w:basedOn w:val="a0"/>
    <w:rsid w:val="00A9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2025-09-15T06:48:00Z</dcterms:created>
  <dcterms:modified xsi:type="dcterms:W3CDTF">2025-09-15T06:48:00Z</dcterms:modified>
</cp:coreProperties>
</file>