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8A76" w14:textId="77777777" w:rsidR="007842A0" w:rsidRPr="006514B3" w:rsidRDefault="007842A0" w:rsidP="007842A0">
      <w:pPr>
        <w:spacing w:line="360" w:lineRule="auto"/>
        <w:ind w:firstLine="709"/>
        <w:jc w:val="center"/>
        <w:rPr>
          <w:b/>
          <w:bCs/>
          <w:color w:val="FF0000"/>
          <w:sz w:val="28"/>
          <w:szCs w:val="28"/>
        </w:rPr>
      </w:pPr>
      <w:r w:rsidRPr="006514B3">
        <w:rPr>
          <w:b/>
          <w:bCs/>
          <w:color w:val="FF0000"/>
          <w:sz w:val="28"/>
          <w:szCs w:val="28"/>
        </w:rPr>
        <w:t>Лекция 6</w:t>
      </w:r>
    </w:p>
    <w:p w14:paraId="5C97981F" w14:textId="77777777" w:rsidR="007842A0" w:rsidRDefault="007842A0" w:rsidP="007842A0">
      <w:pPr>
        <w:spacing w:line="360" w:lineRule="auto"/>
        <w:ind w:firstLine="709"/>
        <w:jc w:val="center"/>
        <w:rPr>
          <w:sz w:val="28"/>
          <w:szCs w:val="28"/>
        </w:rPr>
      </w:pPr>
      <w:r w:rsidRPr="006514B3">
        <w:rPr>
          <w:sz w:val="28"/>
          <w:szCs w:val="28"/>
        </w:rPr>
        <w:t>Метод</w:t>
      </w:r>
      <w:r>
        <w:rPr>
          <w:sz w:val="28"/>
          <w:szCs w:val="28"/>
        </w:rPr>
        <w:t>ы</w:t>
      </w:r>
      <w:r w:rsidRPr="006514B3">
        <w:rPr>
          <w:sz w:val="28"/>
          <w:szCs w:val="28"/>
        </w:rPr>
        <w:t xml:space="preserve"> Аудита</w:t>
      </w:r>
      <w:r>
        <w:rPr>
          <w:sz w:val="28"/>
          <w:szCs w:val="28"/>
        </w:rPr>
        <w:t xml:space="preserve"> ИБ</w:t>
      </w:r>
    </w:p>
    <w:p w14:paraId="3EB3D380" w14:textId="77777777" w:rsidR="007842A0" w:rsidRPr="006514B3" w:rsidRDefault="007842A0" w:rsidP="007842A0">
      <w:pPr>
        <w:spacing w:line="360" w:lineRule="auto"/>
        <w:ind w:firstLine="709"/>
        <w:jc w:val="both"/>
        <w:rPr>
          <w:sz w:val="28"/>
          <w:szCs w:val="28"/>
        </w:rPr>
      </w:pPr>
      <w:r w:rsidRPr="006514B3">
        <w:rPr>
          <w:sz w:val="28"/>
          <w:szCs w:val="28"/>
        </w:rPr>
        <w:t>На сегодняшний день существует три основных метода аудита информационной безопасности, они представлены на рисунке 1.</w:t>
      </w:r>
    </w:p>
    <w:p w14:paraId="13C5A11B" w14:textId="77777777" w:rsidR="007842A0" w:rsidRPr="006514B3" w:rsidRDefault="007842A0" w:rsidP="007842A0">
      <w:pPr>
        <w:spacing w:line="360" w:lineRule="auto"/>
        <w:ind w:firstLine="709"/>
        <w:jc w:val="both"/>
        <w:rPr>
          <w:sz w:val="28"/>
          <w:szCs w:val="28"/>
        </w:rPr>
      </w:pPr>
    </w:p>
    <w:p w14:paraId="1FC246DA" w14:textId="77777777" w:rsidR="007842A0" w:rsidRPr="006514B3" w:rsidRDefault="007842A0" w:rsidP="007842A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62F409" wp14:editId="7B38F574">
            <wp:extent cx="5189220" cy="1135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DBF4" w14:textId="77777777" w:rsidR="007842A0" w:rsidRPr="006514B3" w:rsidRDefault="007842A0" w:rsidP="007842A0">
      <w:pPr>
        <w:spacing w:line="360" w:lineRule="auto"/>
        <w:ind w:firstLine="709"/>
        <w:jc w:val="both"/>
        <w:rPr>
          <w:sz w:val="28"/>
          <w:szCs w:val="28"/>
        </w:rPr>
      </w:pPr>
      <w:r w:rsidRPr="006514B3">
        <w:rPr>
          <w:sz w:val="28"/>
          <w:szCs w:val="28"/>
        </w:rPr>
        <w:t>Рисунок 1 – Методы АИБ</w:t>
      </w:r>
    </w:p>
    <w:p w14:paraId="501719C6" w14:textId="77777777" w:rsidR="007842A0" w:rsidRPr="006514B3" w:rsidRDefault="007842A0" w:rsidP="007842A0">
      <w:pPr>
        <w:spacing w:line="360" w:lineRule="auto"/>
        <w:ind w:firstLine="709"/>
        <w:jc w:val="both"/>
        <w:rPr>
          <w:sz w:val="28"/>
          <w:szCs w:val="28"/>
        </w:rPr>
      </w:pPr>
    </w:p>
    <w:p w14:paraId="21449DC5" w14:textId="77777777" w:rsidR="007842A0" w:rsidRPr="006514B3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6514B3">
        <w:rPr>
          <w:rFonts w:eastAsiaTheme="minorHAnsi"/>
          <w:sz w:val="28"/>
          <w:szCs w:val="28"/>
          <w:u w:val="single"/>
          <w:shd w:val="clear" w:color="auto" w:fill="FFFFFF"/>
          <w:lang w:eastAsia="en-US"/>
        </w:rPr>
        <w:t>Активный аудит ИБ</w:t>
      </w:r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– это исследование состояния защищенности ИС с точки зрения злоумышленника, обладающего высокой квалификацией в области информационных технологий. При его осуществлении моделируется как можно большее количество атак на систему сетевой защиты. При этом аудитору предоставляется только та информация, которую можно найти в открытых источниках. Результатом активного аудита является информация обо всех уязвимостях, степени их критичности и методах устранения.</w:t>
      </w:r>
    </w:p>
    <w:p w14:paraId="60654410" w14:textId="77777777" w:rsidR="007842A0" w:rsidRPr="006514B3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В рамках активного аудита проводится </w:t>
      </w:r>
      <w:proofErr w:type="spellStart"/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>пентест</w:t>
      </w:r>
      <w:proofErr w:type="spellEnd"/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>.</w:t>
      </w:r>
    </w:p>
    <w:p w14:paraId="27F10E2E" w14:textId="77777777" w:rsidR="007842A0" w:rsidRPr="006514B3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proofErr w:type="spellStart"/>
      <w:r w:rsidRPr="006514B3"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t>pentest</w:t>
      </w:r>
      <w:proofErr w:type="spellEnd"/>
      <w:r w:rsidRPr="006514B3"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>(</w:t>
      </w:r>
      <w:proofErr w:type="spellStart"/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>penetration</w:t>
      </w:r>
      <w:proofErr w:type="spellEnd"/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>test</w:t>
      </w:r>
      <w:proofErr w:type="spellEnd"/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– «</w:t>
      </w:r>
      <w:r w:rsidRPr="00962CD1">
        <w:rPr>
          <w:rFonts w:eastAsiaTheme="minorHAnsi"/>
          <w:sz w:val="28"/>
          <w:szCs w:val="28"/>
          <w:shd w:val="clear" w:color="auto" w:fill="FFFFFF"/>
          <w:lang w:eastAsia="en-US"/>
        </w:rPr>
        <w:t>тест на проникновение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>»</w:t>
      </w:r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>) — метод оценки безопасности компьютерных систем или сетей средствами моделирования атаки злоумышленника.</w:t>
      </w:r>
    </w:p>
    <w:p w14:paraId="65B9B18E" w14:textId="77777777" w:rsidR="007842A0" w:rsidRPr="006514B3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В ходе </w:t>
      </w:r>
      <w:proofErr w:type="spellStart"/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>пентест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>а</w:t>
      </w:r>
      <w:proofErr w:type="spellEnd"/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аудитор имитирует действия злоумышленника: пытается взломать сайт, сделать некорректный заказ, использовать уязвимости CMS, имитирует </w:t>
      </w:r>
      <w:proofErr w:type="spellStart"/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>DDoS</w:t>
      </w:r>
      <w:proofErr w:type="spellEnd"/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-атаку. Во время этого теста проверяются открытые порты, сетевые сервисы с неправильной настройкой, через которые можно получить данные из внутренней сети компании. Также разрабатываются методы противодействия </w:t>
      </w:r>
      <w:proofErr w:type="spellStart"/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>DDoS</w:t>
      </w:r>
      <w:proofErr w:type="spellEnd"/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>-атакам</w:t>
      </w:r>
    </w:p>
    <w:p w14:paraId="1FDD934B" w14:textId="77777777" w:rsidR="007842A0" w:rsidRPr="006514B3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</w:p>
    <w:p w14:paraId="12685DA5" w14:textId="77777777" w:rsidR="007842A0" w:rsidRPr="006514B3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6514B3">
        <w:rPr>
          <w:rFonts w:eastAsiaTheme="minorHAnsi"/>
          <w:sz w:val="28"/>
          <w:szCs w:val="28"/>
          <w:u w:val="single"/>
          <w:shd w:val="clear" w:color="auto" w:fill="FFFFFF"/>
          <w:lang w:eastAsia="en-US"/>
        </w:rPr>
        <w:lastRenderedPageBreak/>
        <w:t>Экспертный аудит</w:t>
      </w:r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– это сравнение состояния информационной безопасности с описанием состояния информационной безопасности, которое базируется:</w:t>
      </w:r>
    </w:p>
    <w:p w14:paraId="48DD3BA9" w14:textId="77777777" w:rsidR="007842A0" w:rsidRPr="006514B3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>на требованиях, предъявленных руководством компании;</w:t>
      </w:r>
    </w:p>
    <w:p w14:paraId="6A46AF7D" w14:textId="77777777" w:rsidR="007842A0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6514B3">
        <w:rPr>
          <w:rFonts w:eastAsiaTheme="minorHAnsi"/>
          <w:sz w:val="28"/>
          <w:szCs w:val="28"/>
          <w:shd w:val="clear" w:color="auto" w:fill="FFFFFF"/>
          <w:lang w:eastAsia="en-US"/>
        </w:rPr>
        <w:t>на аккумулированном в компании-аудиторе мировом и частном опыте.</w:t>
      </w:r>
    </w:p>
    <w:p w14:paraId="34C73A3C" w14:textId="77777777" w:rsidR="007842A0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Для </w:t>
      </w:r>
      <w:r w:rsidRPr="00962CD1">
        <w:rPr>
          <w:rFonts w:eastAsiaTheme="minorHAnsi"/>
          <w:sz w:val="28"/>
          <w:szCs w:val="28"/>
          <w:shd w:val="clear" w:color="auto" w:fill="FFFFFF"/>
          <w:lang w:eastAsia="en-US"/>
        </w:rPr>
        <w:t>экспертн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>ого</w:t>
      </w:r>
      <w:r w:rsidRPr="00962CD1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аудит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>а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берется некий эталонный комплекс мер, которые должны быть применены на предприятии с точки зрения начальства, отдела безопасности, других экспертов. Аудитор сравнивает имеющуюся степень защиты с идеальной и выносит вердикт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.</w:t>
      </w:r>
    </w:p>
    <w:p w14:paraId="5A11D1E2" w14:textId="77777777" w:rsidR="007842A0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962CD1">
        <w:rPr>
          <w:rFonts w:eastAsiaTheme="minorHAnsi"/>
          <w:bCs/>
          <w:sz w:val="28"/>
          <w:szCs w:val="28"/>
          <w:u w:val="single"/>
          <w:shd w:val="clear" w:color="auto" w:fill="FFFFFF"/>
          <w:lang w:eastAsia="en-US"/>
        </w:rPr>
        <w:t>Аудит на соответствие стандартам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(с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ертификация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) нацелен на 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получения сертификата PCI DSS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(</w:t>
      </w:r>
      <w:proofErr w:type="spellStart"/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Payment</w:t>
      </w:r>
      <w:proofErr w:type="spellEnd"/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Card Industry Data Security Standard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,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Стандарт безопасности данных индустрии платежных карт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)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или ГОСТ Р ИСО/МЭК 27001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(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Информационная технология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. 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Методы и средства обеспечения безопасности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. 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Системы менеджмента информационной безопасности. Требования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). </w:t>
      </w:r>
    </w:p>
    <w:p w14:paraId="78ADACE1" w14:textId="77777777" w:rsidR="007842A0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Сертификация PCI DSS — это обязательное требование Международных Платежных Систем (Visa, MasterCard, МИР, American Express, </w:t>
      </w:r>
      <w:proofErr w:type="spellStart"/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Discover</w:t>
      </w:r>
      <w:proofErr w:type="spellEnd"/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, JCB) для компаний, которые обрабатывают, передают или хранят данные платежных карт.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Все эти организации обязаны выполнять требования стандарта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,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PCI DSS, подтверждением этого факта является ежегодный сертификационный аудит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–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редставитель службы проверки оценива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ет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, насколько решения в компании соответствуют стандартам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962CD1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PCI DSS. В итоге фирма получает рекомендации, что именно нужно сделать, чтобы пройти сертификацию без проблем.</w:t>
      </w:r>
    </w:p>
    <w:p w14:paraId="39CE3584" w14:textId="77777777" w:rsidR="007842A0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Cs/>
          <w:sz w:val="28"/>
          <w:szCs w:val="28"/>
          <w:u w:val="single"/>
          <w:shd w:val="clear" w:color="auto" w:fill="FFFFFF"/>
          <w:lang w:eastAsia="en-US"/>
        </w:rPr>
        <w:t>К</w:t>
      </w:r>
      <w:r w:rsidRPr="008A6C09">
        <w:rPr>
          <w:rFonts w:eastAsiaTheme="minorHAnsi"/>
          <w:bCs/>
          <w:sz w:val="28"/>
          <w:szCs w:val="28"/>
          <w:u w:val="single"/>
          <w:shd w:val="clear" w:color="auto" w:fill="FFFFFF"/>
          <w:lang w:eastAsia="en-US"/>
        </w:rPr>
        <w:t>омплексный</w:t>
      </w:r>
      <w:r>
        <w:rPr>
          <w:rFonts w:eastAsiaTheme="minorHAnsi"/>
          <w:bCs/>
          <w:sz w:val="28"/>
          <w:szCs w:val="28"/>
          <w:u w:val="single"/>
          <w:shd w:val="clear" w:color="auto" w:fill="FFFFFF"/>
          <w:lang w:eastAsia="en-US"/>
        </w:rPr>
        <w:t xml:space="preserve"> аудит</w:t>
      </w:r>
      <w:r w:rsidRPr="008A6C09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. Он позволяет оценить уровень защиты системы в компании с использованием всех перечисленных методов или их комбинаций. Считается наиболее эффективным, так как позволяет дать наиболее полную оценку ситуации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.</w:t>
      </w:r>
    </w:p>
    <w:p w14:paraId="36E7D382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lastRenderedPageBreak/>
        <w:t>При проведении комплексного аудита информационной безопасности группой экспертов оцениваются следующие процессы обеспечения информационной безопасности, в том числе указываются потенциальные уязвимости, как процессов, так и технической реализации путем применения инструментальных средств аудита:</w:t>
      </w:r>
    </w:p>
    <w:p w14:paraId="76A9F1CC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 назначения и распределения ролей в области информационной безопасности;</w:t>
      </w:r>
    </w:p>
    <w:p w14:paraId="70AE1B90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 антивирусной защиты;</w:t>
      </w:r>
    </w:p>
    <w:p w14:paraId="62645846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 использования ресурсов сети Интернет;</w:t>
      </w:r>
    </w:p>
    <w:p w14:paraId="3E9B6419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 криптографической защиты информационных активов;</w:t>
      </w:r>
    </w:p>
    <w:p w14:paraId="6A5BF7C9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процессы системы управления информационной безопасностью;</w:t>
      </w:r>
    </w:p>
    <w:p w14:paraId="653DB8A7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процессы аудита и мониторинга информационной безопасности;</w:t>
      </w:r>
    </w:p>
    <w:p w14:paraId="0BE1C852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 управления информационными активами;</w:t>
      </w:r>
    </w:p>
    <w:p w14:paraId="6FCEA99C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 управления рисками информационной безопасности;</w:t>
      </w:r>
    </w:p>
    <w:p w14:paraId="664DABDF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 обеспечения физической безопасности;</w:t>
      </w:r>
    </w:p>
    <w:p w14:paraId="4CC780EC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 управления и контроля доступа;</w:t>
      </w:r>
    </w:p>
    <w:p w14:paraId="1CA9C1B1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 обеспечения информационной безопасности на стадиях жизненного цикла информационных систем;</w:t>
      </w:r>
    </w:p>
    <w:p w14:paraId="3778629E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процессы обеспечения непрерывности деятельности;</w:t>
      </w:r>
    </w:p>
    <w:p w14:paraId="206C0D89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процессы управления документацией и записями;</w:t>
      </w:r>
    </w:p>
    <w:p w14:paraId="6C4FF4D8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процессы управления инцидентами информационной безопасности и др.</w:t>
      </w:r>
    </w:p>
    <w:p w14:paraId="5270E586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lastRenderedPageBreak/>
        <w:t>При проведении комплексного аудита информационной безопасности дополнительно могут быть проведены следующие работы:</w:t>
      </w:r>
    </w:p>
    <w:p w14:paraId="5022249D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инструментальное сканирование;</w:t>
      </w:r>
    </w:p>
    <w:p w14:paraId="48E37A32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тест на проникновение;</w:t>
      </w:r>
    </w:p>
    <w:p w14:paraId="59D39DDD" w14:textId="77777777" w:rsidR="007842A0" w:rsidRPr="0015055B" w:rsidRDefault="007842A0" w:rsidP="007842A0">
      <w:pPr>
        <w:pStyle w:val="a5"/>
        <w:shd w:val="clear" w:color="auto" w:fill="FFFFFF"/>
        <w:spacing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анализ рисков информационной безопасности.</w:t>
      </w:r>
    </w:p>
    <w:p w14:paraId="265C0EFD" w14:textId="77777777" w:rsidR="007842A0" w:rsidRPr="00962CD1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Результаты комплексного аудита информационной безопасности оформляются в виде отчета, содержащего, как рекомендации для специалистов по информационной безопасности и информационным технологиям Компании, так и высокоуровневое описание возможных направлений развития системы обеспечения информационной безопасности, с учетом актуальных проблем, связанных с обеспечением информационной безопасности, и отраслевой специфики Компании для руководства</w:t>
      </w:r>
    </w:p>
    <w:p w14:paraId="34B7C25F" w14:textId="77777777" w:rsidR="007842A0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b/>
          <w:sz w:val="28"/>
          <w:szCs w:val="28"/>
          <w:shd w:val="clear" w:color="auto" w:fill="FFFFFF"/>
          <w:lang w:eastAsia="en-US"/>
        </w:rPr>
      </w:pPr>
    </w:p>
    <w:p w14:paraId="08A894C6" w14:textId="77777777" w:rsidR="007842A0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Примеры таблиц </w:t>
      </w:r>
      <w:r w:rsidRPr="0015055B">
        <w:rPr>
          <w:rFonts w:eastAsiaTheme="minorHAnsi"/>
          <w:bCs/>
          <w:sz w:val="28"/>
          <w:szCs w:val="28"/>
          <w:shd w:val="clear" w:color="auto" w:fill="FFFFFF"/>
          <w:lang w:val="en-US" w:eastAsia="en-US"/>
        </w:rPr>
        <w:t>SWOT</w:t>
      </w:r>
      <w:r w:rsidRPr="0015055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-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анализа для АИБ</w:t>
      </w:r>
    </w:p>
    <w:p w14:paraId="466036BD" w14:textId="77777777" w:rsidR="007842A0" w:rsidRPr="00F74E70" w:rsidRDefault="007842A0" w:rsidP="007842A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B050"/>
          <w:sz w:val="28"/>
          <w:szCs w:val="28"/>
        </w:rPr>
      </w:pPr>
      <w:r w:rsidRPr="00687CBF">
        <w:rPr>
          <w:noProof/>
          <w:color w:val="00B050"/>
          <w:sz w:val="28"/>
          <w:szCs w:val="28"/>
        </w:rPr>
        <w:drawing>
          <wp:inline distT="0" distB="0" distL="0" distR="0" wp14:anchorId="532D4A77" wp14:editId="0B8EA3A8">
            <wp:extent cx="5335094" cy="4015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115" cy="401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BD16" w14:textId="77777777" w:rsidR="007842A0" w:rsidRPr="003F47B8" w:rsidRDefault="007842A0" w:rsidP="007842A0">
      <w:pPr>
        <w:jc w:val="center"/>
        <w:rPr>
          <w:b/>
          <w:bCs/>
        </w:rPr>
      </w:pPr>
    </w:p>
    <w:p w14:paraId="2702D953" w14:textId="77777777" w:rsidR="007842A0" w:rsidRDefault="007842A0" w:rsidP="007842A0">
      <w:pPr>
        <w:jc w:val="center"/>
        <w:rPr>
          <w:b/>
          <w:bCs/>
        </w:rPr>
      </w:pPr>
      <w:r w:rsidRPr="00687CBF">
        <w:rPr>
          <w:b/>
          <w:bCs/>
          <w:noProof/>
        </w:rPr>
        <w:drawing>
          <wp:inline distT="0" distB="0" distL="0" distR="0" wp14:anchorId="7A291123" wp14:editId="148352E5">
            <wp:extent cx="5563082" cy="37950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0105" w14:textId="77777777" w:rsidR="007842A0" w:rsidRDefault="007842A0" w:rsidP="007842A0">
      <w:pPr>
        <w:jc w:val="center"/>
        <w:rPr>
          <w:b/>
          <w:bCs/>
        </w:rPr>
      </w:pPr>
    </w:p>
    <w:p w14:paraId="522BFBAD" w14:textId="77777777" w:rsidR="007842A0" w:rsidRDefault="007842A0" w:rsidP="007842A0">
      <w:pPr>
        <w:jc w:val="center"/>
        <w:rPr>
          <w:b/>
          <w:bCs/>
        </w:rPr>
      </w:pPr>
      <w:r w:rsidRPr="00687CBF">
        <w:rPr>
          <w:b/>
          <w:bCs/>
          <w:noProof/>
        </w:rPr>
        <w:drawing>
          <wp:inline distT="0" distB="0" distL="0" distR="0" wp14:anchorId="0D0FD351" wp14:editId="332A7FC7">
            <wp:extent cx="5524979" cy="37798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EA10" w14:textId="77777777" w:rsidR="00C9132A" w:rsidRDefault="00C9132A"/>
    <w:sectPr w:rsidR="00C9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95DCB"/>
    <w:multiLevelType w:val="hybridMultilevel"/>
    <w:tmpl w:val="5D2A859E"/>
    <w:lvl w:ilvl="0" w:tplc="48B49C18">
      <w:start w:val="1"/>
      <w:numFmt w:val="decimal"/>
      <w:pStyle w:val="2"/>
      <w:lvlText w:val="1.%1"/>
      <w:lvlJc w:val="left"/>
      <w:pPr>
        <w:ind w:left="10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A74A5"/>
    <w:multiLevelType w:val="multilevel"/>
    <w:tmpl w:val="4BF69B64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A0"/>
    <w:rsid w:val="00372705"/>
    <w:rsid w:val="004B7547"/>
    <w:rsid w:val="00607D61"/>
    <w:rsid w:val="007842A0"/>
    <w:rsid w:val="00B370E7"/>
    <w:rsid w:val="00C17D6B"/>
    <w:rsid w:val="00C9132A"/>
    <w:rsid w:val="00F128FE"/>
    <w:rsid w:val="00F52A95"/>
    <w:rsid w:val="00F67328"/>
    <w:rsid w:val="00F9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E11C"/>
  <w15:chartTrackingRefBased/>
  <w15:docId w15:val="{86566E23-A9CD-426F-8AB9-8BA717FA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7D6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B370E7"/>
    <w:pPr>
      <w:keepNext/>
      <w:keepLines/>
      <w:numPr>
        <w:numId w:val="1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_заголовок1"/>
    <w:basedOn w:val="1"/>
    <w:next w:val="a"/>
    <w:link w:val="12"/>
    <w:qFormat/>
    <w:rsid w:val="00607D61"/>
    <w:pPr>
      <w:spacing w:line="276" w:lineRule="auto"/>
    </w:pPr>
    <w:rPr>
      <w:caps/>
      <w:color w:val="auto"/>
      <w:sz w:val="28"/>
      <w:lang w:eastAsia="ru-RU"/>
    </w:rPr>
  </w:style>
  <w:style w:type="character" w:customStyle="1" w:styleId="12">
    <w:name w:val="Мой_заголовок1 Знак"/>
    <w:basedOn w:val="10"/>
    <w:link w:val="11"/>
    <w:rsid w:val="00607D61"/>
    <w:rPr>
      <w:rFonts w:asciiTheme="majorHAnsi" w:eastAsiaTheme="majorEastAsia" w:hAnsiTheme="majorHAnsi" w:cstheme="majorBidi"/>
      <w:caps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7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0">
    <w:name w:val="Мои_2_загол"/>
    <w:basedOn w:val="2"/>
    <w:next w:val="a"/>
    <w:link w:val="22"/>
    <w:autoRedefine/>
    <w:qFormat/>
    <w:rsid w:val="00B370E7"/>
    <w:pPr>
      <w:keepNext w:val="0"/>
      <w:keepLines w:val="0"/>
      <w:widowControl w:val="0"/>
      <w:numPr>
        <w:numId w:val="2"/>
      </w:numPr>
      <w:spacing w:before="0" w:line="360" w:lineRule="auto"/>
      <w:ind w:left="0" w:firstLine="709"/>
      <w:jc w:val="both"/>
    </w:pPr>
    <w:rPr>
      <w:rFonts w:ascii="Times New Roman" w:hAnsi="Times New Roman"/>
      <w:bCs/>
      <w:color w:val="auto"/>
      <w:sz w:val="28"/>
    </w:rPr>
  </w:style>
  <w:style w:type="character" w:customStyle="1" w:styleId="22">
    <w:name w:val="Мои_2_загол Знак"/>
    <w:basedOn w:val="a0"/>
    <w:link w:val="20"/>
    <w:rsid w:val="00B370E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21">
    <w:name w:val="Заголовок 2 Знак"/>
    <w:basedOn w:val="a0"/>
    <w:link w:val="2"/>
    <w:uiPriority w:val="9"/>
    <w:semiHidden/>
    <w:rsid w:val="00B37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и_ВВЕДЕНИЕ"/>
    <w:basedOn w:val="1"/>
    <w:link w:val="a4"/>
    <w:autoRedefine/>
    <w:qFormat/>
    <w:rsid w:val="00B370E7"/>
    <w:pPr>
      <w:keepNext w:val="0"/>
      <w:keepLines w:val="0"/>
      <w:pageBreakBefore/>
      <w:widowControl w:val="0"/>
      <w:spacing w:before="0" w:line="360" w:lineRule="auto"/>
      <w:jc w:val="center"/>
    </w:pPr>
    <w:rPr>
      <w:rFonts w:ascii="Times New Roman" w:hAnsi="Times New Roman"/>
      <w:bCs/>
      <w:color w:val="auto"/>
      <w:sz w:val="28"/>
      <w:szCs w:val="28"/>
    </w:rPr>
  </w:style>
  <w:style w:type="character" w:customStyle="1" w:styleId="a4">
    <w:name w:val="Мои_ВВЕДЕНИЕ Знак"/>
    <w:basedOn w:val="10"/>
    <w:link w:val="a3"/>
    <w:rsid w:val="00B370E7"/>
    <w:rPr>
      <w:rFonts w:ascii="Times New Roman" w:eastAsiaTheme="majorEastAsia" w:hAnsi="Times New Roman" w:cstheme="majorBidi"/>
      <w:bCs/>
      <w:color w:val="2F5496" w:themeColor="accent1" w:themeShade="BF"/>
      <w:sz w:val="28"/>
      <w:szCs w:val="28"/>
    </w:rPr>
  </w:style>
  <w:style w:type="paragraph" w:customStyle="1" w:styleId="13">
    <w:name w:val="Мой_заг_1"/>
    <w:basedOn w:val="1"/>
    <w:link w:val="14"/>
    <w:qFormat/>
    <w:rsid w:val="00F90775"/>
    <w:pPr>
      <w:keepLines w:val="0"/>
      <w:spacing w:before="0" w:line="240" w:lineRule="auto"/>
      <w:ind w:firstLine="567"/>
      <w:jc w:val="center"/>
    </w:pPr>
    <w:rPr>
      <w:rFonts w:asciiTheme="minorHAnsi" w:eastAsiaTheme="minorHAnsi" w:hAnsiTheme="minorHAnsi" w:cstheme="minorBidi"/>
      <w:b/>
      <w:color w:val="auto"/>
      <w:sz w:val="28"/>
      <w:szCs w:val="24"/>
    </w:rPr>
  </w:style>
  <w:style w:type="character" w:customStyle="1" w:styleId="14">
    <w:name w:val="Мой_заг_1 Знак"/>
    <w:basedOn w:val="10"/>
    <w:link w:val="13"/>
    <w:rsid w:val="00F90775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paragraph" w:styleId="a5">
    <w:name w:val="Normal (Web)"/>
    <w:basedOn w:val="a"/>
    <w:uiPriority w:val="99"/>
    <w:unhideWhenUsed/>
    <w:rsid w:val="007842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Puchkov</dc:creator>
  <cp:keywords/>
  <dc:description/>
  <cp:lastModifiedBy>Andrey Puchkov</cp:lastModifiedBy>
  <cp:revision>1</cp:revision>
  <dcterms:created xsi:type="dcterms:W3CDTF">2025-09-16T06:19:00Z</dcterms:created>
  <dcterms:modified xsi:type="dcterms:W3CDTF">2025-09-16T06:19:00Z</dcterms:modified>
</cp:coreProperties>
</file>