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A193A5" w14:textId="77777777" w:rsidR="008F3A4E" w:rsidRPr="008F3A4E" w:rsidRDefault="008F3A4E" w:rsidP="006B0498">
      <w:pPr>
        <w:autoSpaceDE w:val="0"/>
        <w:autoSpaceDN w:val="0"/>
        <w:adjustRightInd w:val="0"/>
        <w:spacing w:after="0" w:line="240" w:lineRule="auto"/>
        <w:jc w:val="center"/>
        <w:rPr>
          <w:rFonts w:ascii="Times New Roman" w:hAnsi="Times New Roman" w:cs="Times New Roman"/>
          <w:b/>
          <w:sz w:val="24"/>
          <w:szCs w:val="24"/>
        </w:rPr>
      </w:pPr>
      <w:r w:rsidRPr="008F3A4E">
        <w:rPr>
          <w:rFonts w:ascii="Times New Roman" w:hAnsi="Times New Roman" w:cs="Times New Roman"/>
          <w:b/>
          <w:noProof/>
          <w:sz w:val="24"/>
          <w:szCs w:val="24"/>
          <w:lang w:val="en-US" w:eastAsia="ja-JP"/>
        </w:rPr>
        <w:drawing>
          <wp:inline distT="0" distB="0" distL="0" distR="0" wp14:anchorId="1F63E459" wp14:editId="563BE706">
            <wp:extent cx="6070600" cy="1174750"/>
            <wp:effectExtent l="0" t="0" r="6350" b="635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inline>
        </w:drawing>
      </w:r>
    </w:p>
    <w:p w14:paraId="6BAA0FAF" w14:textId="78028169" w:rsidR="006912FB" w:rsidRPr="007218D9" w:rsidRDefault="00381594" w:rsidP="006B0498">
      <w:pPr>
        <w:autoSpaceDE w:val="0"/>
        <w:autoSpaceDN w:val="0"/>
        <w:adjustRightInd w:val="0"/>
        <w:spacing w:after="0" w:line="240" w:lineRule="auto"/>
        <w:jc w:val="center"/>
        <w:rPr>
          <w:rFonts w:ascii="Times New Roman" w:hAnsi="Times New Roman" w:cs="Times New Roman"/>
          <w:b/>
          <w:sz w:val="28"/>
          <w:szCs w:val="28"/>
          <w:lang w:eastAsia="ja-JP"/>
        </w:rPr>
      </w:pPr>
      <w:r>
        <w:rPr>
          <w:b/>
          <w:color w:val="FF0000"/>
        </w:rPr>
        <w:t>From Saliency to Cyber Risk: A Self-Governing Risk-Adaptive Encryption Framework for Secure Medical Imaging</w:t>
      </w:r>
    </w:p>
    <w:p w14:paraId="7628983E" w14:textId="77777777" w:rsidR="00D41248" w:rsidRPr="00B638BB" w:rsidRDefault="00D41248" w:rsidP="006B0498">
      <w:pPr>
        <w:autoSpaceDE w:val="0"/>
        <w:autoSpaceDN w:val="0"/>
        <w:adjustRightInd w:val="0"/>
        <w:spacing w:after="0" w:line="240" w:lineRule="auto"/>
        <w:jc w:val="center"/>
        <w:rPr>
          <w:rFonts w:ascii="Times New Roman" w:hAnsi="Times New Roman" w:cs="Times New Roman"/>
          <w:bCs/>
          <w:sz w:val="28"/>
          <w:szCs w:val="28"/>
        </w:rPr>
      </w:pPr>
    </w:p>
    <w:p w14:paraId="0E65837A" w14:textId="07DACA29" w:rsidR="00E4311A" w:rsidRPr="00B30B1F" w:rsidRDefault="00945699" w:rsidP="00CE1491">
      <w:pPr>
        <w:spacing w:beforeLines="50" w:before="120" w:afterLines="50" w:after="120" w:line="240" w:lineRule="auto"/>
        <w:jc w:val="center"/>
        <w:rPr>
          <w:rFonts w:ascii="Times New Roman" w:hAnsi="Times New Roman" w:cs="Times New Roman"/>
          <w:b/>
          <w:vertAlign w:val="superscript"/>
        </w:rPr>
      </w:pPr>
      <w:r w:rsidRPr="00B30B1F">
        <w:rPr>
          <w:rFonts w:ascii="Times New Roman" w:hAnsi="Times New Roman"/>
          <w:b/>
        </w:rPr>
        <w:t xml:space="preserve">Nuha Qais Abdulmajeed </w:t>
      </w:r>
      <w:r w:rsidR="009D614C" w:rsidRPr="00B30B1F">
        <w:rPr>
          <w:rFonts w:ascii="Times New Roman" w:hAnsi="Times New Roman"/>
          <w:b/>
          <w:vertAlign w:val="superscript"/>
        </w:rPr>
        <w:t>1</w:t>
      </w:r>
      <w:r w:rsidR="009D614C" w:rsidRPr="00B30B1F">
        <w:rPr>
          <w:rFonts w:ascii="Times New Roman" w:hAnsi="Times New Roman"/>
          <w:b/>
        </w:rPr>
        <w:t xml:space="preserve">       </w:t>
      </w:r>
      <w:r w:rsidR="00FA17AA" w:rsidRPr="00B30B1F">
        <w:rPr>
          <w:rFonts w:ascii="Times New Roman" w:hAnsi="Times New Roman" w:hint="eastAsia"/>
          <w:b/>
          <w:lang w:eastAsia="ja-JP"/>
        </w:rPr>
        <w:t xml:space="preserve"> </w:t>
      </w:r>
      <w:r w:rsidR="00FA17AA" w:rsidRPr="00B30B1F">
        <w:rPr>
          <w:rFonts w:ascii="Times New Roman" w:hAnsi="Times New Roman"/>
          <w:b/>
          <w:lang w:eastAsia="ja-JP"/>
        </w:rPr>
        <w:t xml:space="preserve">  </w:t>
      </w:r>
      <w:r w:rsidRPr="00B30B1F">
        <w:rPr>
          <w:rFonts w:ascii="Times New Roman" w:hAnsi="Times New Roman"/>
          <w:b/>
        </w:rPr>
        <w:t xml:space="preserve">Sameeh </w:t>
      </w:r>
      <w:proofErr w:type="spellStart"/>
      <w:r w:rsidRPr="00B30B1F">
        <w:rPr>
          <w:rFonts w:ascii="Times New Roman" w:hAnsi="Times New Roman"/>
          <w:b/>
        </w:rPr>
        <w:t>Abdulghafour</w:t>
      </w:r>
      <w:proofErr w:type="spellEnd"/>
      <w:r w:rsidRPr="00B30B1F">
        <w:rPr>
          <w:rFonts w:ascii="Times New Roman" w:hAnsi="Times New Roman"/>
          <w:b/>
        </w:rPr>
        <w:t xml:space="preserve"> Jassim </w:t>
      </w:r>
      <w:r w:rsidR="009D614C" w:rsidRPr="00B30B1F">
        <w:rPr>
          <w:rFonts w:ascii="Times New Roman" w:hAnsi="Times New Roman"/>
          <w:b/>
          <w:vertAlign w:val="superscript"/>
        </w:rPr>
        <w:t>2</w:t>
      </w:r>
      <w:r w:rsidRPr="00B30B1F">
        <w:rPr>
          <w:rFonts w:ascii="Times New Roman" w:hAnsi="Times New Roman"/>
          <w:b/>
          <w:vertAlign w:val="superscript"/>
        </w:rPr>
        <w:t>*</w:t>
      </w:r>
    </w:p>
    <w:p w14:paraId="6771AA06" w14:textId="77777777" w:rsidR="008E5CD2" w:rsidRPr="00446143" w:rsidRDefault="008E5CD2" w:rsidP="00446143">
      <w:pPr>
        <w:spacing w:after="0" w:line="240" w:lineRule="auto"/>
        <w:jc w:val="center"/>
        <w:rPr>
          <w:rStyle w:val="Hyperlink"/>
          <w:rFonts w:ascii="Times New Roman" w:hAnsi="Times New Roman" w:cs="Times New Roman"/>
          <w:color w:val="auto"/>
          <w:sz w:val="16"/>
          <w:szCs w:val="16"/>
          <w:u w:val="none"/>
        </w:rPr>
      </w:pPr>
    </w:p>
    <w:p w14:paraId="0E9485B2" w14:textId="4ADF8A72" w:rsidR="00446143" w:rsidRPr="00446143" w:rsidRDefault="00446143" w:rsidP="00446143">
      <w:pPr>
        <w:spacing w:after="0" w:line="240" w:lineRule="auto"/>
        <w:jc w:val="center"/>
        <w:rPr>
          <w:rFonts w:ascii="Times New Roman" w:hAnsi="Times New Roman" w:cs="Times New Roman"/>
          <w:i/>
          <w:sz w:val="21"/>
          <w:szCs w:val="21"/>
        </w:rPr>
      </w:pPr>
      <w:r w:rsidRPr="00446143">
        <w:rPr>
          <w:rFonts w:ascii="Times New Roman" w:hAnsi="Times New Roman" w:cs="Times New Roman"/>
          <w:i/>
          <w:sz w:val="21"/>
          <w:szCs w:val="21"/>
          <w:vertAlign w:val="superscript"/>
        </w:rPr>
        <w:t>1</w:t>
      </w:r>
      <w:r w:rsidR="008C397C" w:rsidRPr="008C397C">
        <w:t xml:space="preserve"> </w:t>
      </w:r>
      <w:r w:rsidR="008C397C" w:rsidRPr="008C397C">
        <w:rPr>
          <w:rFonts w:ascii="Times New Roman" w:hAnsi="Times New Roman" w:cs="Times New Roman"/>
          <w:i/>
          <w:sz w:val="21"/>
          <w:szCs w:val="21"/>
        </w:rPr>
        <w:t>Department of Computer Sciences, College of Science, University of Al Maarif, Al Anbar,31001, Iraq.</w:t>
      </w:r>
    </w:p>
    <w:p w14:paraId="72D9A526" w14:textId="37893B62" w:rsidR="00446143" w:rsidRPr="00446143" w:rsidRDefault="00446143" w:rsidP="00446143">
      <w:pPr>
        <w:spacing w:after="0" w:line="240" w:lineRule="auto"/>
        <w:jc w:val="center"/>
        <w:rPr>
          <w:rFonts w:ascii="Times New Roman" w:hAnsi="Times New Roman" w:cs="Times New Roman"/>
          <w:i/>
          <w:sz w:val="21"/>
          <w:szCs w:val="21"/>
        </w:rPr>
      </w:pPr>
      <w:r w:rsidRPr="00446143">
        <w:rPr>
          <w:rFonts w:ascii="Times New Roman" w:hAnsi="Times New Roman" w:cs="Times New Roman"/>
          <w:i/>
          <w:sz w:val="21"/>
          <w:szCs w:val="21"/>
          <w:vertAlign w:val="superscript"/>
        </w:rPr>
        <w:t>2</w:t>
      </w:r>
      <w:r w:rsidR="008C397C" w:rsidRPr="008C397C">
        <w:t xml:space="preserve"> </w:t>
      </w:r>
      <w:r w:rsidR="008C397C" w:rsidRPr="008C397C">
        <w:rPr>
          <w:rFonts w:ascii="Times New Roman" w:hAnsi="Times New Roman" w:cs="Times New Roman"/>
          <w:i/>
          <w:sz w:val="21"/>
          <w:szCs w:val="21"/>
        </w:rPr>
        <w:t xml:space="preserve">Department of Vocational Education in Anbar, Ministry of Education, Anbar, </w:t>
      </w:r>
      <w:r w:rsidR="00E578F9">
        <w:rPr>
          <w:rFonts w:ascii="Times New Roman" w:hAnsi="Times New Roman" w:cs="Times New Roman"/>
          <w:i/>
          <w:sz w:val="21"/>
          <w:szCs w:val="21"/>
        </w:rPr>
        <w:t xml:space="preserve">31001, </w:t>
      </w:r>
      <w:r w:rsidR="008C397C" w:rsidRPr="008C397C">
        <w:rPr>
          <w:rFonts w:ascii="Times New Roman" w:hAnsi="Times New Roman" w:cs="Times New Roman"/>
          <w:i/>
          <w:sz w:val="21"/>
          <w:szCs w:val="21"/>
        </w:rPr>
        <w:t>Iraq</w:t>
      </w:r>
      <w:r w:rsidR="00E578F9">
        <w:rPr>
          <w:rFonts w:ascii="Times New Roman" w:hAnsi="Times New Roman" w:cs="Times New Roman"/>
          <w:i/>
          <w:sz w:val="21"/>
          <w:szCs w:val="21"/>
        </w:rPr>
        <w:t>.</w:t>
      </w:r>
    </w:p>
    <w:p w14:paraId="22A19872" w14:textId="0B44066A" w:rsidR="00446143" w:rsidRDefault="00446143" w:rsidP="00446143">
      <w:pPr>
        <w:spacing w:after="0" w:line="240" w:lineRule="auto"/>
        <w:jc w:val="center"/>
        <w:rPr>
          <w:rFonts w:ascii="Times New Roman" w:hAnsi="Times New Roman" w:cs="Times New Roman"/>
          <w:sz w:val="21"/>
          <w:szCs w:val="21"/>
        </w:rPr>
      </w:pPr>
      <w:r w:rsidRPr="00446143">
        <w:rPr>
          <w:rFonts w:ascii="Times New Roman" w:hAnsi="Times New Roman" w:cs="Times New Roman"/>
          <w:sz w:val="21"/>
          <w:szCs w:val="21"/>
        </w:rPr>
        <w:t xml:space="preserve">* Corresponding </w:t>
      </w:r>
      <w:r w:rsidR="00C6526C">
        <w:rPr>
          <w:rFonts w:ascii="Times New Roman" w:hAnsi="Times New Roman" w:cs="Times New Roman"/>
          <w:sz w:val="21"/>
          <w:szCs w:val="21"/>
        </w:rPr>
        <w:t xml:space="preserve">author’s Email: </w:t>
      </w:r>
      <w:r w:rsidR="0087669A" w:rsidRPr="0087669A">
        <w:rPr>
          <w:rFonts w:ascii="Times New Roman" w:hAnsi="Times New Roman" w:cs="Times New Roman"/>
          <w:sz w:val="21"/>
          <w:szCs w:val="21"/>
        </w:rPr>
        <w:t>prog85sameeh@gmail.com</w:t>
      </w:r>
    </w:p>
    <w:p w14:paraId="2C6207C9" w14:textId="77777777" w:rsidR="00A50043" w:rsidRPr="00B638BB" w:rsidRDefault="00A50043" w:rsidP="00E4311A">
      <w:pPr>
        <w:spacing w:after="0" w:line="240" w:lineRule="auto"/>
        <w:jc w:val="center"/>
        <w:rPr>
          <w:rFonts w:ascii="Times New Roman" w:hAnsi="Times New Roman" w:cs="Times New Roman"/>
          <w:sz w:val="21"/>
          <w:szCs w:val="21"/>
        </w:rPr>
      </w:pPr>
    </w:p>
    <w:p w14:paraId="47D1709A" w14:textId="77777777" w:rsidR="00D41248" w:rsidRPr="00B638BB" w:rsidRDefault="005053C9" w:rsidP="006B0498">
      <w:pPr>
        <w:spacing w:after="0" w:line="240" w:lineRule="auto"/>
        <w:jc w:val="both"/>
        <w:rPr>
          <w:rFonts w:ascii="Times New Roman" w:hAnsi="Times New Roman" w:cs="Times New Roman"/>
          <w:b/>
        </w:rPr>
      </w:pPr>
      <w:r>
        <w:rPr>
          <w:rFonts w:ascii="Times New Roman" w:hAnsi="Times New Roman" w:cs="Times New Roman"/>
          <w:b/>
          <w:noProof/>
          <w:lang w:val="en-US" w:eastAsia="en-US"/>
        </w:rPr>
        <w:pict w14:anchorId="48D9A1D5">
          <v:shapetype id="_x0000_t32" coordsize="21600,21600" o:spt="32" o:oned="t" path="m,l21600,21600e" filled="f">
            <v:path arrowok="t" fillok="f" o:connecttype="none"/>
            <o:lock v:ext="edit" shapetype="t"/>
          </v:shapetype>
          <v:shape id="_x0000_s1148" type="#_x0000_t32" style="position:absolute;left:0;text-align:left;margin-left:9pt;margin-top:2.2pt;width:468.7pt;height:0;flip:y;z-index:251658240" o:connectortype="straight" strokeweight="1.5pt"/>
        </w:pict>
      </w:r>
    </w:p>
    <w:p w14:paraId="602232B5" w14:textId="57B9E353" w:rsidR="006912FB" w:rsidRPr="00B638BB" w:rsidRDefault="00D41248" w:rsidP="00D41248">
      <w:pPr>
        <w:spacing w:after="0" w:line="240" w:lineRule="auto"/>
        <w:ind w:leftChars="80" w:left="176" w:rightChars="80" w:right="176"/>
        <w:jc w:val="both"/>
        <w:rPr>
          <w:rFonts w:ascii="Times New Roman" w:hAnsi="Times New Roman" w:cs="Times New Roman"/>
          <w:sz w:val="20"/>
          <w:szCs w:val="20"/>
        </w:rPr>
      </w:pPr>
      <w:r>
        <w:rPr>
          <w:color w:val="FF0000"/>
        </w:rPr>
        <w:t>Abstract: Medical-image security often applies uniform protection despite heterogeneous diagnostic relevance and threat context. We present SRACR-Med, a self-governing risk-adaptive encryption framework in which Grad-CAM identifies spatial priority, perturbation-based reliability and predictive uncertainty qualify model evidence, and a stateful controller maps a bounded engineering risk index to 25-100% AES-256-GCM protection. Three public datasets (10,216 images) were evaluated using duplicate-aware group splits; classifier accuracies were 92.21%, 87.50%, and 91.46%. Protection increased monotonically from 50.13% at T=0.10 to 100% at T=0.95. An independent MobileNetV3-Small attacker showed residual diagnostic accuracy of 52.50%, 40.92%, and 30.95% at 25%, 50%, and 75% protection, corresponding to reductions of 33.76, 45.34, and 55.31 percentage points versus unprotected images. Same-condition baselines and controlled shifts showed policy- and modality-dependent behavior. SRACR-Med therefore supports reproducible adaptive orchestration, not autonomous cyber-risk assessment or full-image confidentiality when rho&lt;1.</w:t>
      </w:r>
    </w:p>
    <w:p w14:paraId="1B002ACA" w14:textId="0715B807" w:rsidR="00274444" w:rsidRPr="00B638BB" w:rsidRDefault="00274444" w:rsidP="00CE1491">
      <w:pPr>
        <w:spacing w:beforeLines="50" w:before="120" w:after="0" w:line="240" w:lineRule="auto"/>
        <w:ind w:leftChars="80" w:left="176" w:rightChars="80" w:right="176"/>
        <w:jc w:val="both"/>
        <w:rPr>
          <w:rFonts w:ascii="Times New Roman" w:hAnsi="Times New Roman" w:cs="Times New Roman"/>
          <w:sz w:val="20"/>
          <w:szCs w:val="20"/>
        </w:rPr>
      </w:pPr>
      <w:r>
        <w:rPr>
          <w:color w:val="FF0000"/>
        </w:rPr>
        <w:t>Keywords: AES-256-GCM, Medical Image Security, Adaptive Encryption, Security Orchestration, Explainable AI, Proof-of-Concept Controller.</w:t>
      </w:r>
    </w:p>
    <w:p w14:paraId="70764379" w14:textId="77777777" w:rsidR="00D41248" w:rsidRPr="00B638BB" w:rsidRDefault="005053C9" w:rsidP="00B76978">
      <w:pPr>
        <w:spacing w:after="0" w:line="240" w:lineRule="auto"/>
        <w:jc w:val="both"/>
        <w:rPr>
          <w:rFonts w:ascii="Times New Roman" w:hAnsi="Times New Roman" w:cs="Times New Roman"/>
          <w:b/>
          <w:sz w:val="20"/>
          <w:szCs w:val="20"/>
        </w:rPr>
      </w:pPr>
      <w:r>
        <w:rPr>
          <w:rFonts w:ascii="Times New Roman" w:hAnsi="Times New Roman" w:cs="Times New Roman"/>
          <w:b/>
          <w:noProof/>
          <w:lang w:val="en-US" w:eastAsia="en-US"/>
        </w:rPr>
        <w:pict w14:anchorId="04076CBA">
          <v:shape id="_x0000_s1149" type="#_x0000_t32" style="position:absolute;left:0;text-align:left;margin-left:8.25pt;margin-top:16.25pt;width:468.7pt;height:0;flip:y;z-index:251659264" o:connectortype="straight" strokeweight="1.5pt"/>
        </w:pict>
      </w:r>
    </w:p>
    <w:p w14:paraId="35172916" w14:textId="77777777" w:rsidR="00B75909" w:rsidRDefault="00B75909" w:rsidP="00B76978">
      <w:pPr>
        <w:autoSpaceDE w:val="0"/>
        <w:autoSpaceDN w:val="0"/>
        <w:adjustRightInd w:val="0"/>
        <w:spacing w:beforeLines="100" w:before="240" w:afterLines="50" w:after="120" w:line="240" w:lineRule="auto"/>
        <w:jc w:val="both"/>
        <w:rPr>
          <w:b/>
        </w:rPr>
      </w:pPr>
    </w:p>
    <w:p w14:paraId="5A0C39B1" w14:textId="77777777" w:rsidR="00A50043" w:rsidRPr="00A50043" w:rsidRDefault="00A50043" w:rsidP="00B76978">
      <w:pPr>
        <w:autoSpaceDE w:val="0"/>
        <w:autoSpaceDN w:val="0"/>
        <w:adjustRightInd w:val="0"/>
        <w:spacing w:after="0" w:line="240" w:lineRule="auto"/>
        <w:jc w:val="both"/>
        <w:rPr>
          <w:b/>
        </w:rPr>
        <w:sectPr w:rsidR="00A50043" w:rsidRPr="00A50043" w:rsidSect="00CE31F4">
          <w:headerReference w:type="default" r:id="rId9"/>
          <w:footerReference w:type="default" r:id="rId10"/>
          <w:pgSz w:w="11906" w:h="16838" w:code="9"/>
          <w:pgMar w:top="1440" w:right="1080" w:bottom="1440" w:left="1080" w:header="850" w:footer="567" w:gutter="0"/>
          <w:pgNumType w:start="1"/>
          <w:cols w:space="708"/>
          <w:docGrid w:linePitch="360"/>
        </w:sectPr>
      </w:pPr>
    </w:p>
    <w:p w14:paraId="220E24BA" w14:textId="77777777" w:rsidR="001E1883" w:rsidRPr="00E93B37" w:rsidRDefault="00D41248" w:rsidP="00B76978">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sidRPr="00E93B37">
        <w:rPr>
          <w:b/>
          <w:color w:val="auto"/>
        </w:rPr>
        <w:t>Introduction</w:t>
      </w:r>
    </w:p>
    <w:p w14:paraId="3D42D056" w14:textId="3008ECC4" w:rsidR="008C2F67" w:rsidRPr="008C2F67" w:rsidRDefault="008C2F67" w:rsidP="003B26C1">
      <w:pPr>
        <w:pStyle w:val="NoSpacing"/>
        <w:ind w:firstLineChars="150" w:firstLine="330"/>
        <w:jc w:val="both"/>
        <w:rPr>
          <w:rFonts w:ascii="Times New Roman" w:hAnsi="Times New Roman" w:cs="Times New Roman"/>
          <w:lang w:val="en-US"/>
        </w:rPr>
      </w:pPr>
      <w:r>
        <w:rPr>
          <w:b w:val="0"/>
          <w:color w:val="FF0000"/>
        </w:rPr>
        <w:t>Deep learning is widely used in chest radiography, retinal imaging, and other medical-imaging tasks [1-9], while encryption is typically applied uniformly at file or transport level [10-23,49,50]. This creates a policy gap: images differ in model confidence, spatially concentrated evidence, clinical context, and operational threat, yet those factors rarely influence how much protection is applied. Explainable AI can localize classifier evidence [35-43], and uncertainty methods characterize confidence [44-48], but saliency is not cyber risk and uncertainty is not a spatial protection map. SRACR-Med therefore separates where to protect from how much to protect.</w:t>
      </w:r>
    </w:p>
    <w:p w14:paraId="611E4014" w14:textId="1C80768B" w:rsidR="008C2F67" w:rsidRPr="008C2F67" w:rsidRDefault="008C2F67" w:rsidP="003B26C1">
      <w:pPr>
        <w:pStyle w:val="NoSpacing"/>
        <w:ind w:firstLineChars="150" w:firstLine="330"/>
        <w:jc w:val="both"/>
        <w:rPr>
          <w:rFonts w:ascii="Times New Roman" w:hAnsi="Times New Roman" w:cs="Times New Roman"/>
          <w:lang w:val="en-US"/>
        </w:rPr>
      </w:pPr>
      <w:r>
        <w:rPr>
          <w:b w:val="0"/>
          <w:color w:val="FF0000"/>
        </w:rPr>
        <w:t>The framework uses Grad-CAM to rank image tiles, a perturbation-based reliability factor to qualify the explanation, normalized entropy for predictive uncertainty, a pre-specified clinical-criticality prior, and an externally supplied threat state. These image/context signals form a bounded engineering risk index that drives a stateful four-level controller. AES-256-GCM remains the cryptographic primitive; the contribution is the orchestration policy, not a new cipher. The present study is explicitly a proof-of-concept controller-response evaluation: threat input is synthetic, clinical criticality and controller parameters are hand-specified, and no live IDS or autonomous cyber-risk estimator is validated.</w:t>
      </w:r>
      <w:r>
        <w:rPr>
          <w:color w:val="FF0000"/>
        </w:rPr>
        <w:t xml:space="preserve"> Here, self-governing denotes automatic stateful execution of the protection policy after the externally supplied threat state and pre-specified engineering priors are available; it does not denote autonomous threat detection, live IDS inference, or clinically calibrated cyber-risk estimation.</w:t>
      </w:r>
    </w:p>
    <w:p w14:paraId="794D29C2" w14:textId="37023DFA" w:rsidR="008C2F67" w:rsidRDefault="008C2F67" w:rsidP="003B26C1">
      <w:pPr>
        <w:pStyle w:val="NoSpacing"/>
        <w:ind w:firstLineChars="150" w:firstLine="330"/>
        <w:jc w:val="both"/>
        <w:rPr>
          <w:rFonts w:ascii="Times New Roman" w:hAnsi="Times New Roman" w:cs="Times New Roman"/>
        </w:rPr>
      </w:pPr>
      <w:r>
        <w:rPr>
          <w:b w:val="0"/>
          <w:color w:val="FF0000"/>
        </w:rPr>
        <w:t>The evaluation addresses four questions: (i) whether the controller escalates protection reproducibly as the supplied threat state rises; (ii) whether matched protection budgets concentrate on model-priority regions; (iii) whether an independent attacker can still recover diagnostic information from unprotected pixels and how SRACR compares with alternative selectors; and (iv) whether classifier, saliency, and controller behavior remain stable under controlled image shifts. Machine-readable splits, parameters, stream orders, image-level outputs, and code are released as supplementary artifacts.</w:t>
      </w:r>
    </w:p>
    <w:p w14:paraId="0B90C367" w14:textId="1D7FF08D" w:rsidR="001E1883" w:rsidRPr="00E93B37" w:rsidRDefault="003154C2" w:rsidP="000A58F5">
      <w:pPr>
        <w:pStyle w:val="ListParagraph"/>
        <w:numPr>
          <w:ilvl w:val="0"/>
          <w:numId w:val="7"/>
        </w:numPr>
        <w:spacing w:beforeLines="100" w:before="240" w:afterLines="50" w:after="120" w:line="240" w:lineRule="auto"/>
        <w:ind w:left="360"/>
        <w:contextualSpacing w:val="0"/>
        <w:jc w:val="both"/>
        <w:rPr>
          <w:b/>
          <w:color w:val="auto"/>
        </w:rPr>
      </w:pPr>
      <w:r w:rsidRPr="003154C2">
        <w:rPr>
          <w:b/>
          <w:color w:val="auto"/>
        </w:rPr>
        <w:t>Literature Survey and Research Gap</w:t>
      </w:r>
    </w:p>
    <w:p w14:paraId="3AB7844C" w14:textId="77777777" w:rsidR="00096006" w:rsidRPr="00096006" w:rsidRDefault="00096006" w:rsidP="000A58F5">
      <w:pPr>
        <w:pStyle w:val="NoSpacing"/>
        <w:ind w:firstLineChars="150" w:firstLine="330"/>
        <w:jc w:val="both"/>
        <w:rPr>
          <w:rFonts w:ascii="Times New Roman" w:hAnsi="Times New Roman" w:cs="Times New Roman"/>
          <w:lang w:val="en-US"/>
        </w:rPr>
      </w:pPr>
      <w:r>
        <w:rPr>
          <w:b w:val="0"/>
          <w:color w:val="FF0000"/>
        </w:rPr>
        <w:t>Medical-imaging studies establish the diagnostic capability of modern CNNs [1-9,51-57], but also emphasize calibration, reporting, and generalization limits. XAI methods such as Grad-CAM, LIME, SHAP, saliency sanity checks, and evaluation toolkits show that explanation quality is method- and stability-dependent [35-43,58]. Calibration and uncertainty literature likewise shows that predictive confidence can degrade under distribution shift [44-48]. These findings motivate treating saliency and uncertainty as separate signals rather than equating either with security risk.</w:t>
      </w:r>
    </w:p>
    <w:p w14:paraId="1B65BE68" w14:textId="4E2984CD" w:rsidR="00096006" w:rsidRPr="00096006" w:rsidRDefault="00096006" w:rsidP="003B26C1">
      <w:pPr>
        <w:pStyle w:val="NoSpacing"/>
        <w:ind w:firstLineChars="150" w:firstLine="330"/>
        <w:jc w:val="both"/>
        <w:rPr>
          <w:rFonts w:ascii="Times New Roman" w:hAnsi="Times New Roman" w:cs="Times New Roman"/>
          <w:lang w:val="en-US"/>
        </w:rPr>
      </w:pPr>
      <w:r>
        <w:rPr>
          <w:b w:val="0"/>
          <w:color w:val="FF0000"/>
        </w:rPr>
        <w:t>Medical-image security research spans conventional/chaotic encryption, selective ROI encryption, federated/privacy-preserving learning, secure aggregation, differential privacy, and attack models [10-34]. Recent selective approaches include automatic DICOM encryption, LoG/ROI schemes, YOLOv7 ROI selection, and UNet3+-based DeepENC [16-23,69,70]; CAM provides an annotation-free model-derived localization comparator [71]. Standards such as AES/GCM, NIST CSF/AI RMF, DICOM security profiles, and HIPAA provide cryptographic or governance context rather than a risk equation [49,50,59-62]. Related cryptographic optimization work focuses on primitives/S-boxes rather than adaptive orchestration [63-65]. The gap addressed here is a reproducible, stateful policy that separates spatial evidence from global protection level and is evaluated with independent leakage and same-condition baselines.</w:t>
      </w:r>
    </w:p>
    <w:p w14:paraId="117A53E0" w14:textId="1AE19123" w:rsidR="000A403E" w:rsidRPr="00B638BB" w:rsidRDefault="004838C6" w:rsidP="00702532">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sidRPr="004838C6">
        <w:rPr>
          <w:b/>
          <w:color w:val="auto"/>
        </w:rPr>
        <w:t>Proposed SRACR-Med Methodology</w:t>
      </w:r>
    </w:p>
    <w:p w14:paraId="0845AEB1" w14:textId="31DFDD56"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SRACR-Med separates spatial evidence, global policy context, and cryptography (Fig. 1). A ResNet-18 produces class probabilities; Grad-CAM and its reliability factor determine tile priority. Saliency burden, predicted-class clinical criticality, synthetic threat state, and uncertainty form a global risk score. A hysteretic controller maps that score to 25%, 50%, 75%, or 100% tile protection, and selected payloads are protected with AES-256-GCM.</w:t>
      </w:r>
    </w:p>
    <w:p w14:paraId="2DFD5433" w14:textId="77777777" w:rsidR="00475BDB" w:rsidRDefault="00475BDB" w:rsidP="00250350">
      <w:pPr>
        <w:pStyle w:val="NoSpacing"/>
        <w:jc w:val="both"/>
        <w:rPr>
          <w:rFonts w:ascii="Times New Roman" w:hAnsi="Times New Roman" w:cs="Times New Roman"/>
          <w:lang w:val="en-US"/>
        </w:rPr>
        <w:sectPr w:rsidR="00475BDB" w:rsidSect="00187DBA">
          <w:type w:val="continuous"/>
          <w:pgSz w:w="11906" w:h="16838" w:code="9"/>
          <w:pgMar w:top="1440" w:right="1080" w:bottom="1440" w:left="1080" w:header="850" w:footer="567" w:gutter="0"/>
          <w:cols w:num="2" w:space="432"/>
          <w:docGrid w:linePitch="360"/>
        </w:sectPr>
      </w:pPr>
    </w:p>
    <w:p w14:paraId="744B6954" w14:textId="447A96F0" w:rsidR="00E40A19" w:rsidRPr="00E40A19" w:rsidRDefault="00E40A19" w:rsidP="00475BDB">
      <w:pPr>
        <w:pStyle w:val="NoSpacing"/>
        <w:jc w:val="center"/>
        <w:rPr>
          <w:rFonts w:ascii="Times New Roman" w:hAnsi="Times New Roman" w:cs="Times New Roman"/>
          <w:lang w:val="en-US"/>
        </w:rPr>
      </w:pPr>
      <w:r w:rsidRPr="00E40A19">
        <w:rPr>
          <w:rFonts w:ascii="Times New Roman" w:hAnsi="Times New Roman" w:cs="Times New Roman"/>
          <w:noProof/>
          <w:lang w:val="en-US"/>
        </w:rPr>
        <w:drawing>
          <wp:inline distT="0" distB="0" distL="0" distR="0" wp14:anchorId="1A0EB8BF" wp14:editId="42D310C2">
            <wp:extent cx="4029457" cy="2113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1"/>
                    <a:srcRect b="6007"/>
                    <a:stretch/>
                  </pic:blipFill>
                  <pic:spPr bwMode="auto">
                    <a:xfrm>
                      <a:off x="0" y="0"/>
                      <a:ext cx="4118692" cy="2160596"/>
                    </a:xfrm>
                    <a:prstGeom prst="rect">
                      <a:avLst/>
                    </a:prstGeom>
                    <a:ln>
                      <a:noFill/>
                    </a:ln>
                    <a:extLst>
                      <a:ext uri="{53640926-AAD7-44D8-BBD7-CCE9431645EC}">
                        <a14:shadowObscured xmlns:a14="http://schemas.microsoft.com/office/drawing/2010/main"/>
                      </a:ext>
                    </a:extLst>
                  </pic:spPr>
                </pic:pic>
              </a:graphicData>
            </a:graphic>
          </wp:inline>
        </w:drawing>
      </w:r>
    </w:p>
    <w:p w14:paraId="0C14C217" w14:textId="5C0505F2" w:rsidR="00E40A19" w:rsidRPr="00E40A19" w:rsidRDefault="00F161D7" w:rsidP="00F161D7">
      <w:pPr>
        <w:pStyle w:val="NoSpacing"/>
        <w:jc w:val="center"/>
        <w:rPr>
          <w:rFonts w:ascii="Times New Roman" w:hAnsi="Times New Roman" w:cs="Times New Roman"/>
          <w:sz w:val="20"/>
        </w:rPr>
      </w:pPr>
      <w:r w:rsidRPr="00F161D7">
        <w:rPr>
          <w:rFonts w:ascii="Times New Roman" w:hAnsi="Times New Roman" w:cs="Times New Roman"/>
          <w:sz w:val="20"/>
        </w:rPr>
        <w:t>Figure</w:t>
      </w:r>
      <w:r w:rsidR="00E40A19" w:rsidRPr="00E40A19">
        <w:rPr>
          <w:rFonts w:ascii="Times New Roman" w:hAnsi="Times New Roman" w:cs="Times New Roman"/>
          <w:sz w:val="20"/>
        </w:rPr>
        <w:t>. 1. Comprehensive SRACR-Med architecture</w:t>
      </w:r>
    </w:p>
    <w:p w14:paraId="47434ED3" w14:textId="77777777" w:rsidR="00475BDB" w:rsidRDefault="00475BDB" w:rsidP="00DD1561">
      <w:pPr>
        <w:pStyle w:val="ListParagraph"/>
        <w:numPr>
          <w:ilvl w:val="1"/>
          <w:numId w:val="7"/>
        </w:numPr>
        <w:autoSpaceDE w:val="0"/>
        <w:autoSpaceDN w:val="0"/>
        <w:adjustRightInd w:val="0"/>
        <w:spacing w:beforeLines="100" w:before="240" w:afterLines="50" w:after="120" w:line="240" w:lineRule="auto"/>
        <w:ind w:left="567"/>
        <w:contextualSpacing w:val="0"/>
        <w:jc w:val="both"/>
        <w:rPr>
          <w:b/>
          <w:color w:val="auto"/>
          <w:sz w:val="22"/>
          <w:szCs w:val="22"/>
        </w:rPr>
        <w:sectPr w:rsidR="00475BDB" w:rsidSect="00475BDB">
          <w:type w:val="continuous"/>
          <w:pgSz w:w="11906" w:h="16838" w:code="9"/>
          <w:pgMar w:top="1440" w:right="1080" w:bottom="1440" w:left="1080" w:header="850" w:footer="567" w:gutter="0"/>
          <w:cols w:space="432"/>
          <w:docGrid w:linePitch="360"/>
        </w:sectPr>
      </w:pPr>
    </w:p>
    <w:p w14:paraId="1366A887" w14:textId="6A93E84A" w:rsidR="00E40A19" w:rsidRPr="00E40A19" w:rsidRDefault="00E40A19" w:rsidP="00DD1561">
      <w:pPr>
        <w:pStyle w:val="ListParagraph"/>
        <w:numPr>
          <w:ilvl w:val="1"/>
          <w:numId w:val="7"/>
        </w:numPr>
        <w:autoSpaceDE w:val="0"/>
        <w:autoSpaceDN w:val="0"/>
        <w:adjustRightInd w:val="0"/>
        <w:spacing w:beforeLines="100" w:before="240" w:afterLines="50" w:after="120" w:line="240" w:lineRule="auto"/>
        <w:ind w:left="567"/>
        <w:contextualSpacing w:val="0"/>
        <w:jc w:val="both"/>
        <w:rPr>
          <w:b/>
          <w:color w:val="auto"/>
          <w:sz w:val="22"/>
          <w:szCs w:val="22"/>
        </w:rPr>
      </w:pPr>
      <w:r w:rsidRPr="00E40A19">
        <w:rPr>
          <w:b/>
          <w:color w:val="auto"/>
          <w:sz w:val="22"/>
          <w:szCs w:val="22"/>
        </w:rPr>
        <w:t>Classifier and Grad-CAM Spatial Evidence</w:t>
      </w:r>
    </w:p>
    <w:p w14:paraId="645BF10C" w14:textId="10F0F729"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Grad-CAM [35] is computed at ResNet-18 layer4[-1].conv2 for the unperturbed argmax class, which is held fixed during reliability perturbations. Images are bilinearly resized to 224x224 and ImageNet-normalized. The standard Grad-CAM channel weights and rectified map are given in Eqs. (1)-(2); the map is normalized to [0,1] and interpreted only as spatial evidence, not cyber risk.</w:t>
      </w:r>
    </w:p>
    <w:p w14:paraId="363B476E" w14:textId="6EC8F520" w:rsidR="00E40A19" w:rsidRPr="00E40A19" w:rsidRDefault="005053C9" w:rsidP="00702532">
      <w:pPr>
        <w:pStyle w:val="NoSpacing"/>
        <w:ind w:firstLineChars="150" w:firstLine="330"/>
        <w:jc w:val="both"/>
        <w:rPr>
          <w:rFonts w:ascii="Times New Roman" w:hAnsi="Times New Roman" w:cs="Times New Roman"/>
          <w:lang w:val="en-US"/>
        </w:rPr>
      </w:pPr>
      <m:oMath>
        <m:sSubSup>
          <m:sSubSupPr>
            <m:ctrlPr>
              <w:rPr>
                <w:rFonts w:ascii="Cambria Math" w:hAnsi="Cambria Math" w:cs="Times New Roman"/>
                <w:i/>
                <w:lang w:val="en-US"/>
              </w:rPr>
            </m:ctrlPr>
          </m:sSubSupPr>
          <m:e>
            <m:r>
              <w:rPr>
                <w:rFonts w:ascii="Cambria Math" w:hAnsi="Cambria Math" w:cs="Times New Roman"/>
                <w:lang w:val="en-US"/>
              </w:rPr>
              <m:t>α</m:t>
            </m:r>
          </m:e>
          <m:sub>
            <m:r>
              <w:rPr>
                <w:rFonts w:ascii="Cambria Math" w:hAnsi="Cambria Math" w:cs="Times New Roman"/>
                <w:lang w:val="en-US"/>
              </w:rPr>
              <m:t>k</m:t>
            </m:r>
          </m:sub>
          <m:sup>
            <m:r>
              <w:rPr>
                <w:rFonts w:ascii="Cambria Math" w:hAnsi="Cambria Math" w:cs="Times New Roman"/>
                <w:lang w:val="en-US"/>
              </w:rPr>
              <m:t>c</m:t>
            </m:r>
          </m:sup>
        </m:sSubSup>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Z</m:t>
            </m:r>
          </m:den>
        </m:f>
        <m:nary>
          <m:naryPr>
            <m:chr m:val="∑"/>
            <m:limLoc m:val="undOvr"/>
            <m:supHide m:val="1"/>
            <m:ctrlPr>
              <w:rPr>
                <w:rFonts w:ascii="Cambria Math" w:hAnsi="Cambria Math" w:cs="Times New Roman"/>
                <w:i/>
                <w:lang w:val="en-US"/>
              </w:rPr>
            </m:ctrlPr>
          </m:naryPr>
          <m:sub>
            <m:r>
              <w:rPr>
                <w:rFonts w:ascii="Cambria Math" w:hAnsi="Cambria Math" w:cs="Times New Roman"/>
                <w:lang w:val="en-US"/>
              </w:rPr>
              <m:t>i</m:t>
            </m:r>
          </m:sub>
          <m:sup/>
          <m:e>
            <m:nary>
              <m:naryPr>
                <m:chr m:val="∑"/>
                <m:limLoc m:val="undOvr"/>
                <m:supHide m:val="1"/>
                <m:ctrlPr>
                  <w:rPr>
                    <w:rFonts w:ascii="Cambria Math" w:hAnsi="Cambria Math" w:cs="Times New Roman"/>
                    <w:i/>
                    <w:lang w:val="en-US"/>
                  </w:rPr>
                </m:ctrlPr>
              </m:naryPr>
              <m:sub>
                <m:r>
                  <w:rPr>
                    <w:rFonts w:ascii="Cambria Math" w:hAnsi="Cambria Math" w:cs="Times New Roman"/>
                    <w:lang w:val="en-US"/>
                  </w:rPr>
                  <m:t>j</m:t>
                </m:r>
              </m:sub>
              <m:sup/>
              <m:e>
                <m:f>
                  <m:fPr>
                    <m:ctrlPr>
                      <w:rPr>
                        <w:rFonts w:ascii="Cambria Math" w:hAnsi="Cambria Math" w:cs="Times New Roman"/>
                        <w:i/>
                        <w:lang w:val="en-US"/>
                      </w:rPr>
                    </m:ctrlPr>
                  </m:fPr>
                  <m:num>
                    <m:r>
                      <w:rPr>
                        <w:rFonts w:ascii="Cambria Math" w:hAnsi="Cambria Math" w:cs="Times New Roman"/>
                        <w:lang w:val="en-US"/>
                      </w:rPr>
                      <m:t>ϑ</m:t>
                    </m:r>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c</m:t>
                        </m:r>
                      </m:sup>
                    </m:sSup>
                  </m:num>
                  <m:den>
                    <m:r>
                      <w:rPr>
                        <w:rFonts w:ascii="Cambria Math" w:hAnsi="Cambria Math" w:cs="Times New Roman"/>
                        <w:lang w:val="en-US"/>
                      </w:rPr>
                      <m:t>ϑ</m:t>
                    </m:r>
                    <m:sSubSup>
                      <m:sSubSupPr>
                        <m:ctrlPr>
                          <w:rPr>
                            <w:rFonts w:ascii="Cambria Math" w:hAnsi="Cambria Math" w:cs="Times New Roman"/>
                            <w:i/>
                            <w:lang w:val="en-US"/>
                          </w:rPr>
                        </m:ctrlPr>
                      </m:sSubSupPr>
                      <m:e>
                        <m:r>
                          <w:rPr>
                            <w:rFonts w:ascii="Cambria Math" w:hAnsi="Cambria Math" w:cs="Times New Roman"/>
                            <w:lang w:val="en-US"/>
                          </w:rPr>
                          <m:t>A</m:t>
                        </m:r>
                      </m:e>
                      <m:sub>
                        <m:r>
                          <w:rPr>
                            <w:rFonts w:ascii="Cambria Math" w:hAnsi="Cambria Math" w:cs="Times New Roman"/>
                            <w:lang w:val="en-US"/>
                          </w:rPr>
                          <m:t>i,j</m:t>
                        </m:r>
                      </m:sub>
                      <m:sup>
                        <m:r>
                          <w:rPr>
                            <w:rFonts w:ascii="Cambria Math" w:hAnsi="Cambria Math" w:cs="Times New Roman"/>
                            <w:lang w:val="en-US"/>
                          </w:rPr>
                          <m:t>k</m:t>
                        </m:r>
                      </m:sup>
                    </m:sSubSup>
                  </m:den>
                </m:f>
              </m:e>
            </m:nary>
          </m:e>
        </m:nary>
      </m:oMath>
      <w:r w:rsidR="00E40A19" w:rsidRPr="00E40A19">
        <w:rPr>
          <w:rFonts w:ascii="Times New Roman" w:hAnsi="Times New Roman" w:cs="Times New Roman"/>
          <w:lang w:val="en-US"/>
        </w:rPr>
        <w:t xml:space="preserve">                  </w:t>
      </w:r>
      <w:r w:rsidR="00E40A19" w:rsidRPr="00E40A19">
        <w:rPr>
          <w:rFonts w:ascii="Times New Roman" w:hAnsi="Times New Roman" w:cs="Times New Roman"/>
          <w:lang w:val="en-US"/>
        </w:rPr>
        <w:tab/>
        <w:t xml:space="preserve">                     (1)</w:t>
      </w:r>
    </w:p>
    <w:p w14:paraId="1B301A49" w14:textId="6AFEBD6A"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Here Z is the spatial size, A^k is feature map k, and y^c is the target-class logit.</w:t>
      </w:r>
    </w:p>
    <w:p w14:paraId="1F6D1566" w14:textId="70DEFB81" w:rsidR="00E40A19" w:rsidRPr="00E40A19" w:rsidRDefault="00E40A19" w:rsidP="00702532">
      <w:pPr>
        <w:pStyle w:val="NoSpacing"/>
        <w:ind w:firstLineChars="150" w:firstLine="330"/>
        <w:jc w:val="both"/>
        <w:rPr>
          <w:rFonts w:ascii="Times New Roman" w:hAnsi="Times New Roman" w:cs="Times New Roman"/>
          <w:lang w:val="en-US"/>
        </w:rPr>
      </w:pPr>
      <m:oMath>
        <m:r>
          <w:rPr>
            <w:rFonts w:ascii="Cambria Math" w:hAnsi="Cambria Math" w:cs="Times New Roman"/>
            <w:lang w:val="en-US"/>
          </w:rPr>
          <m:t>S=ReLU(</m:t>
        </m:r>
        <m:nary>
          <m:naryPr>
            <m:chr m:val="∑"/>
            <m:limLoc m:val="undOvr"/>
            <m:supHide m:val="1"/>
            <m:ctrlPr>
              <w:rPr>
                <w:rFonts w:ascii="Cambria Math" w:hAnsi="Cambria Math" w:cs="Times New Roman"/>
                <w:i/>
                <w:lang w:val="en-US"/>
              </w:rPr>
            </m:ctrlPr>
          </m:naryPr>
          <m:sub>
            <m:r>
              <w:rPr>
                <w:rFonts w:ascii="Cambria Math" w:hAnsi="Cambria Math" w:cs="Times New Roman"/>
                <w:lang w:val="en-US"/>
              </w:rPr>
              <m:t>k</m:t>
            </m:r>
          </m:sub>
          <m:sup/>
          <m:e>
            <m:sSubSup>
              <m:sSubSupPr>
                <m:ctrlPr>
                  <w:rPr>
                    <w:rFonts w:ascii="Cambria Math" w:hAnsi="Cambria Math" w:cs="Times New Roman"/>
                    <w:i/>
                    <w:lang w:val="en-US"/>
                  </w:rPr>
                </m:ctrlPr>
              </m:sSubSupPr>
              <m:e>
                <m:r>
                  <w:rPr>
                    <w:rFonts w:ascii="Cambria Math" w:hAnsi="Cambria Math" w:cs="Times New Roman"/>
                    <w:lang w:val="en-US"/>
                  </w:rPr>
                  <m:t>α</m:t>
                </m:r>
              </m:e>
              <m:sub>
                <m:r>
                  <w:rPr>
                    <w:rFonts w:ascii="Cambria Math" w:hAnsi="Cambria Math" w:cs="Times New Roman"/>
                    <w:lang w:val="en-US"/>
                  </w:rPr>
                  <m:t>k</m:t>
                </m:r>
              </m:sub>
              <m:sup>
                <m:r>
                  <w:rPr>
                    <w:rFonts w:ascii="Cambria Math" w:hAnsi="Cambria Math" w:cs="Times New Roman"/>
                    <w:lang w:val="en-US"/>
                  </w:rPr>
                  <m:t>c</m:t>
                </m:r>
              </m:sup>
            </m:sSubSup>
            <m:sSup>
              <m:sSupPr>
                <m:ctrlPr>
                  <w:rPr>
                    <w:rFonts w:ascii="Cambria Math" w:hAnsi="Cambria Math" w:cs="Times New Roman"/>
                    <w:i/>
                    <w:lang w:val="en-US"/>
                  </w:rPr>
                </m:ctrlPr>
              </m:sSupPr>
              <m:e>
                <m:r>
                  <w:rPr>
                    <w:rFonts w:ascii="Cambria Math" w:hAnsi="Cambria Math" w:cs="Times New Roman"/>
                    <w:lang w:val="en-US"/>
                  </w:rPr>
                  <m:t>A</m:t>
                </m:r>
              </m:e>
              <m:sup>
                <m:r>
                  <w:rPr>
                    <w:rFonts w:ascii="Cambria Math" w:hAnsi="Cambria Math" w:cs="Times New Roman"/>
                    <w:lang w:val="en-US"/>
                  </w:rPr>
                  <m:t>k</m:t>
                </m:r>
              </m:sup>
            </m:sSup>
          </m:e>
        </m:nary>
        <m:r>
          <w:rPr>
            <w:rFonts w:ascii="Cambria Math" w:hAnsi="Cambria Math" w:cs="Times New Roman"/>
            <w:lang w:val="en-US"/>
          </w:rPr>
          <m:t>)</m:t>
        </m:r>
      </m:oMath>
      <w:r w:rsidRPr="00E40A19">
        <w:rPr>
          <w:rFonts w:ascii="Times New Roman" w:hAnsi="Times New Roman" w:cs="Times New Roman"/>
          <w:lang w:val="en-US"/>
        </w:rPr>
        <w:t xml:space="preserve">                                     (2)</w:t>
      </w:r>
    </w:p>
    <w:p w14:paraId="36DAAA58" w14:textId="43A0AB03" w:rsidR="00E40A19" w:rsidRPr="00E40A19" w:rsidRDefault="00E40A19" w:rsidP="00867B28">
      <w:pPr>
        <w:pStyle w:val="NoSpacing"/>
        <w:ind w:firstLineChars="150" w:firstLine="330"/>
        <w:jc w:val="both"/>
        <w:rPr>
          <w:rFonts w:ascii="Times New Roman" w:hAnsi="Times New Roman" w:cs="Times New Roman"/>
          <w:lang w:val="en-US"/>
        </w:rPr>
      </w:pPr>
      <w:r>
        <w:rPr>
          <w:b w:val="0"/>
          <w:color w:val="FF0000"/>
        </w:rPr>
        <w:t>The resulting map S is normalized to [0,1].</w:t>
      </w:r>
    </w:p>
    <w:p w14:paraId="7DC5C5F6" w14:textId="3EA57259" w:rsidR="00E40A19" w:rsidRPr="00E40A19" w:rsidRDefault="00E40A19" w:rsidP="00867B28">
      <w:pPr>
        <w:pStyle w:val="ListParagraph"/>
        <w:numPr>
          <w:ilvl w:val="1"/>
          <w:numId w:val="7"/>
        </w:numPr>
        <w:autoSpaceDE w:val="0"/>
        <w:autoSpaceDN w:val="0"/>
        <w:adjustRightInd w:val="0"/>
        <w:spacing w:beforeLines="100" w:before="240" w:afterLines="50" w:after="120" w:line="240" w:lineRule="auto"/>
        <w:ind w:left="567"/>
        <w:contextualSpacing w:val="0"/>
        <w:jc w:val="both"/>
        <w:rPr>
          <w:b/>
          <w:color w:val="auto"/>
          <w:sz w:val="22"/>
          <w:szCs w:val="22"/>
        </w:rPr>
      </w:pPr>
      <w:r w:rsidRPr="00E40A19">
        <w:rPr>
          <w:b/>
          <w:color w:val="auto"/>
          <w:sz w:val="22"/>
          <w:szCs w:val="22"/>
        </w:rPr>
        <w:lastRenderedPageBreak/>
        <w:t>Perturbation-Based Saliency Reliability</w:t>
      </w:r>
    </w:p>
    <w:p w14:paraId="27485FF6" w14:textId="6B90FB47" w:rsidR="00E40A19" w:rsidRPr="00E40A19" w:rsidRDefault="00E40A19" w:rsidP="00867B28">
      <w:pPr>
        <w:pStyle w:val="NoSpacing"/>
        <w:ind w:firstLineChars="150" w:firstLine="330"/>
        <w:jc w:val="both"/>
        <w:rPr>
          <w:rFonts w:ascii="Times New Roman" w:hAnsi="Times New Roman" w:cs="Times New Roman"/>
          <w:lang w:val="en-US"/>
        </w:rPr>
      </w:pPr>
      <w:r>
        <w:rPr>
          <w:b w:val="0"/>
          <w:color w:val="FF0000"/>
        </w:rPr>
        <w:t>Saliency reliability Q_S is the mean cosine similarity between the reference Grad-CAM map and maps from four perturbations applied in raw [0,1] image space: Gaussian noise sigma=0.02, brightness +0.05, 5% contrast increase, and a (+2,-2)-pixel circular roll. The target class remains fixed; similarities with near-zero map norm (&lt;1e-10) are set to zero. The archived v7.3 feature cache is the numerical source for reported results; v7.3.2 explicitly reseeds Python/NumPy/PyTorch before recomputation to close the documented RNG reproducibility gap.</w:t>
      </w:r>
    </w:p>
    <w:p>
      <w:r>
        <w:rPr>
          <w:color w:val="FF0000"/>
        </w:rPr>
        <w:t>Q_S = mean_m cos(S, S^(m))                                      (3)</w:t>
      </w:r>
    </w:p>
    <w:p w14:paraId="00A07ED5" w14:textId="64345196"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Reliability-adjusted saliency is</w:t>
      </w:r>
    </w:p>
    <w:p w14:paraId="282E5CEA" w14:textId="2AB07C72" w:rsidR="00E40A19" w:rsidRPr="00E40A19" w:rsidRDefault="00E40A19" w:rsidP="00702532">
      <w:pPr>
        <w:pStyle w:val="NoSpacing"/>
        <w:ind w:firstLineChars="150" w:firstLine="330"/>
        <w:jc w:val="both"/>
        <w:rPr>
          <w:rFonts w:ascii="Times New Roman" w:hAnsi="Times New Roman" w:cs="Times New Roman"/>
          <w:lang w:val="en-US"/>
        </w:rPr>
      </w:pPr>
      <w:r w:rsidRPr="00E40A19">
        <w:rPr>
          <w:rFonts w:ascii="Times New Roman" w:hAnsi="Times New Roman" w:cs="Times New Roman"/>
          <w:i/>
          <w:lang w:val="en-US"/>
        </w:rPr>
        <w:t>S</w:t>
      </w:r>
      <w:r w:rsidRPr="00E40A19">
        <w:rPr>
          <w:rFonts w:ascii="Times New Roman" w:hAnsi="Times New Roman" w:cs="Times New Roman"/>
          <w:i/>
          <w:vertAlign w:val="subscript"/>
          <w:lang w:val="en-US"/>
        </w:rPr>
        <w:t>R</w:t>
      </w:r>
      <w:r w:rsidRPr="00E40A19">
        <w:rPr>
          <w:rFonts w:ascii="Times New Roman" w:hAnsi="Times New Roman" w:cs="Times New Roman"/>
          <w:i/>
          <w:lang w:val="en-US"/>
        </w:rPr>
        <w:t xml:space="preserve"> = S · Q</w:t>
      </w:r>
      <w:r w:rsidRPr="00E40A19">
        <w:rPr>
          <w:rFonts w:ascii="Times New Roman" w:hAnsi="Times New Roman" w:cs="Times New Roman"/>
          <w:i/>
          <w:vertAlign w:val="subscript"/>
          <w:lang w:val="en-US"/>
        </w:rPr>
        <w:t>S</w:t>
      </w:r>
      <w:r w:rsidRPr="00E40A19">
        <w:rPr>
          <w:rFonts w:ascii="Times New Roman" w:hAnsi="Times New Roman" w:cs="Times New Roman"/>
          <w:lang w:val="en-US"/>
        </w:rPr>
        <w:tab/>
      </w:r>
      <w:r w:rsidR="00FD3A57">
        <w:rPr>
          <w:rFonts w:ascii="Times New Roman" w:hAnsi="Times New Roman" w:cs="Times New Roman"/>
          <w:lang w:val="en-US"/>
        </w:rPr>
        <w:t xml:space="preserve">                                              </w:t>
      </w:r>
      <w:proofErr w:type="gramStart"/>
      <w:r w:rsidR="00FD3A57">
        <w:rPr>
          <w:rFonts w:ascii="Times New Roman" w:hAnsi="Times New Roman" w:cs="Times New Roman"/>
          <w:lang w:val="en-US"/>
        </w:rPr>
        <w:t xml:space="preserve">   </w:t>
      </w:r>
      <w:r w:rsidRPr="00E40A19">
        <w:rPr>
          <w:rFonts w:ascii="Times New Roman" w:hAnsi="Times New Roman" w:cs="Times New Roman"/>
          <w:lang w:val="en-US"/>
        </w:rPr>
        <w:t>(</w:t>
      </w:r>
      <w:proofErr w:type="gramEnd"/>
      <w:r w:rsidRPr="00E40A19">
        <w:rPr>
          <w:rFonts w:ascii="Times New Roman" w:hAnsi="Times New Roman" w:cs="Times New Roman"/>
          <w:lang w:val="en-US"/>
        </w:rPr>
        <w:t>4)</w:t>
      </w:r>
    </w:p>
    <w:p w14:paraId="15AF44F1" w14:textId="77777777"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Because Q_S is a positive image-level scalar, it does not alter within-image tile ranking at a fixed budget; it affects the global saliency burden and hence controller context.</w:t>
      </w:r>
    </w:p>
    <w:p w14:paraId="7FF49EE9" w14:textId="103171A3" w:rsidR="00E40A19" w:rsidRPr="00E40A19" w:rsidRDefault="00E40A19" w:rsidP="00BF0B78">
      <w:pPr>
        <w:pStyle w:val="ListParagraph"/>
        <w:numPr>
          <w:ilvl w:val="1"/>
          <w:numId w:val="7"/>
        </w:numPr>
        <w:autoSpaceDE w:val="0"/>
        <w:autoSpaceDN w:val="0"/>
        <w:adjustRightInd w:val="0"/>
        <w:spacing w:beforeLines="100" w:before="240" w:afterLines="50" w:after="120" w:line="240" w:lineRule="auto"/>
        <w:ind w:left="567"/>
        <w:contextualSpacing w:val="0"/>
        <w:jc w:val="both"/>
        <w:rPr>
          <w:b/>
          <w:color w:val="auto"/>
          <w:sz w:val="22"/>
          <w:szCs w:val="22"/>
        </w:rPr>
      </w:pPr>
      <w:r w:rsidRPr="00E40A19">
        <w:rPr>
          <w:b/>
          <w:color w:val="auto"/>
          <w:sz w:val="22"/>
          <w:szCs w:val="22"/>
        </w:rPr>
        <w:t>Predictive Uncertainty</w:t>
      </w:r>
    </w:p>
    <w:p w14:paraId="66815288" w14:textId="5A8BB779"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Predictive uncertainty U is normalized entropy over K class probabilities [44-48], allowing comparison across the 2-, 11-, and 4-class tasks:</w:t>
      </w:r>
    </w:p>
    <w:p w14:paraId="0A4813A3" w14:textId="7840AADC" w:rsidR="00E40A19" w:rsidRPr="00E40A19" w:rsidRDefault="00E40A19" w:rsidP="00702532">
      <w:pPr>
        <w:pStyle w:val="NoSpacing"/>
        <w:ind w:firstLineChars="150" w:firstLine="330"/>
        <w:jc w:val="both"/>
        <w:rPr>
          <w:rFonts w:ascii="Times New Roman" w:hAnsi="Times New Roman" w:cs="Times New Roman"/>
          <w:lang w:val="en-US"/>
        </w:rPr>
      </w:pPr>
      <m:oMath>
        <m:r>
          <w:rPr>
            <w:rFonts w:ascii="Cambria Math" w:hAnsi="Cambria Math" w:cs="Times New Roman"/>
            <w:lang w:val="en-US"/>
          </w:rPr>
          <m:t>U=-</m:t>
        </m:r>
        <m:f>
          <m:fPr>
            <m:ctrlPr>
              <w:rPr>
                <w:rFonts w:ascii="Cambria Math" w:hAnsi="Cambria Math" w:cs="Times New Roman"/>
                <w:i/>
                <w:lang w:val="en-US"/>
              </w:rPr>
            </m:ctrlPr>
          </m:fPr>
          <m:num>
            <m:nary>
              <m:naryPr>
                <m:chr m:val="∑"/>
                <m:limLoc m:val="undOvr"/>
                <m:ctrlPr>
                  <w:rPr>
                    <w:rFonts w:ascii="Cambria Math" w:hAnsi="Cambria Math" w:cs="Times New Roman"/>
                    <w:i/>
                    <w:lang w:val="en-US"/>
                  </w:rPr>
                </m:ctrlPr>
              </m:naryPr>
              <m:sub>
                <m:r>
                  <w:rPr>
                    <w:rFonts w:ascii="Cambria Math" w:hAnsi="Cambria Math" w:cs="Times New Roman"/>
                    <w:lang w:val="en-US"/>
                  </w:rPr>
                  <m:t>k=1</m:t>
                </m:r>
              </m:sub>
              <m:sup>
                <m:r>
                  <w:rPr>
                    <w:rFonts w:ascii="Cambria Math" w:hAnsi="Cambria Math" w:cs="Times New Roman"/>
                    <w:lang w:val="en-US"/>
                  </w:rPr>
                  <m:t>K</m:t>
                </m:r>
              </m:sup>
              <m:e>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k</m:t>
                    </m:r>
                  </m:sub>
                </m:sSub>
                <m:func>
                  <m:funcPr>
                    <m:ctrlPr>
                      <w:rPr>
                        <w:rFonts w:ascii="Cambria Math" w:hAnsi="Cambria Math" w:cs="Times New Roman"/>
                        <w:lang w:val="en-US"/>
                      </w:rPr>
                    </m:ctrlPr>
                  </m:funcPr>
                  <m:fName>
                    <m:r>
                      <m:rPr>
                        <m:sty m:val="p"/>
                      </m:rPr>
                      <w:rPr>
                        <w:rFonts w:ascii="Cambria Math" w:hAnsi="Cambria Math" w:cs="Times New Roman"/>
                        <w:lang w:val="en-US"/>
                      </w:rPr>
                      <m:t>log</m:t>
                    </m:r>
                  </m:fName>
                  <m:e>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k</m:t>
                            </m:r>
                          </m:sub>
                        </m:sSub>
                        <m:r>
                          <w:rPr>
                            <w:rFonts w:ascii="Cambria Math" w:hAnsi="Cambria Math" w:cs="Times New Roman"/>
                            <w:lang w:val="en-US"/>
                          </w:rPr>
                          <m:t>+ε</m:t>
                        </m:r>
                      </m:e>
                    </m:d>
                  </m:e>
                </m:func>
              </m:e>
            </m:nary>
          </m:num>
          <m:den>
            <m:func>
              <m:funcPr>
                <m:ctrlPr>
                  <w:rPr>
                    <w:rFonts w:ascii="Cambria Math" w:hAnsi="Cambria Math" w:cs="Times New Roman"/>
                    <w:i/>
                    <w:lang w:val="en-US"/>
                  </w:rPr>
                </m:ctrlPr>
              </m:funcPr>
              <m:fName>
                <m:r>
                  <m:rPr>
                    <m:sty m:val="p"/>
                  </m:rPr>
                  <w:rPr>
                    <w:rFonts w:ascii="Cambria Math" w:hAnsi="Cambria Math" w:cs="Times New Roman"/>
                    <w:lang w:val="en-US"/>
                  </w:rPr>
                  <m:t>log</m:t>
                </m:r>
              </m:fName>
              <m:e>
                <m:r>
                  <w:rPr>
                    <w:rFonts w:ascii="Cambria Math" w:hAnsi="Cambria Math" w:cs="Times New Roman"/>
                    <w:lang w:val="en-US"/>
                  </w:rPr>
                  <m:t>K</m:t>
                </m:r>
              </m:e>
            </m:func>
          </m:den>
        </m:f>
        <m:r>
          <w:rPr>
            <w:rFonts w:ascii="Cambria Math" w:hAnsi="Cambria Math" w:cs="Times New Roman"/>
            <w:lang w:val="en-US"/>
          </w:rPr>
          <m:t xml:space="preserve"> , 0≤U≤1</m:t>
        </m:r>
      </m:oMath>
      <w:r w:rsidRPr="00E40A19">
        <w:rPr>
          <w:rFonts w:ascii="Times New Roman" w:hAnsi="Times New Roman" w:cs="Times New Roman"/>
          <w:lang w:val="en-US"/>
        </w:rPr>
        <w:t xml:space="preserve">       </w:t>
      </w:r>
      <w:r w:rsidR="00FD3A57">
        <w:rPr>
          <w:rFonts w:ascii="Times New Roman" w:hAnsi="Times New Roman" w:cs="Times New Roman"/>
          <w:lang w:val="en-US"/>
        </w:rPr>
        <w:t xml:space="preserve">       </w:t>
      </w:r>
      <w:r w:rsidRPr="00E40A19">
        <w:rPr>
          <w:rFonts w:ascii="Times New Roman" w:hAnsi="Times New Roman" w:cs="Times New Roman"/>
          <w:lang w:val="en-US"/>
        </w:rPr>
        <w:t>(5)</w:t>
      </w:r>
    </w:p>
    <w:p w14:paraId="0A25FABB" w14:textId="405532B6"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where p_k is the predicted probability of class k.</w:t>
      </w:r>
    </w:p>
    <w:p w14:paraId="6E109958" w14:textId="612FC2AA" w:rsidR="00E40A19" w:rsidRPr="00E40A19" w:rsidRDefault="00E40A19" w:rsidP="00BF0B78">
      <w:pPr>
        <w:pStyle w:val="ListParagraph"/>
        <w:numPr>
          <w:ilvl w:val="1"/>
          <w:numId w:val="7"/>
        </w:numPr>
        <w:autoSpaceDE w:val="0"/>
        <w:autoSpaceDN w:val="0"/>
        <w:adjustRightInd w:val="0"/>
        <w:spacing w:beforeLines="100" w:before="240" w:afterLines="50" w:after="120" w:line="240" w:lineRule="auto"/>
        <w:ind w:left="567"/>
        <w:contextualSpacing w:val="0"/>
        <w:jc w:val="both"/>
        <w:rPr>
          <w:b/>
          <w:color w:val="auto"/>
          <w:sz w:val="22"/>
          <w:szCs w:val="22"/>
        </w:rPr>
      </w:pPr>
      <w:r w:rsidRPr="00E40A19">
        <w:rPr>
          <w:b/>
          <w:color w:val="auto"/>
          <w:sz w:val="22"/>
          <w:szCs w:val="22"/>
        </w:rPr>
        <w:t>Clinical Criticality and Threat State</w:t>
      </w:r>
    </w:p>
    <w:p w14:paraId="0DD7B4C4" w14:textId="77777777"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Clinical criticality C is a hand-specified predicted-class engineering prior, not a clinically validated severity scale. Scores were 0.35 for normal/healthy classes; 0.65 for mild disease; 0.75 for chest screening/pneumonia class; 0.80 for moderate disease/dry AMD; 0.85 for the four-class DR/glaucoma categories; 0.95 for severe disease/wet AMD; and 1.00 for advanced/end-stage glaucoma or PDR. The full class mapping is released. Threat T is an externally supplied synthetic scenario input evaluated at 0.10, 0.40, 0.70, and 0.95; no IDS, network sensor, or live telemetry was implemented.</w:t>
      </w:r>
    </w:p>
    <w:p w14:paraId="273E76FB" w14:textId="71DB0C97" w:rsidR="00E40A19" w:rsidRPr="00E40A19" w:rsidRDefault="00E40A19" w:rsidP="00BF0B78">
      <w:pPr>
        <w:pStyle w:val="ListParagraph"/>
        <w:numPr>
          <w:ilvl w:val="1"/>
          <w:numId w:val="7"/>
        </w:numPr>
        <w:autoSpaceDE w:val="0"/>
        <w:autoSpaceDN w:val="0"/>
        <w:adjustRightInd w:val="0"/>
        <w:spacing w:beforeLines="100" w:before="240" w:afterLines="50" w:after="120" w:line="240" w:lineRule="auto"/>
        <w:ind w:left="567"/>
        <w:contextualSpacing w:val="0"/>
        <w:jc w:val="both"/>
        <w:rPr>
          <w:b/>
          <w:color w:val="auto"/>
          <w:sz w:val="22"/>
          <w:szCs w:val="22"/>
        </w:rPr>
      </w:pPr>
      <w:r w:rsidRPr="00E40A19">
        <w:rPr>
          <w:b/>
          <w:color w:val="auto"/>
          <w:sz w:val="22"/>
          <w:szCs w:val="22"/>
        </w:rPr>
        <w:t>Global Cyber-Risk Score</w:t>
      </w:r>
    </w:p>
    <w:p w14:paraId="2267425E" w14:textId="40C64D89"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A scalar saliency burden A(S_R) summarizes the reliability-adjusted map (mean plus upper-tail activation) and is combined with C, T, and U.</w:t>
      </w:r>
    </w:p>
    <w:p w14:paraId="6E69D90D" w14:textId="543E7C35" w:rsidR="00E40A19" w:rsidRPr="00E40A19" w:rsidRDefault="00E40A19" w:rsidP="00702532">
      <w:pPr>
        <w:pStyle w:val="NoSpacing"/>
        <w:ind w:firstLineChars="150" w:firstLine="330"/>
        <w:jc w:val="both"/>
        <w:rPr>
          <w:rFonts w:ascii="Times New Roman" w:hAnsi="Times New Roman" w:cs="Times New Roman"/>
          <w:lang w:val="en-US"/>
        </w:rPr>
      </w:pPr>
      <m:oMath>
        <m:r>
          <w:rPr>
            <w:rFonts w:ascii="Cambria Math" w:hAnsi="Cambria Math" w:cs="Times New Roman"/>
            <w:lang w:val="en-US"/>
          </w:rPr>
          <m:t>A</m:t>
        </m:r>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S</m:t>
                </m:r>
              </m:e>
              <m:sub>
                <m:r>
                  <w:rPr>
                    <w:rFonts w:ascii="Cambria Math" w:hAnsi="Cambria Math" w:cs="Times New Roman"/>
                    <w:lang w:val="en-US"/>
                  </w:rPr>
                  <m:t>R</m:t>
                </m:r>
              </m:sub>
            </m:sSub>
          </m:e>
        </m:d>
        <m:r>
          <w:rPr>
            <w:rFonts w:ascii="Cambria Math" w:hAnsi="Cambria Math" w:cs="Times New Roman"/>
            <w:lang w:val="en-US"/>
          </w:rPr>
          <m:t>=0.5 . mean</m:t>
        </m:r>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S</m:t>
                </m:r>
              </m:e>
              <m:sub>
                <m:r>
                  <w:rPr>
                    <w:rFonts w:ascii="Cambria Math" w:hAnsi="Cambria Math" w:cs="Times New Roman"/>
                    <w:lang w:val="en-US"/>
                  </w:rPr>
                  <m:t>R</m:t>
                </m:r>
              </m:sub>
            </m:sSub>
          </m:e>
        </m:d>
        <m:r>
          <w:rPr>
            <w:rFonts w:ascii="Cambria Math" w:hAnsi="Cambria Math" w:cs="Times New Roman"/>
            <w:lang w:val="en-US"/>
          </w:rPr>
          <m:t xml:space="preserve">+0.5 . </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95</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S</m:t>
            </m:r>
          </m:e>
          <m:sub>
            <m:r>
              <w:rPr>
                <w:rFonts w:ascii="Cambria Math" w:hAnsi="Cambria Math" w:cs="Times New Roman"/>
                <w:lang w:val="en-US"/>
              </w:rPr>
              <m:t>R</m:t>
            </m:r>
          </m:sub>
        </m:sSub>
        <m:r>
          <w:rPr>
            <w:rFonts w:ascii="Cambria Math" w:hAnsi="Cambria Math" w:cs="Times New Roman"/>
            <w:lang w:val="en-US"/>
          </w:rPr>
          <m:t>)</m:t>
        </m:r>
      </m:oMath>
      <w:r w:rsidRPr="00E40A19">
        <w:rPr>
          <w:rFonts w:ascii="Times New Roman" w:hAnsi="Times New Roman" w:cs="Times New Roman"/>
          <w:lang w:val="en-US"/>
        </w:rPr>
        <w:tab/>
        <w:t>(6)</w:t>
      </w:r>
    </w:p>
    <w:p w14:paraId="6DB8BDCF" w14:textId="6123CC07"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The implementation-audited global engineering index is</w:t>
      </w:r>
    </w:p>
    <w:p w14:paraId="6356923A" w14:textId="2069D08E" w:rsidR="00E40A19" w:rsidRPr="00E40A19" w:rsidRDefault="00E40A19" w:rsidP="004B1D0F">
      <w:pPr>
        <w:pStyle w:val="NoSpacing"/>
        <w:jc w:val="center"/>
        <w:rPr>
          <w:rFonts w:ascii="Times New Roman" w:hAnsi="Times New Roman" w:cs="Times New Roman"/>
          <w:lang w:val="en-US"/>
        </w:rPr>
      </w:pPr>
      <w:r>
        <w:rPr>
          <w:color w:val="FF0000"/>
        </w:rPr>
        <w:t>G = 0.30 A(S_R) + 0.25 C + 0.30 T + 0.15 U, 0 ≤ G ≤ 1    (7)</w:t>
      </w:r>
    </w:p>
    <w:p w14:paraId="7E15DFB9" w14:textId="0B1FFFDC" w:rsidR="00E40A19" w:rsidRPr="00E40A19" w:rsidRDefault="00E40A19" w:rsidP="003B26C1">
      <w:pPr>
        <w:pStyle w:val="NoSpacing"/>
        <w:ind w:firstLineChars="150" w:firstLine="330"/>
        <w:jc w:val="both"/>
        <w:rPr>
          <w:rFonts w:ascii="Times New Roman" w:hAnsi="Times New Roman" w:cs="Times New Roman"/>
          <w:lang w:val="en-US"/>
        </w:rPr>
      </w:pPr>
      <w:r>
        <w:rPr>
          <w:b w:val="0"/>
          <w:color w:val="FF0000"/>
        </w:rPr>
        <w:t>Weights (0.30, 0.25, 0.30, 0.15) were hand-specified, not optimized on train/validation/test outcomes. G is therefore a control index, not a calibrated cyber-risk probability. Sensitivity analyses varied each weight by +/-0.05 (with renormalization), equal weights, thresholds, hysteresis, and clinical priors.</w:t>
      </w:r>
    </w:p>
    <w:p w14:paraId="2834B944" w14:textId="7AB1C818" w:rsidR="00E40A19" w:rsidRPr="00E40A19" w:rsidRDefault="00E40A19" w:rsidP="00BF0B78">
      <w:pPr>
        <w:pStyle w:val="ListParagraph"/>
        <w:numPr>
          <w:ilvl w:val="1"/>
          <w:numId w:val="7"/>
        </w:numPr>
        <w:autoSpaceDE w:val="0"/>
        <w:autoSpaceDN w:val="0"/>
        <w:adjustRightInd w:val="0"/>
        <w:spacing w:beforeLines="100" w:before="240" w:afterLines="50" w:after="120" w:line="240" w:lineRule="auto"/>
        <w:ind w:left="567"/>
        <w:contextualSpacing w:val="0"/>
        <w:jc w:val="both"/>
        <w:rPr>
          <w:b/>
          <w:color w:val="auto"/>
          <w:sz w:val="22"/>
          <w:szCs w:val="22"/>
        </w:rPr>
      </w:pPr>
      <w:r>
        <w:rPr>
          <w:b/>
          <w:color w:val="FF0000"/>
        </w:rPr>
        <w:t>Stateful Self-Governing Risk-Adaptive Controller (Proof-of-Concept)</w:t>
      </w:r>
    </w:p>
    <w:p w14:paraId="09B41F54" w14:textId="77777777"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A four-state controller uses thresholds 0.30, 0.50, and 0.70 with hysteresis h=0.05; escalation is immediate and de-escalation occurs one level at a time below the lower boundary minus h. T&gt;=0.90 forces Level 4. The levels map to 25%, 50%, 75%, and 100% protection (Eq. 8), with key rotation requested at Level 4. Replay of 30,500 archived full-SRACR decisions matched the implementation exactly. Five deterministic image-order streams per threat were used; repetitions were averaged to image level before inference.</w:t>
      </w:r>
    </w:p>
    <w:p w14:paraId="5E2280C7" w14:textId="710FC6CD" w:rsidR="00E40A19" w:rsidRPr="00E40A19" w:rsidRDefault="00E40A19" w:rsidP="00702532">
      <w:pPr>
        <w:pStyle w:val="NoSpacing"/>
        <w:ind w:firstLineChars="150" w:firstLine="330"/>
        <w:jc w:val="both"/>
        <w:rPr>
          <w:rFonts w:ascii="Times New Roman" w:hAnsi="Times New Roman" w:cs="Times New Roman"/>
          <w:lang w:val="en-US"/>
        </w:rPr>
      </w:pPr>
      <w:r w:rsidRPr="00E40A19">
        <w:rPr>
          <w:rFonts w:ascii="Times New Roman" w:hAnsi="Times New Roman" w:cs="Times New Roman"/>
          <w:i/>
          <w:lang w:val="en-US"/>
        </w:rPr>
        <w:t xml:space="preserve">ρ(G) </w:t>
      </w:r>
      <w:r w:rsidRPr="00E40A19">
        <w:rPr>
          <w:rFonts w:ascii="Cambria Math" w:hAnsi="Cambria Math" w:cs="Cambria Math"/>
          <w:i/>
          <w:lang w:val="en-US"/>
        </w:rPr>
        <w:t>∈</w:t>
      </w:r>
      <w:r w:rsidRPr="00E40A19">
        <w:rPr>
          <w:rFonts w:ascii="Times New Roman" w:hAnsi="Times New Roman" w:cs="Times New Roman"/>
          <w:i/>
          <w:lang w:val="en-US"/>
        </w:rPr>
        <w:t xml:space="preserve"> {0.25, 0.50, 0.75, 1.00} for Levels {1,2,3,4}, respectively.</w:t>
      </w:r>
      <w:r w:rsidRPr="00E40A19">
        <w:rPr>
          <w:rFonts w:ascii="Times New Roman" w:hAnsi="Times New Roman" w:cs="Times New Roman"/>
          <w:lang w:val="en-US"/>
        </w:rPr>
        <w:tab/>
      </w:r>
      <w:r w:rsidR="004B1D0F">
        <w:rPr>
          <w:rFonts w:ascii="Times New Roman" w:hAnsi="Times New Roman" w:cs="Times New Roman"/>
          <w:lang w:val="en-US"/>
        </w:rPr>
        <w:t xml:space="preserve">                                      </w:t>
      </w:r>
      <w:r w:rsidRPr="00E40A19">
        <w:rPr>
          <w:rFonts w:ascii="Times New Roman" w:hAnsi="Times New Roman" w:cs="Times New Roman"/>
          <w:lang w:val="en-US"/>
        </w:rPr>
        <w:t>(8)</w:t>
      </w:r>
    </w:p>
    <w:p w14:paraId="6CB33306" w14:textId="77777777"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Thresholds and hysteresis are engineering operating points rather than learned or clinically/cyber validated parameters.</w:t>
      </w:r>
    </w:p>
    <w:p w14:paraId="31B95A20" w14:textId="23CC3F0D" w:rsidR="00E40A19" w:rsidRPr="00E40A19" w:rsidRDefault="00E40A19" w:rsidP="00BF0B78">
      <w:pPr>
        <w:pStyle w:val="ListParagraph"/>
        <w:numPr>
          <w:ilvl w:val="1"/>
          <w:numId w:val="7"/>
        </w:numPr>
        <w:autoSpaceDE w:val="0"/>
        <w:autoSpaceDN w:val="0"/>
        <w:adjustRightInd w:val="0"/>
        <w:spacing w:beforeLines="100" w:before="240" w:afterLines="50" w:after="120" w:line="240" w:lineRule="auto"/>
        <w:ind w:left="567"/>
        <w:contextualSpacing w:val="0"/>
        <w:jc w:val="both"/>
        <w:rPr>
          <w:b/>
          <w:color w:val="auto"/>
          <w:sz w:val="22"/>
          <w:szCs w:val="22"/>
        </w:rPr>
      </w:pPr>
      <w:r w:rsidRPr="00E40A19">
        <w:rPr>
          <w:b/>
          <w:color w:val="auto"/>
          <w:sz w:val="22"/>
          <w:szCs w:val="22"/>
        </w:rPr>
        <w:t>Tile Priority and Adaptive Selection</w:t>
      </w:r>
    </w:p>
    <w:p w14:paraId="2EC35BA9" w14:textId="77777777"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Native images are partitioned into 64x64 tiles; partial edge tiles are retained. The 224x224 reliability-adjusted map is bilinearly resized to native resolution and each tile receives its mean saliency score. For N tiles and target rho, k=max(1,min(N,ceil(rho N))) tiles are selected by stable descending score; exact ties follow row-major tile ID. The rule is deterministic given the saliency map, and all baselines are matched to the same per-image protected-pixel target after boundary rounding.</w:t>
      </w:r>
    </w:p>
    <w:p w14:paraId="1CAFF4F0" w14:textId="70F361FF" w:rsidR="00E40A19" w:rsidRPr="00E40A19" w:rsidRDefault="00E40A19" w:rsidP="00BF0B78">
      <w:pPr>
        <w:pStyle w:val="ListParagraph"/>
        <w:numPr>
          <w:ilvl w:val="1"/>
          <w:numId w:val="7"/>
        </w:numPr>
        <w:autoSpaceDE w:val="0"/>
        <w:autoSpaceDN w:val="0"/>
        <w:adjustRightInd w:val="0"/>
        <w:spacing w:beforeLines="100" w:before="240" w:afterLines="50" w:after="120" w:line="240" w:lineRule="auto"/>
        <w:ind w:left="567"/>
        <w:contextualSpacing w:val="0"/>
        <w:jc w:val="both"/>
        <w:rPr>
          <w:b/>
          <w:color w:val="auto"/>
          <w:sz w:val="22"/>
          <w:szCs w:val="22"/>
        </w:rPr>
      </w:pPr>
      <w:r w:rsidRPr="00E40A19">
        <w:rPr>
          <w:b/>
          <w:color w:val="auto"/>
          <w:sz w:val="22"/>
          <w:szCs w:val="22"/>
        </w:rPr>
        <w:t>AES-256-GCM Protection and Security Boundary</w:t>
      </w:r>
    </w:p>
    <w:p w14:paraId="25544B85" w14:textId="77777777"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SRACR-Med uses standard AES-256-GCM [49,50] for selected payloads; it does not introduce a new cipher.</w:t>
      </w:r>
    </w:p>
    <w:p w14:paraId="2DE1E6DD" w14:textId="4BF00C41" w:rsidR="00E40A19" w:rsidRPr="00E40A19" w:rsidRDefault="005053C9" w:rsidP="00702532">
      <w:pPr>
        <w:pStyle w:val="NoSpacing"/>
        <w:ind w:firstLineChars="150" w:firstLine="330"/>
        <w:jc w:val="both"/>
        <w:rPr>
          <w:rFonts w:ascii="Times New Roman" w:hAnsi="Times New Roman" w:cs="Times New Roman"/>
          <w:lang w:val="en-US"/>
        </w:rPr>
      </w:pPr>
      <m:oMath>
        <m:d>
          <m:dPr>
            <m:ctrlPr>
              <w:rPr>
                <w:rFonts w:ascii="Cambria Math" w:hAnsi="Cambria Math" w:cs="Times New Roman"/>
                <w:i/>
                <w:lang w:val="en-US"/>
              </w:rPr>
            </m:ctrlPr>
          </m:dPr>
          <m:e>
            <m:r>
              <w:rPr>
                <w:rFonts w:ascii="Cambria Math" w:hAnsi="Cambria Math" w:cs="Times New Roman"/>
                <w:lang w:val="en-US"/>
              </w:rPr>
              <m:t>Ciph,τ</m:t>
            </m:r>
          </m:e>
        </m:d>
        <m:r>
          <w:rPr>
            <w:rFonts w:ascii="Cambria Math" w:hAnsi="Cambria Math" w:cs="Times New Roman"/>
            <w:lang w:val="en-US"/>
          </w:rPr>
          <m:t>=GCM.EncK(N, Plain, AAD</m:t>
        </m:r>
      </m:oMath>
      <w:r w:rsidR="004B1D0F">
        <w:rPr>
          <w:rFonts w:ascii="Times New Roman" w:hAnsi="Times New Roman" w:cs="Times New Roman"/>
          <w:lang w:val="en-US"/>
        </w:rPr>
        <w:t xml:space="preserve">       </w:t>
      </w:r>
      <w:r w:rsidR="00E40A19" w:rsidRPr="00E40A19">
        <w:rPr>
          <w:rFonts w:ascii="Times New Roman" w:hAnsi="Times New Roman" w:cs="Times New Roman"/>
          <w:lang w:val="en-US"/>
        </w:rPr>
        <w:t>(11)</w:t>
      </w:r>
    </w:p>
    <w:p w14:paraId="4E6272F1" w14:textId="77777777"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Lossless round-trip and identical post-decryption predictions verify implementation correctness only. When rho&lt;1, unselected tiles remain plaintext, so selective modes do not provide full-image confidentiality. Residual diagnostic leakage is therefore measured under an explicit attacker model. A production deployment should place SRACR inside an always-on full-file AEAD boundary, with controller state optionally driving stronger regional access/re-key/audit actions; that layered design was not implemented or evaluated here. Production key management would require a KMS/HSM.</w:t>
      </w:r>
    </w:p>
    <w:p w14:paraId="31E06C68" w14:textId="035A0409" w:rsidR="00E40A19" w:rsidRPr="00E40A19" w:rsidRDefault="00E40A19" w:rsidP="00BF0B78">
      <w:pPr>
        <w:pStyle w:val="ListParagraph"/>
        <w:numPr>
          <w:ilvl w:val="1"/>
          <w:numId w:val="7"/>
        </w:numPr>
        <w:autoSpaceDE w:val="0"/>
        <w:autoSpaceDN w:val="0"/>
        <w:adjustRightInd w:val="0"/>
        <w:spacing w:beforeLines="100" w:before="240" w:afterLines="50" w:after="120" w:line="240" w:lineRule="auto"/>
        <w:ind w:left="567"/>
        <w:contextualSpacing w:val="0"/>
        <w:jc w:val="both"/>
        <w:rPr>
          <w:b/>
          <w:color w:val="auto"/>
          <w:sz w:val="22"/>
          <w:szCs w:val="22"/>
        </w:rPr>
      </w:pPr>
      <w:r w:rsidRPr="00E40A19">
        <w:rPr>
          <w:b/>
          <w:color w:val="auto"/>
          <w:sz w:val="22"/>
          <w:szCs w:val="22"/>
        </w:rPr>
        <w:t>Evaluation Metrics</w:t>
      </w:r>
    </w:p>
    <w:p w14:paraId="09AB97FE" w14:textId="77777777" w:rsidR="00E40A19" w:rsidRPr="00E40A19" w:rsidRDefault="00E40A19" w:rsidP="00702532">
      <w:pPr>
        <w:pStyle w:val="NoSpacing"/>
        <w:ind w:firstLineChars="150" w:firstLine="330"/>
        <w:jc w:val="both"/>
        <w:rPr>
          <w:rFonts w:ascii="Times New Roman" w:hAnsi="Times New Roman" w:cs="Times New Roman"/>
          <w:lang w:val="en-US"/>
        </w:rPr>
      </w:pPr>
      <w:r>
        <w:rPr>
          <w:b w:val="0"/>
          <w:color w:val="FF0000"/>
        </w:rPr>
        <w:t>Priority-mass coverage (PMC) and priority efficiency characterize how a fixed budget concentrates on the framework's own spatial priority. Because the same priority representation drives ranking, PMC is an internal policy-behavior metric, not independent evidence of clinical sensitivity or security. Independent security evaluation uses residual diagnostic recoverability; additional outputs include protected fraction, controller level, key rotation, latency, and diagnostic/calibration metrics.</w:t>
      </w:r>
    </w:p>
    <w:p w14:paraId="505A855D" w14:textId="16D688B6" w:rsidR="00F63CD7" w:rsidRPr="00B638BB" w:rsidRDefault="00713C12" w:rsidP="00713C12">
      <w:pPr>
        <w:pStyle w:val="ListParagraph"/>
        <w:numPr>
          <w:ilvl w:val="0"/>
          <w:numId w:val="7"/>
        </w:numPr>
        <w:autoSpaceDE w:val="0"/>
        <w:autoSpaceDN w:val="0"/>
        <w:adjustRightInd w:val="0"/>
        <w:spacing w:beforeLines="100" w:before="240" w:afterLines="50" w:after="120" w:line="240" w:lineRule="auto"/>
        <w:ind w:left="360"/>
        <w:contextualSpacing w:val="0"/>
        <w:jc w:val="both"/>
        <w:rPr>
          <w:bCs/>
          <w:color w:val="auto"/>
        </w:rPr>
      </w:pPr>
      <w:r w:rsidRPr="00713C12">
        <w:rPr>
          <w:b/>
          <w:color w:val="auto"/>
        </w:rPr>
        <w:t>Experimental Design</w:t>
      </w:r>
    </w:p>
    <w:p w14:paraId="18FFDF06" w14:textId="77777777" w:rsidR="00713C12" w:rsidRPr="00713C12" w:rsidRDefault="00713C12" w:rsidP="00713C12">
      <w:pPr>
        <w:pStyle w:val="NoSpacing"/>
        <w:ind w:firstLineChars="150" w:firstLine="331"/>
        <w:jc w:val="both"/>
        <w:rPr>
          <w:rFonts w:ascii="Times New Roman" w:hAnsi="Times New Roman" w:cs="Times New Roman"/>
          <w:b/>
          <w:bCs/>
          <w:lang w:val="en-US"/>
        </w:rPr>
      </w:pPr>
      <w:r w:rsidRPr="00713C12">
        <w:rPr>
          <w:rFonts w:ascii="Times New Roman" w:hAnsi="Times New Roman" w:cs="Times New Roman"/>
          <w:b/>
          <w:bCs/>
          <w:lang w:val="en-US"/>
        </w:rPr>
        <w:t>4.1. Data Integrity and Group-Level Partitioning</w:t>
      </w:r>
    </w:p>
    <w:p w14:paraId="2B1BB276" w14:textId="77777777" w:rsidR="00713C12" w:rsidRPr="00713C12" w:rsidRDefault="00713C12" w:rsidP="00713C12">
      <w:pPr>
        <w:pStyle w:val="NoSpacing"/>
        <w:ind w:firstLineChars="150" w:firstLine="330"/>
        <w:jc w:val="both"/>
        <w:rPr>
          <w:rFonts w:ascii="Times New Roman" w:hAnsi="Times New Roman" w:cs="Times New Roman"/>
          <w:lang w:val="en-US"/>
        </w:rPr>
      </w:pPr>
      <w:r>
        <w:rPr>
          <w:b w:val="0"/>
          <w:color w:val="FF0000"/>
        </w:rPr>
        <w:t>Three public datasets were used: 504 chest radiographs from Mendeley Data DOI 10.17632/kpg5yz77gj.1 [66], 5,500 images from the released augmented 11-class retinal directory DOI 10.17632/z227d626vm.1 [67], and 4,212 four-class fundus images from the Kaggle dataset of Prabhakar [68], totaling 10,216 images. All files were readable. SHA-256 and verified pHash/SSIM/MAE screening identified 92 exact duplicate records and 210 verified same-label near-duplicate edges, yielding 9,969 atomic perceptual groups; cross-label candidates were retained for audit rather than merged. Group-stratified splitting (seed 42) produced 7,155/1,536/1,525 train/validation/test images with zero verified-group or exact-hash leakage. Source artifacts do not provide consistent authoritative patient/study IDs for all images; therefore patient-level independence and multicenter validation are not claimed.</w:t>
      </w:r>
    </w:p>
    <w:p w14:paraId="609A2511" w14:textId="77777777" w:rsidR="00713C12" w:rsidRPr="00713C12" w:rsidRDefault="00713C12" w:rsidP="00713C12">
      <w:pPr>
        <w:pStyle w:val="NoSpacing"/>
        <w:ind w:firstLineChars="150" w:firstLine="331"/>
        <w:jc w:val="both"/>
        <w:rPr>
          <w:rFonts w:ascii="Times New Roman" w:hAnsi="Times New Roman" w:cs="Times New Roman"/>
          <w:b/>
          <w:bCs/>
          <w:lang w:val="en-US"/>
        </w:rPr>
      </w:pPr>
      <w:r w:rsidRPr="00713C12">
        <w:rPr>
          <w:rFonts w:ascii="Times New Roman" w:hAnsi="Times New Roman" w:cs="Times New Roman"/>
          <w:b/>
          <w:bCs/>
          <w:lang w:val="en-US"/>
        </w:rPr>
        <w:t>4.2. Training Configuration</w:t>
      </w:r>
    </w:p>
    <w:p w14:paraId="148CF2F7" w14:textId="77777777" w:rsidR="00713C12" w:rsidRPr="00713C12" w:rsidRDefault="00713C12" w:rsidP="00713C12">
      <w:pPr>
        <w:pStyle w:val="NoSpacing"/>
        <w:ind w:firstLineChars="150" w:firstLine="330"/>
        <w:jc w:val="both"/>
        <w:rPr>
          <w:rFonts w:ascii="Times New Roman" w:hAnsi="Times New Roman" w:cs="Times New Roman"/>
          <w:lang w:val="en-US"/>
        </w:rPr>
      </w:pPr>
      <w:r>
        <w:rPr>
          <w:b w:val="0"/>
          <w:color w:val="FF0000"/>
        </w:rPr>
        <w:t>Each task used ImageNet-initialized ResNet-18 with class-weighted cross-entropy and validation macro-F1 checkpoint selection. Inputs were 224x224 with ImageNet normalization. Experiments ran on CPU with Python 3.9/PyTorch 2.2.2. Base seed 42 controlled training/evaluation utilities; exact controller stream orders and all package versions are provided in the reproducibility artifact. Table 1 gives split accounting and held-out performance.</w:t>
      </w:r>
    </w:p>
    <w:p w14:paraId="660E8FE5" w14:textId="77777777" w:rsidR="00D42F47" w:rsidRDefault="00D42F47" w:rsidP="00D42F47">
      <w:pPr>
        <w:pStyle w:val="NoSpacing"/>
        <w:rPr>
          <w:rFonts w:ascii="Times New Roman" w:hAnsi="Times New Roman" w:cs="Times New Roman"/>
          <w:sz w:val="20"/>
        </w:rPr>
        <w:sectPr w:rsidR="00D42F47" w:rsidSect="00187DBA">
          <w:type w:val="continuous"/>
          <w:pgSz w:w="11906" w:h="16838" w:code="9"/>
          <w:pgMar w:top="1440" w:right="1080" w:bottom="1440" w:left="1080" w:header="850" w:footer="567" w:gutter="0"/>
          <w:cols w:num="2" w:space="432"/>
          <w:docGrid w:linePitch="360"/>
        </w:sectPr>
      </w:pPr>
    </w:p>
    <w:p w14:paraId="7E51B5E2" w14:textId="14FA6C04" w:rsidR="00713C12" w:rsidRPr="00713C12" w:rsidRDefault="00713C12" w:rsidP="00D42F47">
      <w:pPr>
        <w:pStyle w:val="NoSpacing"/>
        <w:jc w:val="center"/>
        <w:rPr>
          <w:rFonts w:ascii="Times New Roman" w:hAnsi="Times New Roman" w:cs="Times New Roman"/>
          <w:sz w:val="20"/>
        </w:rPr>
      </w:pPr>
      <w:r w:rsidRPr="00713C12">
        <w:rPr>
          <w:rFonts w:ascii="Times New Roman" w:hAnsi="Times New Roman" w:cs="Times New Roman"/>
          <w:sz w:val="20"/>
        </w:rPr>
      </w:r>
      <w:r>
        <w:rPr>
          <w:color w:val="FF0000"/>
          <w:sz w:val="22"/>
        </w:rPr>
      </w:r>
      <w:r>
        <w:rPr>
          <w:color w:val="FF0000"/>
          <w:sz w:val="22"/>
        </w:rPr>
        <w:t>Table 1. Dataset accounting, final group-level partitions, and held-out classifier performance. The three dataset totals sum to 10,216 images (all values are from the project execution logs).</w:t>
      </w:r>
    </w:p>
    <w:p w14:paraId="7CAFE027" w14:textId="77777777" w:rsidR="00D42F47" w:rsidRDefault="00D42F47" w:rsidP="00D42F47">
      <w:pPr>
        <w:pStyle w:val="NoSpacing"/>
        <w:jc w:val="center"/>
        <w:rPr>
          <w:rFonts w:ascii="Times New Roman" w:hAnsi="Times New Roman" w:cs="Times New Roman"/>
          <w:b/>
          <w:sz w:val="20"/>
          <w:szCs w:val="20"/>
          <w:lang w:val="en-US"/>
        </w:rPr>
        <w:sectPr w:rsidR="00D42F47" w:rsidSect="00D42F47">
          <w:type w:val="continuous"/>
          <w:pgSz w:w="11906" w:h="16838" w:code="9"/>
          <w:pgMar w:top="1440" w:right="1080" w:bottom="1440" w:left="1080" w:header="850" w:footer="567" w:gutter="0"/>
          <w:cols w:space="432"/>
          <w:docGrid w:linePitch="360"/>
        </w:sectPr>
      </w:pPr>
    </w:p>
    <w:tbl>
      <w:tblPr>
        <w:tblStyle w:val="TableGrid"/>
        <w:tblW w:w="5000" w:type="pct"/>
        <w:tblLook w:val="04A0" w:firstRow="1" w:lastRow="0" w:firstColumn="1" w:lastColumn="0" w:noHBand="0" w:noVBand="1"/>
      </w:tblPr>
      <w:tblGrid>
        <w:gridCol w:w="2661"/>
        <w:gridCol w:w="707"/>
        <w:gridCol w:w="568"/>
        <w:gridCol w:w="671"/>
        <w:gridCol w:w="1030"/>
        <w:gridCol w:w="1134"/>
        <w:gridCol w:w="1548"/>
        <w:gridCol w:w="877"/>
        <w:gridCol w:w="766"/>
      </w:tblGrid>
      <w:tr w:rsidR="00F501F8" w:rsidRPr="00713C12" w14:paraId="638A86D7" w14:textId="77777777" w:rsidTr="00F501F8">
        <w:tc>
          <w:tcPr>
            <w:tcW w:w="1335" w:type="pct"/>
            <w:shd w:val="clear" w:color="auto" w:fill="EEECE1" w:themeFill="background2"/>
            <w:vAlign w:val="center"/>
          </w:tcPr>
          <w:p w14:paraId="1FBB9C3C" w14:textId="280FAEC1"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Dataset / task</w:t>
            </w:r>
          </w:p>
        </w:tc>
        <w:tc>
          <w:tcPr>
            <w:tcW w:w="355" w:type="pct"/>
            <w:shd w:val="clear" w:color="auto" w:fill="EEECE1" w:themeFill="background2"/>
            <w:vAlign w:val="center"/>
          </w:tcPr>
          <w:p w14:paraId="7B656A75"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Train</w:t>
            </w:r>
          </w:p>
        </w:tc>
        <w:tc>
          <w:tcPr>
            <w:tcW w:w="285" w:type="pct"/>
            <w:shd w:val="clear" w:color="auto" w:fill="EEECE1" w:themeFill="background2"/>
            <w:vAlign w:val="center"/>
          </w:tcPr>
          <w:p w14:paraId="7CB20156"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Val.</w:t>
            </w:r>
          </w:p>
        </w:tc>
        <w:tc>
          <w:tcPr>
            <w:tcW w:w="337" w:type="pct"/>
            <w:shd w:val="clear" w:color="auto" w:fill="EEECE1" w:themeFill="background2"/>
            <w:vAlign w:val="center"/>
          </w:tcPr>
          <w:p w14:paraId="53EA43BE"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Test</w:t>
            </w:r>
          </w:p>
        </w:tc>
        <w:tc>
          <w:tcPr>
            <w:tcW w:w="517" w:type="pct"/>
            <w:shd w:val="clear" w:color="auto" w:fill="EEECE1" w:themeFill="background2"/>
            <w:vAlign w:val="center"/>
          </w:tcPr>
          <w:p w14:paraId="5D35A178"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Accuracy (%)</w:t>
            </w:r>
          </w:p>
        </w:tc>
        <w:tc>
          <w:tcPr>
            <w:tcW w:w="569" w:type="pct"/>
            <w:shd w:val="clear" w:color="auto" w:fill="EEECE1" w:themeFill="background2"/>
            <w:vAlign w:val="center"/>
          </w:tcPr>
          <w:p w14:paraId="6D806370"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Macro-F1 (%)</w:t>
            </w:r>
          </w:p>
        </w:tc>
        <w:tc>
          <w:tcPr>
            <w:tcW w:w="777" w:type="pct"/>
            <w:shd w:val="clear" w:color="auto" w:fill="EEECE1" w:themeFill="background2"/>
            <w:vAlign w:val="center"/>
          </w:tcPr>
          <w:p w14:paraId="7173C0A3"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Balanced Acc. (%)</w:t>
            </w:r>
          </w:p>
        </w:tc>
        <w:tc>
          <w:tcPr>
            <w:tcW w:w="440" w:type="pct"/>
            <w:shd w:val="clear" w:color="auto" w:fill="EEECE1" w:themeFill="background2"/>
            <w:vAlign w:val="center"/>
          </w:tcPr>
          <w:p w14:paraId="00B21E49"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Log loss</w:t>
            </w:r>
          </w:p>
        </w:tc>
        <w:tc>
          <w:tcPr>
            <w:tcW w:w="384" w:type="pct"/>
            <w:shd w:val="clear" w:color="auto" w:fill="EEECE1" w:themeFill="background2"/>
            <w:vAlign w:val="center"/>
          </w:tcPr>
          <w:p w14:paraId="4C408DBE"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ECE</w:t>
            </w:r>
          </w:p>
        </w:tc>
      </w:tr>
      <w:tr w:rsidR="00F501F8" w:rsidRPr="00713C12" w14:paraId="6492FF3D" w14:textId="77777777" w:rsidTr="00F501F8">
        <w:tc>
          <w:tcPr>
            <w:tcW w:w="1335" w:type="pct"/>
            <w:vAlign w:val="center"/>
          </w:tcPr>
          <w:p>
            <w:pPr>
              <w:spacing w:after="0"/>
            </w:pPr>
            <w:r>
              <w:rPr>
                <w:sz w:val="16"/>
              </w:rPr>
            </w:r>
            <w:r>
              <w:rPr>
                <w:color w:val="FF0000"/>
                <w:sz w:val="16"/>
              </w:rPr>
              <w:t>Chest X-ray (2 classes; n=504)</w:t>
            </w:r>
          </w:p>
        </w:tc>
        <w:tc>
          <w:tcPr>
            <w:tcW w:w="355" w:type="pct"/>
            <w:vAlign w:val="center"/>
          </w:tcPr>
          <w:p w14:paraId="170B9BEF"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351</w:t>
            </w:r>
          </w:p>
        </w:tc>
        <w:tc>
          <w:tcPr>
            <w:tcW w:w="285" w:type="pct"/>
            <w:vAlign w:val="center"/>
          </w:tcPr>
          <w:p w14:paraId="3369EA9B"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76</w:t>
            </w:r>
          </w:p>
        </w:tc>
        <w:tc>
          <w:tcPr>
            <w:tcW w:w="337" w:type="pct"/>
            <w:vAlign w:val="center"/>
          </w:tcPr>
          <w:p w14:paraId="0159FA6E"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77</w:t>
            </w:r>
          </w:p>
        </w:tc>
        <w:tc>
          <w:tcPr>
            <w:tcW w:w="517" w:type="pct"/>
            <w:vAlign w:val="center"/>
          </w:tcPr>
          <w:p w14:paraId="73E8F153"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92.21</w:t>
            </w:r>
          </w:p>
        </w:tc>
        <w:tc>
          <w:tcPr>
            <w:tcW w:w="569" w:type="pct"/>
            <w:vAlign w:val="center"/>
          </w:tcPr>
          <w:p w14:paraId="4A7EF32A"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92.1</w:t>
            </w:r>
          </w:p>
        </w:tc>
        <w:tc>
          <w:tcPr>
            <w:tcW w:w="777" w:type="pct"/>
            <w:vAlign w:val="center"/>
          </w:tcPr>
          <w:p w14:paraId="03437AF0"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92.88</w:t>
            </w:r>
          </w:p>
        </w:tc>
        <w:tc>
          <w:tcPr>
            <w:tcW w:w="440" w:type="pct"/>
            <w:vAlign w:val="center"/>
          </w:tcPr>
          <w:p w14:paraId="4ECFF326"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0.282</w:t>
            </w:r>
          </w:p>
        </w:tc>
        <w:tc>
          <w:tcPr>
            <w:tcW w:w="384" w:type="pct"/>
            <w:vAlign w:val="center"/>
          </w:tcPr>
          <w:p w14:paraId="1AAFC7DC"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0.0495</w:t>
            </w:r>
          </w:p>
        </w:tc>
      </w:tr>
      <w:tr w:rsidR="00F501F8" w:rsidRPr="00713C12" w14:paraId="27EE2F4D" w14:textId="77777777" w:rsidTr="00F501F8">
        <w:tc>
          <w:tcPr>
            <w:tcW w:w="1335" w:type="pct"/>
            <w:vAlign w:val="center"/>
          </w:tcPr>
          <w:p>
            <w:pPr>
              <w:spacing w:after="0"/>
            </w:pPr>
            <w:r>
              <w:rPr>
                <w:sz w:val="16"/>
              </w:rPr>
            </w:r>
            <w:r>
              <w:rPr>
                <w:color w:val="FF0000"/>
                <w:sz w:val="16"/>
              </w:rPr>
              <w:t>Retinal fundus (11 classes; n=5,500)</w:t>
            </w:r>
          </w:p>
        </w:tc>
        <w:tc>
          <w:tcPr>
            <w:tcW w:w="355" w:type="pct"/>
            <w:vAlign w:val="center"/>
          </w:tcPr>
          <w:p w14:paraId="75B0200E"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3854</w:t>
            </w:r>
          </w:p>
        </w:tc>
        <w:tc>
          <w:tcPr>
            <w:tcW w:w="285" w:type="pct"/>
            <w:vAlign w:val="center"/>
          </w:tcPr>
          <w:p w14:paraId="00CAB399"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830</w:t>
            </w:r>
          </w:p>
        </w:tc>
        <w:tc>
          <w:tcPr>
            <w:tcW w:w="337" w:type="pct"/>
            <w:vAlign w:val="center"/>
          </w:tcPr>
          <w:p w14:paraId="7B58A774"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816</w:t>
            </w:r>
          </w:p>
        </w:tc>
        <w:tc>
          <w:tcPr>
            <w:tcW w:w="517" w:type="pct"/>
            <w:vAlign w:val="center"/>
          </w:tcPr>
          <w:p w14:paraId="131D1A29"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87.5</w:t>
            </w:r>
          </w:p>
        </w:tc>
        <w:tc>
          <w:tcPr>
            <w:tcW w:w="569" w:type="pct"/>
            <w:vAlign w:val="center"/>
          </w:tcPr>
          <w:p w14:paraId="5E815010"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87.29</w:t>
            </w:r>
          </w:p>
        </w:tc>
        <w:tc>
          <w:tcPr>
            <w:tcW w:w="777" w:type="pct"/>
            <w:vAlign w:val="center"/>
          </w:tcPr>
          <w:p w14:paraId="21E9665B"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87.54</w:t>
            </w:r>
          </w:p>
        </w:tc>
        <w:tc>
          <w:tcPr>
            <w:tcW w:w="440" w:type="pct"/>
            <w:vAlign w:val="center"/>
          </w:tcPr>
          <w:p w14:paraId="12088428"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0.4394</w:t>
            </w:r>
          </w:p>
        </w:tc>
        <w:tc>
          <w:tcPr>
            <w:tcW w:w="384" w:type="pct"/>
            <w:vAlign w:val="center"/>
          </w:tcPr>
          <w:p w14:paraId="6BC2B6DD"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0.0539</w:t>
            </w:r>
          </w:p>
        </w:tc>
      </w:tr>
      <w:tr w:rsidR="00F501F8" w:rsidRPr="00713C12" w14:paraId="6CAAB658" w14:textId="77777777" w:rsidTr="00F501F8">
        <w:tc>
          <w:tcPr>
            <w:tcW w:w="1335" w:type="pct"/>
            <w:vAlign w:val="center"/>
          </w:tcPr>
          <w:p>
            <w:pPr>
              <w:spacing w:after="0"/>
            </w:pPr>
            <w:r>
              <w:rPr>
                <w:sz w:val="16"/>
              </w:rPr>
            </w:r>
            <w:r>
              <w:rPr>
                <w:color w:val="FF0000"/>
                <w:sz w:val="16"/>
              </w:rPr>
              <w:t>Fundus eye disease (4 classes; n=4,212)</w:t>
            </w:r>
          </w:p>
        </w:tc>
        <w:tc>
          <w:tcPr>
            <w:tcW w:w="355" w:type="pct"/>
            <w:vAlign w:val="center"/>
          </w:tcPr>
          <w:p w14:paraId="54676722"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2950</w:t>
            </w:r>
          </w:p>
        </w:tc>
        <w:tc>
          <w:tcPr>
            <w:tcW w:w="285" w:type="pct"/>
            <w:vAlign w:val="center"/>
          </w:tcPr>
          <w:p w14:paraId="1DEC5866"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630</w:t>
            </w:r>
          </w:p>
        </w:tc>
        <w:tc>
          <w:tcPr>
            <w:tcW w:w="337" w:type="pct"/>
            <w:vAlign w:val="center"/>
          </w:tcPr>
          <w:p w14:paraId="0F07FAC1"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632</w:t>
            </w:r>
          </w:p>
        </w:tc>
        <w:tc>
          <w:tcPr>
            <w:tcW w:w="517" w:type="pct"/>
            <w:vAlign w:val="center"/>
          </w:tcPr>
          <w:p w14:paraId="402B6C58"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91.46</w:t>
            </w:r>
          </w:p>
        </w:tc>
        <w:tc>
          <w:tcPr>
            <w:tcW w:w="569" w:type="pct"/>
            <w:vAlign w:val="center"/>
          </w:tcPr>
          <w:p w14:paraId="5CE84894"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91.28</w:t>
            </w:r>
          </w:p>
        </w:tc>
        <w:tc>
          <w:tcPr>
            <w:tcW w:w="777" w:type="pct"/>
            <w:vAlign w:val="center"/>
          </w:tcPr>
          <w:p w14:paraId="56354316"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91.32</w:t>
            </w:r>
          </w:p>
        </w:tc>
        <w:tc>
          <w:tcPr>
            <w:tcW w:w="440" w:type="pct"/>
            <w:vAlign w:val="center"/>
          </w:tcPr>
          <w:p w14:paraId="545B7D5B"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0.232</w:t>
            </w:r>
          </w:p>
        </w:tc>
        <w:tc>
          <w:tcPr>
            <w:tcW w:w="384" w:type="pct"/>
            <w:vAlign w:val="center"/>
          </w:tcPr>
          <w:p w14:paraId="54E4E825" w14:textId="77777777" w:rsidR="00713C12" w:rsidRPr="00713C12" w:rsidRDefault="00713C12" w:rsidP="00F501F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0.0412</w:t>
            </w:r>
          </w:p>
        </w:tc>
      </w:tr>
    </w:tbl>
    <w:p w14:paraId="18050E18" w14:textId="77777777" w:rsidR="00D42F47" w:rsidRDefault="00D42F47" w:rsidP="00713C12">
      <w:pPr>
        <w:pStyle w:val="NoSpacing"/>
        <w:ind w:firstLineChars="150" w:firstLine="330"/>
        <w:jc w:val="both"/>
        <w:rPr>
          <w:rFonts w:ascii="Times New Roman" w:hAnsi="Times New Roman" w:cs="Times New Roman"/>
          <w:lang w:val="en-US"/>
        </w:rPr>
        <w:sectPr w:rsidR="00D42F47" w:rsidSect="00D42F47">
          <w:type w:val="continuous"/>
          <w:pgSz w:w="11906" w:h="16838" w:code="9"/>
          <w:pgMar w:top="1440" w:right="1080" w:bottom="1440" w:left="1080" w:header="850" w:footer="567" w:gutter="0"/>
          <w:cols w:space="432"/>
          <w:docGrid w:linePitch="360"/>
        </w:sectPr>
      </w:pPr>
    </w:p>
    <w:p w14:paraId="6C22452D" w14:textId="0237214C" w:rsidR="00713C12" w:rsidRPr="00713C12" w:rsidRDefault="00713C12" w:rsidP="00713C12">
      <w:pPr>
        <w:pStyle w:val="NoSpacing"/>
        <w:ind w:firstLineChars="150" w:firstLine="330"/>
        <w:jc w:val="both"/>
        <w:rPr>
          <w:rFonts w:ascii="Times New Roman" w:hAnsi="Times New Roman" w:cs="Times New Roman"/>
          <w:lang w:val="en-US"/>
        </w:rPr>
      </w:pPr>
    </w:p>
    <w:p w14:paraId="79C4CF3F" w14:textId="77777777" w:rsidR="00713C12" w:rsidRPr="00713C12" w:rsidRDefault="00713C12" w:rsidP="00713C12">
      <w:pPr>
        <w:pStyle w:val="NoSpacing"/>
        <w:ind w:firstLineChars="150" w:firstLine="331"/>
        <w:jc w:val="both"/>
        <w:rPr>
          <w:rFonts w:ascii="Times New Roman" w:hAnsi="Times New Roman" w:cs="Times New Roman"/>
          <w:b/>
          <w:bCs/>
          <w:lang w:val="en-US"/>
        </w:rPr>
      </w:pPr>
      <w:r w:rsidRPr="00713C12">
        <w:rPr>
          <w:rFonts w:ascii="Times New Roman" w:hAnsi="Times New Roman" w:cs="Times New Roman"/>
          <w:b/>
          <w:bCs/>
          <w:lang w:val="en-US"/>
        </w:rPr>
        <w:t>4.3. Final Ablation and Statistical Protocol</w:t>
      </w:r>
    </w:p>
    <w:p w14:paraId="0E4FA67D" w14:textId="77777777" w:rsidR="00713C12" w:rsidRPr="00713C12" w:rsidRDefault="00713C12" w:rsidP="00713C12">
      <w:pPr>
        <w:pStyle w:val="NoSpacing"/>
        <w:ind w:firstLineChars="150" w:firstLine="330"/>
        <w:jc w:val="both"/>
        <w:rPr>
          <w:rFonts w:ascii="Times New Roman" w:hAnsi="Times New Roman" w:cs="Times New Roman"/>
          <w:lang w:val="en-US"/>
        </w:rPr>
      </w:pPr>
      <w:r>
        <w:rPr>
          <w:b w:val="0"/>
          <w:color w:val="FF0000"/>
        </w:rPr>
        <w:t>Final evaluation used all 1,525 test images, four threat values, and five controller streams. Primary paired inference used 5,000 bootstrap resamples and 10,000 sign-flip permutations with Holm correction; independent-leakage comparisons used the same paired design (2,000 bootstrap resamples in the original leakage analysis), and Reviewer-2 effect-size summaries used 5,000 stratified macro-bootstrap resamples. PMC/controller p-values are interpreted only as evidence about internal policy behavior, not clinical or security efficacy. Ablations removed saliency, reliability, uncertainty, clinical prior, threat input, or stateful control; parameter sensitivity varied weights, thresholds (+/-0.05), hysteresis (0-0.10), and clinical priors without re-tuning on outcomes.</w:t>
      </w:r>
    </w:p>
    <w:p>
      <w:pPr>
        <w:pStyle w:val="NoSpacing"/>
        <w:jc w:val="both"/>
      </w:pPr>
      <w:r>
        <w:rPr>
          <w:b/>
          <w:color w:val="FF0000"/>
        </w:rPr>
        <w:t>4.4. Independent Attacker, Same-Condition Baselines, and Shift Stress Test</w:t>
      </w:r>
    </w:p>
    <w:p>
      <w:pPr>
        <w:pStyle w:val="NoSpacing"/>
        <w:jc w:val="both"/>
      </w:pPr>
      <w:r>
        <w:rPr>
          <w:b w:val="0"/>
          <w:color w:val="FF0000"/>
        </w:rPr>
        <w:t>The attacker is assumed to know the algorithm, image dimensions, tile grid, budget, protected locations, and all unprotected pixels, but not the AES key and without a decryption oracle or endpoint/key compromise. Its goal is diagnostic-class inference from visible content. A separate ImageNet-pretrained MobileNetV3-Small was trained per dataset and is never used to construct Grad-CAM, rank tiles, set budgets, or update the controller. At test time protected tiles are replaced by neutral RGB=127 as a proxy for unavailable plaintext; the attacker is non-adaptive (not retrained on masked views). Identity inference, metadata/traffic analysis, side channels, and cryptanalysis are outside scope.</w:t>
      </w:r>
    </w:p>
    <w:p>
      <w:pPr>
        <w:pStyle w:val="NoSpacing"/>
        <w:jc w:val="both"/>
      </w:pPr>
      <w:r>
        <w:rPr>
          <w:b w:val="0"/>
          <w:color w:val="FF0000"/>
        </w:rPr>
        <w:t>SRACR was compared at matched 25%, 50%, and 75% protected-pixel budgets with deterministic random selection, fixed center-ROI, grayscale content variance, a CAM priority map from the same ResNet-18, and a protocol-normalized LoG-ROI selector inspired by recent selective-encryption work [17,69-71]. The same images, splits, tiles, attacker, metrics, and AES-GCM execution path were used. Controlled internal distribution shift was tested on all held-out images using Gaussian blur (r=1.5), JPEG quality 40, and 50% downsample/restore, all distinct from the Q_S perturbations; classifier, saliency-ranking, and controller stability were then recomputed with the same threat values and stream orders.</w:t>
      </w:r>
    </w:p>
    <w:p>
      <w:pPr>
        <w:pStyle w:val="NoSpacing"/>
        <w:jc w:val="both"/>
      </w:pPr>
      <w:r>
        <w:rPr>
          <w:b w:val="0"/>
          <w:color w:val="FF0000"/>
        </w:rPr>
        <w:t>Residual attacker accuracy/macro-F1, true-class probability, and NLL are the attack-oriented endpoints; lower accuracy/F1/true-class probability and higher NLL indicate less recoverable diagnostic information under this attacker. Accuracy risk differences and mean-difference effect sizes are reported with confidence intervals. These experiments quantify residual diagnostic leakage and controlled internal robustness only; they are not cryptographic proofs, clinical validation, or external-site generalization.</w:t>
      </w:r>
    </w:p>
    <w:p>
      <w:r>
        <w:rPr>
          <w:b/>
          <w:color w:val="FF0000"/>
        </w:rPr>
        <w:t>4.5. Reproducibility and Audit Artifacts</w:t>
      </w:r>
    </w:p>
    <w:p>
      <w:r>
        <w:rPr>
          <w:b w:val="0"/>
          <w:color w:val="FF0000"/>
        </w:rPr>
        <w:t>The supplementary release preserves both exact numerical auditability and future deterministic recomputation. It includes source code/configuration; the 10,216-row split/hash/group manifest; clinical-prior and risk/controller settings; exact five stream orders for each dataset-threat combination (30,500 rows); the three archived v7.3 feature caches; 1,525 held-out predictions; 54,900 image-level ablation records; 274,500 stateful sequence-level controller records; and 21,350 independent-leakage records. File-level SHA-256 checksums and exact ResNet-18 checkpoints are supplied. Reported numbers remain tied to the archived v7.3 caches, while v7.3.2 explicitly fixes RNG state before stochastic saliency-cache rebuilding. Raw medical images are not redistributed; public identifiers and per-file hashes permit corpus verification.</w:t>
      </w:r>
    </w:p>
    <w:p w14:paraId="20B2D3F7" w14:textId="5994EEAD" w:rsidR="00713C12" w:rsidRPr="00713C12" w:rsidRDefault="00713C12" w:rsidP="00F43ED8">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sidRPr="00713C12">
        <w:rPr>
          <w:b/>
          <w:color w:val="auto"/>
        </w:rPr>
        <w:t>Results and Quantitative Analysis</w:t>
      </w:r>
    </w:p>
    <w:p w14:paraId="077A7A4F" w14:textId="77777777" w:rsidR="00713C12" w:rsidRPr="00713C12" w:rsidRDefault="00713C12" w:rsidP="00713C12">
      <w:pPr>
        <w:pStyle w:val="NoSpacing"/>
        <w:ind w:firstLineChars="150" w:firstLine="331"/>
        <w:jc w:val="both"/>
        <w:rPr>
          <w:rFonts w:ascii="Times New Roman" w:hAnsi="Times New Roman" w:cs="Times New Roman"/>
          <w:b/>
          <w:bCs/>
          <w:lang w:val="en-US"/>
        </w:rPr>
      </w:pPr>
      <w:r w:rsidRPr="00713C12">
        <w:rPr>
          <w:rFonts w:ascii="Times New Roman" w:hAnsi="Times New Roman" w:cs="Times New Roman"/>
          <w:b/>
          <w:bCs/>
          <w:lang w:val="en-US"/>
        </w:rPr>
        <w:t>5.1. Diagnostic Classifier Performance</w:t>
      </w:r>
    </w:p>
    <w:p w14:paraId="00B2D86F" w14:textId="77777777" w:rsidR="00713C12" w:rsidRPr="00713C12" w:rsidRDefault="00713C12" w:rsidP="00713C12">
      <w:pPr>
        <w:pStyle w:val="NoSpacing"/>
        <w:ind w:firstLineChars="150" w:firstLine="330"/>
        <w:jc w:val="both"/>
        <w:rPr>
          <w:rFonts w:ascii="Times New Roman" w:hAnsi="Times New Roman" w:cs="Times New Roman"/>
          <w:b/>
          <w:bCs/>
          <w:lang w:val="en-US"/>
        </w:rPr>
      </w:pPr>
      <w:r>
        <w:rPr>
          <w:b w:val="0"/>
          <w:color w:val="FF0000"/>
        </w:rPr>
        <w:t>Held-out classifier accuracy/macro-F1 was 92.21/92.10% for chest, 87.50/87.29% for retinal-11, and 91.46/91.28% for fundus-4; ECE ranged 0.0412-0.0539 (Table 1). These models provide the evidence stream for the security experiments and are not presented as clinical-grade diagnostic systems.</w:t>
      </w:r>
    </w:p>
    <w:p w14:paraId="3AB4E62A" w14:textId="77777777" w:rsidR="00713C12" w:rsidRPr="00713C12" w:rsidRDefault="00713C12" w:rsidP="00713C12">
      <w:pPr>
        <w:pStyle w:val="NoSpacing"/>
        <w:ind w:firstLineChars="150" w:firstLine="331"/>
        <w:jc w:val="both"/>
        <w:rPr>
          <w:rFonts w:ascii="Times New Roman" w:hAnsi="Times New Roman" w:cs="Times New Roman"/>
          <w:b/>
          <w:bCs/>
          <w:lang w:val="en-US"/>
        </w:rPr>
      </w:pPr>
      <w:r>
        <w:rPr>
          <w:b/>
          <w:color w:val="FF0000"/>
        </w:rPr>
        <w:t>5.2. Controller Response to Synthetic Threat</w:t>
      </w:r>
    </w:p>
    <w:p w14:paraId="48EEB019" w14:textId="77777777" w:rsidR="00713C12" w:rsidRPr="00713C12" w:rsidRDefault="00713C12" w:rsidP="00713C12">
      <w:pPr>
        <w:pStyle w:val="NoSpacing"/>
        <w:ind w:firstLineChars="150" w:firstLine="330"/>
        <w:jc w:val="both"/>
        <w:rPr>
          <w:rFonts w:ascii="Times New Roman" w:hAnsi="Times New Roman" w:cs="Times New Roman"/>
          <w:lang w:val="en-US"/>
        </w:rPr>
      </w:pPr>
      <w:r>
        <w:rPr>
          <w:b w:val="0"/>
          <w:color w:val="FF0000"/>
        </w:rPr>
        <w:t>The controller responded monotonically to the externally supplied synthetic threat signal (Table 2). Cross-dataset mean risk rose from 0.382098 at T=0.10 to 0.637098 at T=0.95; protected fraction increased from 50.13% to 63.38%, 74.25%, and finally 100%. Level 4 was forced at T=0.95, producing full protection and key rotation. CPU encryption latency increased descriptively from 50.08 ms to 95.19 ms. These results test controller responsiveness, not IDS accuracy or real-world threat detection.</w:t>
      </w:r>
    </w:p>
    <w:p>
      <w:r>
        <w:rPr>
          <w:b w:val="0"/>
          <w:color w:val="FF0000"/>
        </w:rPr>
        <w:t>Paired responsiveness analysis also separated the full controller from fixed-policy alternatives. Across chest, retinal-11, and fundus-4, the full system increased protection from T=0.10 to T=0.95 by about 50 percentage points more than either the no-threat or no-controller variants (dataset-level differences 49.4-50.9 pp; 95% CIs approximately 49.1-51.7; all Holm-adjusted p=0.0002). These tests quantify response to a controlled input sweep, not attack-detection performance.</w:t>
      </w:r>
    </w:p>
    <w:p w14:paraId="3F054CD8" w14:textId="77777777" w:rsidR="00F43ED8" w:rsidRDefault="00F43ED8" w:rsidP="00F43ED8">
      <w:pPr>
        <w:pStyle w:val="NoSpacing"/>
        <w:jc w:val="center"/>
        <w:rPr>
          <w:rFonts w:ascii="Times New Roman" w:hAnsi="Times New Roman" w:cs="Times New Roman"/>
          <w:sz w:val="20"/>
        </w:rPr>
        <w:sectPr w:rsidR="00F43ED8" w:rsidSect="00187DBA">
          <w:type w:val="continuous"/>
          <w:pgSz w:w="11906" w:h="16838" w:code="9"/>
          <w:pgMar w:top="1440" w:right="1080" w:bottom="1440" w:left="1080" w:header="850" w:footer="567" w:gutter="0"/>
          <w:cols w:num="2" w:space="432"/>
          <w:docGrid w:linePitch="360"/>
        </w:sectPr>
      </w:pPr>
    </w:p>
    <w:p w14:paraId="07E69CEE" w14:textId="3F912A01" w:rsidR="00713C12" w:rsidRPr="00713C12" w:rsidRDefault="00713C12" w:rsidP="00F43ED8">
      <w:pPr>
        <w:pStyle w:val="NoSpacing"/>
        <w:jc w:val="center"/>
        <w:rPr>
          <w:rFonts w:ascii="Times New Roman" w:hAnsi="Times New Roman" w:cs="Times New Roman"/>
          <w:sz w:val="20"/>
          <w:szCs w:val="20"/>
        </w:rPr>
      </w:pPr>
      <w:r>
        <w:rPr>
          <w:b w:val="0"/>
          <w:color w:val="FF0000"/>
        </w:rPr>
        <w:t>Table 2. Cross-dataset controller response on the held-out test sets.</w:t>
      </w:r>
    </w:p>
    <w:tbl>
      <w:tblPr>
        <w:tblStyle w:val="TableGrid"/>
        <w:tblW w:w="0" w:type="auto"/>
        <w:tblLook w:val="04A0" w:firstRow="1" w:lastRow="0" w:firstColumn="1" w:lastColumn="0" w:noHBand="0" w:noVBand="1"/>
      </w:tblPr>
      <w:tblGrid>
        <w:gridCol w:w="857"/>
        <w:gridCol w:w="1026"/>
        <w:gridCol w:w="1334"/>
        <w:gridCol w:w="1349"/>
        <w:gridCol w:w="1419"/>
        <w:gridCol w:w="1231"/>
        <w:gridCol w:w="1174"/>
        <w:gridCol w:w="1572"/>
      </w:tblGrid>
      <w:tr w:rsidR="00F43ED8" w:rsidRPr="00713C12" w14:paraId="6F31FBAC" w14:textId="77777777" w:rsidTr="00F43ED8">
        <w:tc>
          <w:tcPr>
            <w:tcW w:w="0" w:type="auto"/>
            <w:shd w:val="clear" w:color="auto" w:fill="EEECE1" w:themeFill="background2"/>
            <w:vAlign w:val="center"/>
          </w:tcPr>
          <w:p w14:paraId="351F14E1"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Threat T</w:t>
            </w:r>
          </w:p>
        </w:tc>
        <w:tc>
          <w:tcPr>
            <w:tcW w:w="0" w:type="auto"/>
            <w:shd w:val="clear" w:color="auto" w:fill="EEECE1" w:themeFill="background2"/>
            <w:vAlign w:val="center"/>
          </w:tcPr>
          <w:p w14:paraId="0470BAFB"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Global risk</w:t>
            </w:r>
          </w:p>
        </w:tc>
        <w:tc>
          <w:tcPr>
            <w:tcW w:w="0" w:type="auto"/>
            <w:shd w:val="clear" w:color="auto" w:fill="EEECE1" w:themeFill="background2"/>
            <w:vAlign w:val="center"/>
          </w:tcPr>
          <w:p w14:paraId="73C1EE58"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Mean controller level</w:t>
            </w:r>
          </w:p>
        </w:tc>
        <w:tc>
          <w:tcPr>
            <w:tcW w:w="0" w:type="auto"/>
            <w:shd w:val="clear" w:color="auto" w:fill="EEECE1" w:themeFill="background2"/>
            <w:vAlign w:val="center"/>
          </w:tcPr>
          <w:p w14:paraId="71E1AAE4"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Protected fraction (%)</w:t>
            </w:r>
          </w:p>
        </w:tc>
        <w:tc>
          <w:tcPr>
            <w:tcW w:w="0" w:type="auto"/>
            <w:shd w:val="clear" w:color="auto" w:fill="EEECE1" w:themeFill="background2"/>
            <w:vAlign w:val="center"/>
          </w:tcPr>
          <w:p w14:paraId="7965CFA8"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Priority-mass coverage (%)</w:t>
            </w:r>
          </w:p>
        </w:tc>
        <w:tc>
          <w:tcPr>
            <w:tcW w:w="0" w:type="auto"/>
            <w:shd w:val="clear" w:color="auto" w:fill="EEECE1" w:themeFill="background2"/>
            <w:vAlign w:val="center"/>
          </w:tcPr>
          <w:p w14:paraId="51DC5059"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Priority efficiency</w:t>
            </w:r>
          </w:p>
        </w:tc>
        <w:tc>
          <w:tcPr>
            <w:tcW w:w="0" w:type="auto"/>
            <w:shd w:val="clear" w:color="auto" w:fill="EEECE1" w:themeFill="background2"/>
            <w:vAlign w:val="center"/>
          </w:tcPr>
          <w:p w14:paraId="0C034AF7"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Key-rotation rate</w:t>
            </w:r>
          </w:p>
        </w:tc>
        <w:tc>
          <w:tcPr>
            <w:tcW w:w="0" w:type="auto"/>
            <w:shd w:val="clear" w:color="auto" w:fill="EEECE1" w:themeFill="background2"/>
            <w:vAlign w:val="center"/>
          </w:tcPr>
          <w:p w14:paraId="755F9708"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b/>
                <w:sz w:val="16"/>
                <w:szCs w:val="20"/>
                <w:lang w:val="en-US"/>
              </w:rPr>
              <w:t>CPU encryption latency (</w:t>
            </w:r>
            <w:proofErr w:type="spellStart"/>
            <w:r w:rsidRPr="00713C12">
              <w:rPr>
                <w:rFonts w:ascii="Times New Roman" w:hAnsi="Times New Roman" w:cs="Times New Roman"/>
                <w:b/>
                <w:sz w:val="16"/>
                <w:szCs w:val="20"/>
                <w:lang w:val="en-US"/>
              </w:rPr>
              <w:t>ms</w:t>
            </w:r>
            <w:proofErr w:type="spellEnd"/>
            <w:r w:rsidRPr="00713C12">
              <w:rPr>
                <w:rFonts w:ascii="Times New Roman" w:hAnsi="Times New Roman" w:cs="Times New Roman"/>
                <w:b/>
                <w:sz w:val="16"/>
                <w:szCs w:val="20"/>
                <w:lang w:val="en-US"/>
              </w:rPr>
              <w:t>)</w:t>
            </w:r>
          </w:p>
        </w:tc>
      </w:tr>
      <w:tr w:rsidR="00713C12" w:rsidRPr="00713C12" w14:paraId="076EAE47" w14:textId="77777777" w:rsidTr="00F43ED8">
        <w:tc>
          <w:tcPr>
            <w:tcW w:w="0" w:type="auto"/>
            <w:vAlign w:val="center"/>
          </w:tcPr>
          <w:p w14:paraId="6B90F9BB"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0.10</w:t>
            </w:r>
          </w:p>
        </w:tc>
        <w:tc>
          <w:tcPr>
            <w:tcW w:w="0" w:type="auto"/>
            <w:vAlign w:val="center"/>
          </w:tcPr>
          <w:p w14:paraId="33C96BB4"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0.382098</w:t>
            </w:r>
          </w:p>
        </w:tc>
        <w:tc>
          <w:tcPr>
            <w:tcW w:w="0" w:type="auto"/>
            <w:vAlign w:val="center"/>
          </w:tcPr>
          <w:p w14:paraId="51359A1A"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2.005</w:t>
            </w:r>
          </w:p>
        </w:tc>
        <w:tc>
          <w:tcPr>
            <w:tcW w:w="0" w:type="auto"/>
            <w:vAlign w:val="center"/>
          </w:tcPr>
          <w:p w14:paraId="1065BCC0"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50.13</w:t>
            </w:r>
          </w:p>
        </w:tc>
        <w:tc>
          <w:tcPr>
            <w:tcW w:w="0" w:type="auto"/>
            <w:vAlign w:val="center"/>
          </w:tcPr>
          <w:p w14:paraId="2A06DB68"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86.75</w:t>
            </w:r>
          </w:p>
        </w:tc>
        <w:tc>
          <w:tcPr>
            <w:tcW w:w="0" w:type="auto"/>
            <w:vAlign w:val="center"/>
          </w:tcPr>
          <w:p w14:paraId="641BED76"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1.733</w:t>
            </w:r>
          </w:p>
        </w:tc>
        <w:tc>
          <w:tcPr>
            <w:tcW w:w="0" w:type="auto"/>
            <w:vAlign w:val="center"/>
          </w:tcPr>
          <w:p w14:paraId="1E71A90D"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0.000000</w:t>
            </w:r>
          </w:p>
        </w:tc>
        <w:tc>
          <w:tcPr>
            <w:tcW w:w="0" w:type="auto"/>
            <w:vAlign w:val="center"/>
          </w:tcPr>
          <w:p w14:paraId="096F21C1"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50.08</w:t>
            </w:r>
          </w:p>
        </w:tc>
      </w:tr>
      <w:tr w:rsidR="00713C12" w:rsidRPr="00713C12" w14:paraId="43BE5C7E" w14:textId="77777777" w:rsidTr="00F43ED8">
        <w:tc>
          <w:tcPr>
            <w:tcW w:w="0" w:type="auto"/>
            <w:vAlign w:val="center"/>
          </w:tcPr>
          <w:p w14:paraId="3C208002"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0.40</w:t>
            </w:r>
          </w:p>
        </w:tc>
        <w:tc>
          <w:tcPr>
            <w:tcW w:w="0" w:type="auto"/>
            <w:vAlign w:val="center"/>
          </w:tcPr>
          <w:p w14:paraId="45DB98A1"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0.472098</w:t>
            </w:r>
          </w:p>
        </w:tc>
        <w:tc>
          <w:tcPr>
            <w:tcW w:w="0" w:type="auto"/>
            <w:vAlign w:val="center"/>
          </w:tcPr>
          <w:p w14:paraId="147B3268"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2.535</w:t>
            </w:r>
          </w:p>
        </w:tc>
        <w:tc>
          <w:tcPr>
            <w:tcW w:w="0" w:type="auto"/>
            <w:vAlign w:val="center"/>
          </w:tcPr>
          <w:p w14:paraId="5549720F"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63.38</w:t>
            </w:r>
          </w:p>
        </w:tc>
        <w:tc>
          <w:tcPr>
            <w:tcW w:w="0" w:type="auto"/>
            <w:vAlign w:val="center"/>
          </w:tcPr>
          <w:p w14:paraId="7DA97EB7"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92.45</w:t>
            </w:r>
          </w:p>
        </w:tc>
        <w:tc>
          <w:tcPr>
            <w:tcW w:w="0" w:type="auto"/>
            <w:vAlign w:val="center"/>
          </w:tcPr>
          <w:p w14:paraId="6A6F2771"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1.503</w:t>
            </w:r>
          </w:p>
        </w:tc>
        <w:tc>
          <w:tcPr>
            <w:tcW w:w="0" w:type="auto"/>
            <w:vAlign w:val="center"/>
          </w:tcPr>
          <w:p w14:paraId="454908B8"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0.000000</w:t>
            </w:r>
          </w:p>
        </w:tc>
        <w:tc>
          <w:tcPr>
            <w:tcW w:w="0" w:type="auto"/>
            <w:vAlign w:val="center"/>
          </w:tcPr>
          <w:p w14:paraId="1DE05F8D"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57.51</w:t>
            </w:r>
          </w:p>
        </w:tc>
      </w:tr>
      <w:tr w:rsidR="00713C12" w:rsidRPr="00713C12" w14:paraId="7AAA0162" w14:textId="77777777" w:rsidTr="00F43ED8">
        <w:tc>
          <w:tcPr>
            <w:tcW w:w="0" w:type="auto"/>
            <w:vAlign w:val="center"/>
          </w:tcPr>
          <w:p w14:paraId="78EF376B"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0.70</w:t>
            </w:r>
          </w:p>
        </w:tc>
        <w:tc>
          <w:tcPr>
            <w:tcW w:w="0" w:type="auto"/>
            <w:vAlign w:val="center"/>
          </w:tcPr>
          <w:p w14:paraId="0C2E086C"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0.562098</w:t>
            </w:r>
          </w:p>
        </w:tc>
        <w:tc>
          <w:tcPr>
            <w:tcW w:w="0" w:type="auto"/>
            <w:vAlign w:val="center"/>
          </w:tcPr>
          <w:p w14:paraId="5D05D726"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2.970</w:t>
            </w:r>
          </w:p>
        </w:tc>
        <w:tc>
          <w:tcPr>
            <w:tcW w:w="0" w:type="auto"/>
            <w:vAlign w:val="center"/>
          </w:tcPr>
          <w:p w14:paraId="441BA452"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74.25</w:t>
            </w:r>
          </w:p>
        </w:tc>
        <w:tc>
          <w:tcPr>
            <w:tcW w:w="0" w:type="auto"/>
            <w:vAlign w:val="center"/>
          </w:tcPr>
          <w:p w14:paraId="737BBD9F"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97.23</w:t>
            </w:r>
          </w:p>
        </w:tc>
        <w:tc>
          <w:tcPr>
            <w:tcW w:w="0" w:type="auto"/>
            <w:vAlign w:val="center"/>
          </w:tcPr>
          <w:p w14:paraId="6D2662D0"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1.314</w:t>
            </w:r>
          </w:p>
        </w:tc>
        <w:tc>
          <w:tcPr>
            <w:tcW w:w="0" w:type="auto"/>
            <w:vAlign w:val="center"/>
          </w:tcPr>
          <w:p w14:paraId="74A9AEAF"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0.000527</w:t>
            </w:r>
          </w:p>
        </w:tc>
        <w:tc>
          <w:tcPr>
            <w:tcW w:w="0" w:type="auto"/>
            <w:vAlign w:val="center"/>
          </w:tcPr>
          <w:p w14:paraId="2C9F69C9"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66.80</w:t>
            </w:r>
          </w:p>
        </w:tc>
      </w:tr>
      <w:tr w:rsidR="00713C12" w:rsidRPr="00713C12" w14:paraId="1A395E4A" w14:textId="77777777" w:rsidTr="00F43ED8">
        <w:tc>
          <w:tcPr>
            <w:tcW w:w="0" w:type="auto"/>
            <w:vAlign w:val="center"/>
          </w:tcPr>
          <w:p w14:paraId="670403BC"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0.95</w:t>
            </w:r>
          </w:p>
        </w:tc>
        <w:tc>
          <w:tcPr>
            <w:tcW w:w="0" w:type="auto"/>
            <w:vAlign w:val="center"/>
          </w:tcPr>
          <w:p w14:paraId="20103C4F"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0.637098</w:t>
            </w:r>
          </w:p>
        </w:tc>
        <w:tc>
          <w:tcPr>
            <w:tcW w:w="0" w:type="auto"/>
            <w:vAlign w:val="center"/>
          </w:tcPr>
          <w:p w14:paraId="29E66397"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4.000</w:t>
            </w:r>
          </w:p>
        </w:tc>
        <w:tc>
          <w:tcPr>
            <w:tcW w:w="0" w:type="auto"/>
            <w:vAlign w:val="center"/>
          </w:tcPr>
          <w:p w14:paraId="068756E0"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100.00</w:t>
            </w:r>
          </w:p>
        </w:tc>
        <w:tc>
          <w:tcPr>
            <w:tcW w:w="0" w:type="auto"/>
            <w:vAlign w:val="center"/>
          </w:tcPr>
          <w:p w14:paraId="111C79A3"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100.00</w:t>
            </w:r>
          </w:p>
        </w:tc>
        <w:tc>
          <w:tcPr>
            <w:tcW w:w="0" w:type="auto"/>
            <w:vAlign w:val="center"/>
          </w:tcPr>
          <w:p w14:paraId="0C7326C7"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1.000</w:t>
            </w:r>
          </w:p>
        </w:tc>
        <w:tc>
          <w:tcPr>
            <w:tcW w:w="0" w:type="auto"/>
            <w:vAlign w:val="center"/>
          </w:tcPr>
          <w:p w14:paraId="38A35B7D"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1.000000</w:t>
            </w:r>
          </w:p>
        </w:tc>
        <w:tc>
          <w:tcPr>
            <w:tcW w:w="0" w:type="auto"/>
            <w:vAlign w:val="center"/>
          </w:tcPr>
          <w:p w14:paraId="6DF990EA" w14:textId="77777777" w:rsidR="00713C12" w:rsidRPr="00713C12" w:rsidRDefault="00713C12" w:rsidP="00F43ED8">
            <w:pPr>
              <w:pStyle w:val="NoSpacing"/>
              <w:spacing w:after="0"/>
              <w:jc w:val="center"/>
              <w:rPr>
                <w:rFonts w:ascii="Times New Roman" w:hAnsi="Times New Roman" w:cs="Times New Roman"/>
                <w:sz w:val="20"/>
                <w:szCs w:val="20"/>
                <w:lang w:val="en-US"/>
              </w:rPr>
            </w:pPr>
            <w:r w:rsidRPr="00713C12">
              <w:rPr>
                <w:rFonts w:ascii="Times New Roman" w:hAnsi="Times New Roman" w:cs="Times New Roman"/>
                <w:sz w:val="16"/>
                <w:szCs w:val="20"/>
                <w:lang w:val="en-US"/>
              </w:rPr>
              <w:t>95.19</w:t>
            </w:r>
          </w:p>
        </w:tc>
      </w:tr>
    </w:tbl>
    <w:p w14:paraId="46B0A82D" w14:textId="77777777" w:rsidR="00F43ED8" w:rsidRDefault="00F43ED8" w:rsidP="00713C12">
      <w:pPr>
        <w:pStyle w:val="NoSpacing"/>
        <w:ind w:firstLineChars="150" w:firstLine="330"/>
        <w:jc w:val="both"/>
        <w:rPr>
          <w:rFonts w:ascii="Times New Roman" w:hAnsi="Times New Roman" w:cs="Times New Roman"/>
          <w:lang w:val="en-US"/>
        </w:rPr>
        <w:sectPr w:rsidR="00F43ED8" w:rsidSect="00F43ED8">
          <w:type w:val="continuous"/>
          <w:pgSz w:w="11906" w:h="16838" w:code="9"/>
          <w:pgMar w:top="1440" w:right="1080" w:bottom="1440" w:left="1080" w:header="850" w:footer="567" w:gutter="0"/>
          <w:cols w:space="432"/>
          <w:docGrid w:linePitch="360"/>
        </w:sectPr>
      </w:pPr>
    </w:p>
    <w:p w14:paraId="25E30B56" w14:textId="4961C433" w:rsidR="00713C12" w:rsidRPr="00713C12" w:rsidRDefault="00713C12" w:rsidP="00713C12">
      <w:pPr>
        <w:pStyle w:val="NoSpacing"/>
        <w:ind w:firstLineChars="150" w:firstLine="330"/>
        <w:jc w:val="both"/>
        <w:rPr>
          <w:rFonts w:ascii="Times New Roman" w:hAnsi="Times New Roman" w:cs="Times New Roman"/>
          <w:lang w:val="en-US"/>
        </w:rPr>
      </w:pPr>
    </w:p>
    <w:p w14:paraId="08FE6AA6" w14:textId="77777777" w:rsidR="00713C12" w:rsidRPr="00713C12" w:rsidRDefault="00713C12" w:rsidP="00713C12">
      <w:pPr>
        <w:pStyle w:val="NoSpacing"/>
        <w:ind w:firstLineChars="150" w:firstLine="331"/>
        <w:jc w:val="both"/>
        <w:rPr>
          <w:rFonts w:ascii="Times New Roman" w:hAnsi="Times New Roman" w:cs="Times New Roman"/>
          <w:b/>
          <w:bCs/>
          <w:lang w:val="en-US"/>
        </w:rPr>
      </w:pPr>
      <w:r>
        <w:rPr>
          <w:b/>
          <w:color w:val="FF0000"/>
        </w:rPr>
        <w:t>5.3. Ablation and Parameter Sensitivity</w:t>
      </w:r>
    </w:p>
    <w:p w14:paraId="234E2092" w14:textId="77777777" w:rsidR="00713C12" w:rsidRPr="00713C12" w:rsidRDefault="00713C12" w:rsidP="00713C12">
      <w:pPr>
        <w:pStyle w:val="NoSpacing"/>
        <w:ind w:firstLineChars="150" w:firstLine="330"/>
        <w:jc w:val="both"/>
        <w:rPr>
          <w:rFonts w:ascii="Times New Roman" w:hAnsi="Times New Roman" w:cs="Times New Roman"/>
          <w:lang w:val="en-US"/>
        </w:rPr>
      </w:pPr>
      <w:r>
        <w:rPr>
          <w:b w:val="0"/>
          <w:color w:val="FF0000"/>
        </w:rPr>
        <w:t>Matched-budget PMC at T=0.40 was 92.45% for SRACR versus 63.45% for random selection, confirming concentration on the framework's own priority map; because PMC is coupled to that map, this is an internal behavior check only. Removing saliency reduced cross-dataset PMC at T=0.40 to 62.97%, while removing the controller held protection near 50% instead of escalating to 100% at T=0.95; fixing threat at 0.40 likewise prevented the full escalation. Reliability, uncertainty, and clinical-prior ablations produced smaller or mixed effects. Full paired matrices and Holm-corrected tests are provided in the supplement.</w:t>
      </w:r>
    </w:p>
    <w:p>
      <w:r>
        <w:rPr>
          <w:b w:val="0"/>
          <w:color w:val="FF0000"/>
        </w:rPr>
        <w:t>Table 3. Compact ablation summary (cross-dataset macro means).</w:t>
      </w:r>
    </w:p>
    <w:tbl>
      <w:tblPr>
        <w:tblStyle w:val="TableGrid"/>
        <w:tblW w:type="auto" w:w="0"/>
        <w:tblLayout w:type="fixed"/>
        <w:tblLook w:firstColumn="1" w:firstRow="1" w:lastColumn="0" w:lastRow="0" w:noHBand="0" w:noVBand="1" w:val="04A0"/>
      </w:tblPr>
      <w:tblGrid>
        <w:gridCol w:w="1181"/>
        <w:gridCol w:w="792"/>
        <w:gridCol w:w="720"/>
        <w:gridCol w:w="1512"/>
      </w:tblGrid>
      <w:tr>
        <w:tc>
          <w:tcPr>
            <w:tcW w:type="dxa" w:w="1181"/>
          </w:tcPr>
          <w:p>
            <w:pPr>
              <w:spacing w:after="0"/>
            </w:pPr>
            <w:r>
              <w:rPr>
                <w:color w:val="FF0000"/>
                <w:sz w:val="14"/>
              </w:rPr>
              <w:t>Condition</w:t>
            </w:r>
          </w:p>
        </w:tc>
        <w:tc>
          <w:tcPr>
            <w:tcW w:type="dxa" w:w="792"/>
          </w:tcPr>
          <w:p>
            <w:pPr>
              <w:spacing w:after="0"/>
            </w:pPr>
            <w:r>
              <w:rPr>
                <w:color w:val="FF0000"/>
                <w:sz w:val="14"/>
              </w:rPr>
              <w:t>Protected %</w:t>
            </w:r>
          </w:p>
        </w:tc>
        <w:tc>
          <w:tcPr>
            <w:tcW w:type="dxa" w:w="720"/>
          </w:tcPr>
          <w:p>
            <w:pPr>
              <w:spacing w:after="0"/>
            </w:pPr>
            <w:r>
              <w:rPr>
                <w:color w:val="FF0000"/>
                <w:sz w:val="14"/>
              </w:rPr>
              <w:t>PMC %</w:t>
            </w:r>
          </w:p>
        </w:tc>
        <w:tc>
          <w:tcPr>
            <w:tcW w:type="dxa" w:w="1512"/>
          </w:tcPr>
          <w:p>
            <w:pPr>
              <w:spacing w:after="0"/>
            </w:pPr>
            <w:r>
              <w:rPr>
                <w:color w:val="FF0000"/>
                <w:sz w:val="14"/>
              </w:rPr>
              <w:t>Main implication</w:t>
            </w:r>
          </w:p>
        </w:tc>
      </w:tr>
      <w:tr>
        <w:tc>
          <w:tcPr>
            <w:tcW w:type="dxa" w:w="1181"/>
          </w:tcPr>
          <w:p>
            <w:pPr>
              <w:spacing w:after="0"/>
            </w:pPr>
            <w:r>
              <w:rPr>
                <w:color w:val="FF0000"/>
                <w:sz w:val="14"/>
              </w:rPr>
              <w:t>Full, T=.40</w:t>
            </w:r>
          </w:p>
        </w:tc>
        <w:tc>
          <w:tcPr>
            <w:tcW w:type="dxa" w:w="792"/>
          </w:tcPr>
          <w:p>
            <w:pPr>
              <w:spacing w:after="0"/>
            </w:pPr>
            <w:r>
              <w:rPr>
                <w:color w:val="FF0000"/>
                <w:sz w:val="14"/>
              </w:rPr>
              <w:t>63.38</w:t>
            </w:r>
          </w:p>
        </w:tc>
        <w:tc>
          <w:tcPr>
            <w:tcW w:type="dxa" w:w="720"/>
          </w:tcPr>
          <w:p>
            <w:pPr>
              <w:spacing w:after="0"/>
            </w:pPr>
            <w:r>
              <w:rPr>
                <w:color w:val="FF0000"/>
                <w:sz w:val="14"/>
              </w:rPr>
              <w:t>92.45</w:t>
            </w:r>
          </w:p>
        </w:tc>
        <w:tc>
          <w:tcPr>
            <w:tcW w:type="dxa" w:w="1512"/>
          </w:tcPr>
          <w:p>
            <w:pPr>
              <w:spacing w:after="0"/>
            </w:pPr>
            <w:r>
              <w:rPr>
                <w:color w:val="FF0000"/>
                <w:sz w:val="14"/>
              </w:rPr>
              <w:t>reference</w:t>
            </w:r>
          </w:p>
        </w:tc>
      </w:tr>
      <w:tr>
        <w:tc>
          <w:tcPr>
            <w:tcW w:type="dxa" w:w="1181"/>
          </w:tcPr>
          <w:p>
            <w:pPr>
              <w:spacing w:after="0"/>
            </w:pPr>
            <w:r>
              <w:rPr>
                <w:color w:val="FF0000"/>
                <w:sz w:val="14"/>
              </w:rPr>
              <w:t>Random, T=.40</w:t>
            </w:r>
          </w:p>
        </w:tc>
        <w:tc>
          <w:tcPr>
            <w:tcW w:type="dxa" w:w="792"/>
          </w:tcPr>
          <w:p>
            <w:pPr>
              <w:spacing w:after="0"/>
            </w:pPr>
            <w:r>
              <w:rPr>
                <w:color w:val="FF0000"/>
                <w:sz w:val="14"/>
              </w:rPr>
              <w:t>63.38</w:t>
            </w:r>
          </w:p>
        </w:tc>
        <w:tc>
          <w:tcPr>
            <w:tcW w:type="dxa" w:w="720"/>
          </w:tcPr>
          <w:p>
            <w:pPr>
              <w:spacing w:after="0"/>
            </w:pPr>
            <w:r>
              <w:rPr>
                <w:color w:val="FF0000"/>
                <w:sz w:val="14"/>
              </w:rPr>
              <w:t>63.45</w:t>
            </w:r>
          </w:p>
        </w:tc>
        <w:tc>
          <w:tcPr>
            <w:tcW w:type="dxa" w:w="1512"/>
          </w:tcPr>
          <w:p>
            <w:pPr>
              <w:spacing w:after="0"/>
            </w:pPr>
            <w:r>
              <w:rPr>
                <w:color w:val="FF0000"/>
                <w:sz w:val="14"/>
              </w:rPr>
              <w:t>ranking vs chance</w:t>
            </w:r>
          </w:p>
        </w:tc>
      </w:tr>
      <w:tr>
        <w:tc>
          <w:tcPr>
            <w:tcW w:type="dxa" w:w="1181"/>
          </w:tcPr>
          <w:p>
            <w:pPr>
              <w:spacing w:after="0"/>
            </w:pPr>
            <w:r>
              <w:rPr>
                <w:color w:val="FF0000"/>
                <w:sz w:val="14"/>
              </w:rPr>
              <w:t>No saliency, T=.40</w:t>
            </w:r>
          </w:p>
        </w:tc>
        <w:tc>
          <w:tcPr>
            <w:tcW w:type="dxa" w:w="792"/>
          </w:tcPr>
          <w:p>
            <w:pPr>
              <w:spacing w:after="0"/>
            </w:pPr>
            <w:r>
              <w:rPr>
                <w:color w:val="FF0000"/>
                <w:sz w:val="14"/>
              </w:rPr>
              <w:t>62.90</w:t>
            </w:r>
          </w:p>
        </w:tc>
        <w:tc>
          <w:tcPr>
            <w:tcW w:type="dxa" w:w="720"/>
          </w:tcPr>
          <w:p>
            <w:pPr>
              <w:spacing w:after="0"/>
            </w:pPr>
            <w:r>
              <w:rPr>
                <w:color w:val="FF0000"/>
                <w:sz w:val="14"/>
              </w:rPr>
              <w:t>62.97</w:t>
            </w:r>
          </w:p>
        </w:tc>
        <w:tc>
          <w:tcPr>
            <w:tcW w:type="dxa" w:w="1512"/>
          </w:tcPr>
          <w:p>
            <w:pPr>
              <w:spacing w:after="0"/>
            </w:pPr>
            <w:r>
              <w:rPr>
                <w:color w:val="FF0000"/>
                <w:sz w:val="14"/>
              </w:rPr>
              <w:t>spatial evidence removed</w:t>
            </w:r>
          </w:p>
        </w:tc>
      </w:tr>
      <w:tr>
        <w:tc>
          <w:tcPr>
            <w:tcW w:type="dxa" w:w="1181"/>
          </w:tcPr>
          <w:p>
            <w:pPr>
              <w:spacing w:after="0"/>
            </w:pPr>
            <w:r>
              <w:rPr>
                <w:color w:val="FF0000"/>
                <w:sz w:val="14"/>
              </w:rPr>
              <w:t>No controller, T=.70</w:t>
            </w:r>
          </w:p>
        </w:tc>
        <w:tc>
          <w:tcPr>
            <w:tcW w:type="dxa" w:w="792"/>
          </w:tcPr>
          <w:p>
            <w:pPr>
              <w:spacing w:after="0"/>
            </w:pPr>
            <w:r>
              <w:rPr>
                <w:color w:val="FF0000"/>
                <w:sz w:val="14"/>
              </w:rPr>
              <w:t>50.01</w:t>
            </w:r>
          </w:p>
        </w:tc>
        <w:tc>
          <w:tcPr>
            <w:tcW w:type="dxa" w:w="720"/>
          </w:tcPr>
          <w:p>
            <w:pPr>
              <w:spacing w:after="0"/>
            </w:pPr>
            <w:r>
              <w:rPr>
                <w:color w:val="FF0000"/>
                <w:sz w:val="14"/>
              </w:rPr>
              <w:t>86.77</w:t>
            </w:r>
          </w:p>
        </w:tc>
        <w:tc>
          <w:tcPr>
            <w:tcW w:type="dxa" w:w="1512"/>
          </w:tcPr>
          <w:p>
            <w:pPr>
              <w:spacing w:after="0"/>
            </w:pPr>
            <w:r>
              <w:rPr>
                <w:color w:val="FF0000"/>
                <w:sz w:val="14"/>
              </w:rPr>
              <w:t>no adaptive budget</w:t>
            </w:r>
          </w:p>
        </w:tc>
      </w:tr>
      <w:tr>
        <w:tc>
          <w:tcPr>
            <w:tcW w:type="dxa" w:w="1181"/>
          </w:tcPr>
          <w:p>
            <w:pPr>
              <w:spacing w:after="0"/>
            </w:pPr>
            <w:r>
              <w:rPr>
                <w:color w:val="FF0000"/>
                <w:sz w:val="14"/>
              </w:rPr>
              <w:t>No threat, T=.95</w:t>
            </w:r>
          </w:p>
        </w:tc>
        <w:tc>
          <w:tcPr>
            <w:tcW w:type="dxa" w:w="792"/>
          </w:tcPr>
          <w:p>
            <w:pPr>
              <w:spacing w:after="0"/>
            </w:pPr>
            <w:r>
              <w:rPr>
                <w:color w:val="FF0000"/>
                <w:sz w:val="14"/>
              </w:rPr>
              <w:t>62.91</w:t>
            </w:r>
          </w:p>
        </w:tc>
        <w:tc>
          <w:tcPr>
            <w:tcW w:type="dxa" w:w="720"/>
          </w:tcPr>
          <w:p>
            <w:pPr>
              <w:spacing w:after="0"/>
            </w:pPr>
            <w:r>
              <w:rPr>
                <w:color w:val="FF0000"/>
                <w:sz w:val="14"/>
              </w:rPr>
              <w:t>92.34</w:t>
            </w:r>
          </w:p>
        </w:tc>
        <w:tc>
          <w:tcPr>
            <w:tcW w:type="dxa" w:w="1512"/>
          </w:tcPr>
          <w:p>
            <w:pPr>
              <w:spacing w:after="0"/>
            </w:pPr>
            <w:r>
              <w:rPr>
                <w:color w:val="FF0000"/>
                <w:sz w:val="14"/>
              </w:rPr>
              <w:t>no escalation</w:t>
            </w:r>
          </w:p>
        </w:tc>
      </w:tr>
      <w:tr>
        <w:tc>
          <w:tcPr>
            <w:tcW w:type="dxa" w:w="1181"/>
          </w:tcPr>
          <w:p>
            <w:pPr>
              <w:spacing w:after="0"/>
            </w:pPr>
            <w:r>
              <w:rPr>
                <w:color w:val="FF0000"/>
                <w:sz w:val="14"/>
              </w:rPr>
              <w:t>Full, T=.95</w:t>
            </w:r>
          </w:p>
        </w:tc>
        <w:tc>
          <w:tcPr>
            <w:tcW w:type="dxa" w:w="792"/>
          </w:tcPr>
          <w:p>
            <w:pPr>
              <w:spacing w:after="0"/>
            </w:pPr>
            <w:r>
              <w:rPr>
                <w:color w:val="FF0000"/>
                <w:sz w:val="14"/>
              </w:rPr>
              <w:t>100.00</w:t>
            </w:r>
          </w:p>
        </w:tc>
        <w:tc>
          <w:tcPr>
            <w:tcW w:type="dxa" w:w="720"/>
          </w:tcPr>
          <w:p>
            <w:pPr>
              <w:spacing w:after="0"/>
            </w:pPr>
            <w:r>
              <w:rPr>
                <w:color w:val="FF0000"/>
                <w:sz w:val="14"/>
              </w:rPr>
              <w:t>100.00</w:t>
            </w:r>
          </w:p>
        </w:tc>
        <w:tc>
          <w:tcPr>
            <w:tcW w:type="dxa" w:w="1512"/>
          </w:tcPr>
          <w:p>
            <w:pPr>
              <w:spacing w:after="0"/>
            </w:pPr>
            <w:r>
              <w:rPr>
                <w:color w:val="FF0000"/>
                <w:sz w:val="14"/>
              </w:rPr>
              <w:t>critical-state protection</w:t>
            </w:r>
          </w:p>
        </w:tc>
      </w:tr>
    </w:tbl>
    <w:p>
      <w:r>
        <w:rPr>
          <w:b w:val="0"/>
          <w:color w:val="FF0000"/>
        </w:rPr>
        <w:t>Sensitivity analysis showed that exact protection fractions depend on hand-specified parameters but the qualitative escalation rule was stable: all tested weight, threshold, hysteresis, and clinical-prior alternatives remained monotonic with T and reached 100% protection at T=0.95. At T=0.40, cross-dataset protection ranged 56.33-66.39% across weight alternatives, 53.54-69.25% for threshold shifts, 58.23-64.60% for h=0-0.10, and 57.59-67.08% for clinical-prior alternatives. Thus the controller is reproducible but not parameter-free or clinically calibrated.</w:t>
      </w:r>
    </w:p>
    <w:p>
      <w:r>
        <w:rPr>
          <w:b w:val="0"/>
          <w:color w:val="FF0000"/>
        </w:rPr>
        <w:t>Across weight alternatives, protected fraction ranged 48.96-52.37%, 56.33-66.39%, and 68.12-75.54% at T=0.10/0.40/0.70; joint threshold shifts produced 44.87-55.12%, 53.54-69.25%, and 68.85-77.13%. Hysteresis and clinical-prior alternatives were narrower. These ranges are reported to expose operating-point dependence rather than to imply parameter optimality.</w:t>
      </w:r>
    </w:p>
    <w:p w14:paraId="1C969AB7" w14:textId="77777777" w:rsidR="00444049" w:rsidRPr="00713C12" w:rsidRDefault="00444049" w:rsidP="00444049">
      <w:pPr>
        <w:pStyle w:val="NoSpacing"/>
        <w:ind w:firstLineChars="150" w:firstLine="331"/>
        <w:jc w:val="both"/>
        <w:rPr>
          <w:rFonts w:ascii="Times New Roman" w:hAnsi="Times New Roman" w:cs="Times New Roman"/>
          <w:b/>
          <w:bCs/>
          <w:lang w:val="en-US"/>
        </w:rPr>
      </w:pPr>
      <w:r>
        <w:rPr>
          <w:b/>
          <w:color w:val="FF0000"/>
        </w:rPr>
        <w:t>5.4. Independent Leakage, Baselines, and Security Boundary</w:t>
      </w:r>
    </w:p>
    <w:p w14:paraId="34F7AC37" w14:textId="58BA2510" w:rsidR="00444049" w:rsidRPr="00713C12" w:rsidRDefault="00444049" w:rsidP="00444049">
      <w:pPr>
        <w:pStyle w:val="NoSpacing"/>
        <w:jc w:val="both"/>
        <w:rPr>
          <w:rFonts w:ascii="Times New Roman" w:hAnsi="Times New Roman" w:cs="Times New Roman"/>
          <w:lang w:val="en-US"/>
        </w:rPr>
      </w:pPr>
      <w:r>
        <w:rPr>
          <w:b w:val="0"/>
          <w:color w:val="FF0000"/>
        </w:rPr>
        <w:t>AES-256-GCM round trips were lossless and post-decryption predictions/probabilities were unchanged, establishing implementation correctness only. Selective modes with rho&lt;1 deliberately leave plaintext pixels visible and therefore are not full-image confidentiality.</w:t>
      </w:r>
    </w:p>
    <w:p>
      <w:pPr>
        <w:pStyle w:val="NoSpacing"/>
        <w:jc w:val="both"/>
      </w:pPr>
      <w:r>
        <w:rPr>
          <w:b w:val="0"/>
          <w:color w:val="FF0000"/>
        </w:rPr>
        <w:t>The independent attacker achieved 86.25% cross-dataset macro accuracy on unprotected images. Under SRACR, residual accuracy fell to 52.50%, 40.92%, and 30.95% at 25%, 50%, and 75% protection, respectively; paired reductions versus unprotected were 33.76 pp (95% CI 30.19-37.49), 45.34 pp (41.64-49.34), and 55.31 pp (50.93-59.77). A 100% neutral-mask sanity condition yielded 24.93% accuracy, interpreted as classifier/prior bias rather than pixel leakage. These nonzero selective-mode accuracies directly show that rho&lt;1 does not provide full-image confidentiality.</w:t>
      </w:r>
    </w:p>
    <w:p>
      <w:r>
        <w:rPr>
          <w:color w:val="FF0000"/>
        </w:rPr>
        <w:t>Table 4. Same-condition residual attacker accuracy (%) at matched protected-pixel budgets; lower is less recoverable diagnostic information.</w:t>
      </w:r>
    </w:p>
    <w:tbl>
      <w:tblPr>
        <w:tblStyle w:val="TableGrid"/>
        <w:tblW w:type="auto" w:w="0"/>
        <w:tblLayout w:type="fixed"/>
        <w:tblLook w:firstColumn="1" w:firstRow="1" w:lastColumn="0" w:lastRow="0" w:noHBand="0" w:noVBand="1" w:val="04A0"/>
      </w:tblPr>
      <w:tblGrid>
        <w:gridCol w:w="2232"/>
        <w:gridCol w:w="1944"/>
      </w:tblGrid>
      <w:tr>
        <w:tc>
          <w:tcPr>
            <w:tcW w:type="dxa" w:w="2232"/>
          </w:tcPr>
          <w:p>
            <w:pPr>
              <w:spacing w:after="0"/>
            </w:pPr>
            <w:r>
              <w:rPr>
                <w:color w:val="FF0000"/>
                <w:sz w:val="15"/>
              </w:rPr>
              <w:t>Budget / policy</w:t>
            </w:r>
          </w:p>
        </w:tc>
        <w:tc>
          <w:tcPr>
            <w:tcW w:type="dxa" w:w="1944"/>
          </w:tcPr>
          <w:p>
            <w:pPr>
              <w:spacing w:after="0"/>
            </w:pPr>
            <w:r>
              <w:rPr>
                <w:color w:val="FF0000"/>
                <w:sz w:val="15"/>
              </w:rPr>
              <w:t>Residual accuracy (%)</w:t>
            </w:r>
          </w:p>
        </w:tc>
      </w:tr>
      <w:tr>
        <w:tc>
          <w:tcPr>
            <w:tcW w:type="dxa" w:w="2232"/>
          </w:tcPr>
          <w:p>
            <w:pPr>
              <w:spacing w:after="0"/>
            </w:pPr>
            <w:r>
              <w:rPr>
                <w:color w:val="FF0000"/>
                <w:sz w:val="15"/>
              </w:rPr>
              <w:t>25% / SRACR</w:t>
            </w:r>
          </w:p>
        </w:tc>
        <w:tc>
          <w:tcPr>
            <w:tcW w:type="dxa" w:w="1944"/>
          </w:tcPr>
          <w:p>
            <w:pPr>
              <w:spacing w:after="0"/>
            </w:pPr>
            <w:r>
              <w:rPr>
                <w:color w:val="FF0000"/>
                <w:sz w:val="15"/>
              </w:rPr>
              <w:t>52.50</w:t>
            </w:r>
          </w:p>
        </w:tc>
      </w:tr>
      <w:tr>
        <w:tc>
          <w:tcPr>
            <w:tcW w:type="dxa" w:w="2232"/>
          </w:tcPr>
          <w:p>
            <w:pPr>
              <w:spacing w:after="0"/>
            </w:pPr>
            <w:r>
              <w:rPr>
                <w:color w:val="FF0000"/>
                <w:sz w:val="15"/>
              </w:rPr>
              <w:t>25% / Random</w:t>
            </w:r>
          </w:p>
        </w:tc>
        <w:tc>
          <w:tcPr>
            <w:tcW w:type="dxa" w:w="1944"/>
          </w:tcPr>
          <w:p>
            <w:pPr>
              <w:spacing w:after="0"/>
            </w:pPr>
            <w:r>
              <w:rPr>
                <w:color w:val="FF0000"/>
                <w:sz w:val="15"/>
              </w:rPr>
              <w:t>52.97</w:t>
            </w:r>
          </w:p>
        </w:tc>
      </w:tr>
      <w:tr>
        <w:tc>
          <w:tcPr>
            <w:tcW w:type="dxa" w:w="2232"/>
          </w:tcPr>
          <w:p>
            <w:pPr>
              <w:spacing w:after="0"/>
            </w:pPr>
            <w:r>
              <w:rPr>
                <w:color w:val="FF0000"/>
                <w:sz w:val="15"/>
              </w:rPr>
              <w:t>25% / Center-ROI</w:t>
            </w:r>
          </w:p>
        </w:tc>
        <w:tc>
          <w:tcPr>
            <w:tcW w:type="dxa" w:w="1944"/>
          </w:tcPr>
          <w:p>
            <w:pPr>
              <w:spacing w:after="0"/>
            </w:pPr>
            <w:r>
              <w:rPr>
                <w:color w:val="FF0000"/>
                <w:sz w:val="15"/>
              </w:rPr>
              <w:t>65.91</w:t>
            </w:r>
          </w:p>
        </w:tc>
      </w:tr>
      <w:tr>
        <w:tc>
          <w:tcPr>
            <w:tcW w:type="dxa" w:w="2232"/>
          </w:tcPr>
          <w:p>
            <w:pPr>
              <w:spacing w:after="0"/>
            </w:pPr>
            <w:r>
              <w:rPr>
                <w:color w:val="FF0000"/>
                <w:sz w:val="15"/>
              </w:rPr>
              <w:t>25% / Content-var.</w:t>
            </w:r>
          </w:p>
        </w:tc>
        <w:tc>
          <w:tcPr>
            <w:tcW w:type="dxa" w:w="1944"/>
          </w:tcPr>
          <w:p>
            <w:pPr>
              <w:spacing w:after="0"/>
            </w:pPr>
            <w:r>
              <w:rPr>
                <w:color w:val="FF0000"/>
                <w:sz w:val="15"/>
              </w:rPr>
              <w:t>45.10</w:t>
            </w:r>
          </w:p>
        </w:tc>
      </w:tr>
      <w:tr>
        <w:tc>
          <w:tcPr>
            <w:tcW w:type="dxa" w:w="2232"/>
          </w:tcPr>
          <w:p>
            <w:pPr>
              <w:spacing w:after="0"/>
            </w:pPr>
            <w:r>
              <w:rPr>
                <w:color w:val="FF0000"/>
                <w:sz w:val="15"/>
              </w:rPr>
              <w:t>25% / CAM</w:t>
            </w:r>
          </w:p>
        </w:tc>
        <w:tc>
          <w:tcPr>
            <w:tcW w:type="dxa" w:w="1944"/>
          </w:tcPr>
          <w:p>
            <w:pPr>
              <w:spacing w:after="0"/>
            </w:pPr>
            <w:r>
              <w:rPr>
                <w:color w:val="FF0000"/>
                <w:sz w:val="15"/>
              </w:rPr>
              <w:t>52.48</w:t>
            </w:r>
          </w:p>
        </w:tc>
      </w:tr>
      <w:tr>
        <w:tc>
          <w:tcPr>
            <w:tcW w:type="dxa" w:w="2232"/>
          </w:tcPr>
          <w:p>
            <w:pPr>
              <w:spacing w:after="0"/>
            </w:pPr>
            <w:r>
              <w:rPr>
                <w:color w:val="FF0000"/>
                <w:sz w:val="15"/>
              </w:rPr>
              <w:t>25% / LoG-ROI</w:t>
            </w:r>
          </w:p>
        </w:tc>
        <w:tc>
          <w:tcPr>
            <w:tcW w:type="dxa" w:w="1944"/>
          </w:tcPr>
          <w:p>
            <w:pPr>
              <w:spacing w:after="0"/>
            </w:pPr>
            <w:r>
              <w:rPr>
                <w:color w:val="FF0000"/>
                <w:sz w:val="15"/>
              </w:rPr>
              <w:t>49.75</w:t>
            </w:r>
          </w:p>
        </w:tc>
      </w:tr>
      <w:tr>
        <w:tc>
          <w:tcPr>
            <w:tcW w:type="dxa" w:w="2232"/>
          </w:tcPr>
          <w:p>
            <w:pPr>
              <w:spacing w:after="0"/>
            </w:pPr>
            <w:r>
              <w:rPr>
                <w:color w:val="FF0000"/>
                <w:sz w:val="15"/>
              </w:rPr>
              <w:t>50% / SRACR</w:t>
            </w:r>
          </w:p>
        </w:tc>
        <w:tc>
          <w:tcPr>
            <w:tcW w:type="dxa" w:w="1944"/>
          </w:tcPr>
          <w:p>
            <w:pPr>
              <w:spacing w:after="0"/>
            </w:pPr>
            <w:r>
              <w:rPr>
                <w:color w:val="FF0000"/>
                <w:sz w:val="15"/>
              </w:rPr>
              <w:t>40.92</w:t>
            </w:r>
          </w:p>
        </w:tc>
      </w:tr>
      <w:tr>
        <w:tc>
          <w:tcPr>
            <w:tcW w:type="dxa" w:w="2232"/>
          </w:tcPr>
          <w:p>
            <w:pPr>
              <w:spacing w:after="0"/>
            </w:pPr>
            <w:r>
              <w:rPr>
                <w:color w:val="FF0000"/>
                <w:sz w:val="15"/>
              </w:rPr>
              <w:t>50% / Random</w:t>
            </w:r>
          </w:p>
        </w:tc>
        <w:tc>
          <w:tcPr>
            <w:tcW w:type="dxa" w:w="1944"/>
          </w:tcPr>
          <w:p>
            <w:pPr>
              <w:spacing w:after="0"/>
            </w:pPr>
            <w:r>
              <w:rPr>
                <w:color w:val="FF0000"/>
                <w:sz w:val="15"/>
              </w:rPr>
              <w:t>45.45</w:t>
            </w:r>
          </w:p>
        </w:tc>
      </w:tr>
      <w:tr>
        <w:tc>
          <w:tcPr>
            <w:tcW w:type="dxa" w:w="2232"/>
          </w:tcPr>
          <w:p>
            <w:pPr>
              <w:spacing w:after="0"/>
            </w:pPr>
            <w:r>
              <w:rPr>
                <w:color w:val="FF0000"/>
                <w:sz w:val="15"/>
              </w:rPr>
              <w:t>50% / Center-ROI</w:t>
            </w:r>
          </w:p>
        </w:tc>
        <w:tc>
          <w:tcPr>
            <w:tcW w:type="dxa" w:w="1944"/>
          </w:tcPr>
          <w:p>
            <w:pPr>
              <w:spacing w:after="0"/>
            </w:pPr>
            <w:r>
              <w:rPr>
                <w:color w:val="FF0000"/>
                <w:sz w:val="15"/>
              </w:rPr>
              <w:t>50.17</w:t>
            </w:r>
          </w:p>
        </w:tc>
      </w:tr>
      <w:tr>
        <w:tc>
          <w:tcPr>
            <w:tcW w:type="dxa" w:w="2232"/>
          </w:tcPr>
          <w:p>
            <w:pPr>
              <w:spacing w:after="0"/>
            </w:pPr>
            <w:r>
              <w:rPr>
                <w:color w:val="FF0000"/>
                <w:sz w:val="15"/>
              </w:rPr>
              <w:t>50% / Content-var.</w:t>
            </w:r>
          </w:p>
        </w:tc>
        <w:tc>
          <w:tcPr>
            <w:tcW w:type="dxa" w:w="1944"/>
          </w:tcPr>
          <w:p>
            <w:pPr>
              <w:spacing w:after="0"/>
            </w:pPr>
            <w:r>
              <w:rPr>
                <w:color w:val="FF0000"/>
                <w:sz w:val="15"/>
              </w:rPr>
              <w:t>38.05</w:t>
            </w:r>
          </w:p>
        </w:tc>
      </w:tr>
      <w:tr>
        <w:tc>
          <w:tcPr>
            <w:tcW w:type="dxa" w:w="2232"/>
          </w:tcPr>
          <w:p>
            <w:pPr>
              <w:spacing w:after="0"/>
            </w:pPr>
            <w:r>
              <w:rPr>
                <w:color w:val="FF0000"/>
                <w:sz w:val="15"/>
              </w:rPr>
              <w:t>50% / CAM</w:t>
            </w:r>
          </w:p>
        </w:tc>
        <w:tc>
          <w:tcPr>
            <w:tcW w:type="dxa" w:w="1944"/>
          </w:tcPr>
          <w:p>
            <w:pPr>
              <w:spacing w:after="0"/>
            </w:pPr>
            <w:r>
              <w:rPr>
                <w:color w:val="FF0000"/>
                <w:sz w:val="15"/>
              </w:rPr>
              <w:t>40.57</w:t>
            </w:r>
          </w:p>
        </w:tc>
      </w:tr>
      <w:tr>
        <w:tc>
          <w:tcPr>
            <w:tcW w:type="dxa" w:w="2232"/>
          </w:tcPr>
          <w:p>
            <w:pPr>
              <w:spacing w:after="0"/>
            </w:pPr>
            <w:r>
              <w:rPr>
                <w:color w:val="FF0000"/>
                <w:sz w:val="15"/>
              </w:rPr>
              <w:t>50% / LoG-ROI</w:t>
            </w:r>
          </w:p>
        </w:tc>
        <w:tc>
          <w:tcPr>
            <w:tcW w:type="dxa" w:w="1944"/>
          </w:tcPr>
          <w:p>
            <w:pPr>
              <w:spacing w:after="0"/>
            </w:pPr>
            <w:r>
              <w:rPr>
                <w:color w:val="FF0000"/>
                <w:sz w:val="15"/>
              </w:rPr>
              <w:t>39.18</w:t>
            </w:r>
          </w:p>
        </w:tc>
      </w:tr>
      <w:tr>
        <w:tc>
          <w:tcPr>
            <w:tcW w:type="dxa" w:w="2232"/>
          </w:tcPr>
          <w:p>
            <w:pPr>
              <w:spacing w:after="0"/>
            </w:pPr>
            <w:r>
              <w:rPr>
                <w:color w:val="FF0000"/>
                <w:sz w:val="15"/>
              </w:rPr>
              <w:t>75% / SRACR</w:t>
            </w:r>
          </w:p>
        </w:tc>
        <w:tc>
          <w:tcPr>
            <w:tcW w:type="dxa" w:w="1944"/>
          </w:tcPr>
          <w:p>
            <w:pPr>
              <w:spacing w:after="0"/>
            </w:pPr>
            <w:r>
              <w:rPr>
                <w:color w:val="FF0000"/>
                <w:sz w:val="15"/>
              </w:rPr>
              <w:t>30.95</w:t>
            </w:r>
          </w:p>
        </w:tc>
      </w:tr>
      <w:tr>
        <w:tc>
          <w:tcPr>
            <w:tcW w:type="dxa" w:w="2232"/>
          </w:tcPr>
          <w:p>
            <w:pPr>
              <w:spacing w:after="0"/>
            </w:pPr>
            <w:r>
              <w:rPr>
                <w:color w:val="FF0000"/>
                <w:sz w:val="15"/>
              </w:rPr>
              <w:t>75% / Random</w:t>
            </w:r>
          </w:p>
        </w:tc>
        <w:tc>
          <w:tcPr>
            <w:tcW w:type="dxa" w:w="1944"/>
          </w:tcPr>
          <w:p>
            <w:pPr>
              <w:spacing w:after="0"/>
            </w:pPr>
            <w:r>
              <w:rPr>
                <w:color w:val="FF0000"/>
                <w:sz w:val="15"/>
              </w:rPr>
              <w:t>45.74</w:t>
            </w:r>
          </w:p>
        </w:tc>
      </w:tr>
      <w:tr>
        <w:tc>
          <w:tcPr>
            <w:tcW w:type="dxa" w:w="2232"/>
          </w:tcPr>
          <w:p>
            <w:pPr>
              <w:spacing w:after="0"/>
            </w:pPr>
            <w:r>
              <w:rPr>
                <w:color w:val="FF0000"/>
                <w:sz w:val="15"/>
              </w:rPr>
              <w:t>75% / Center-ROI</w:t>
            </w:r>
          </w:p>
        </w:tc>
        <w:tc>
          <w:tcPr>
            <w:tcW w:type="dxa" w:w="1944"/>
          </w:tcPr>
          <w:p>
            <w:pPr>
              <w:spacing w:after="0"/>
            </w:pPr>
            <w:r>
              <w:rPr>
                <w:color w:val="FF0000"/>
                <w:sz w:val="15"/>
              </w:rPr>
              <w:t>40.76</w:t>
            </w:r>
          </w:p>
        </w:tc>
      </w:tr>
      <w:tr>
        <w:tc>
          <w:tcPr>
            <w:tcW w:type="dxa" w:w="2232"/>
          </w:tcPr>
          <w:p>
            <w:pPr>
              <w:spacing w:after="0"/>
            </w:pPr>
            <w:r>
              <w:rPr>
                <w:color w:val="FF0000"/>
                <w:sz w:val="15"/>
              </w:rPr>
              <w:t>75% / Content-var.</w:t>
            </w:r>
          </w:p>
        </w:tc>
        <w:tc>
          <w:tcPr>
            <w:tcW w:type="dxa" w:w="1944"/>
          </w:tcPr>
          <w:p>
            <w:pPr>
              <w:spacing w:after="0"/>
            </w:pPr>
            <w:r>
              <w:rPr>
                <w:color w:val="FF0000"/>
                <w:sz w:val="15"/>
              </w:rPr>
              <w:t>33.38</w:t>
            </w:r>
          </w:p>
        </w:tc>
      </w:tr>
      <w:tr>
        <w:tc>
          <w:tcPr>
            <w:tcW w:type="dxa" w:w="2232"/>
          </w:tcPr>
          <w:p>
            <w:pPr>
              <w:spacing w:after="0"/>
            </w:pPr>
            <w:r>
              <w:rPr>
                <w:color w:val="FF0000"/>
                <w:sz w:val="15"/>
              </w:rPr>
              <w:t>75% / CAM</w:t>
            </w:r>
          </w:p>
        </w:tc>
        <w:tc>
          <w:tcPr>
            <w:tcW w:type="dxa" w:w="1944"/>
          </w:tcPr>
          <w:p>
            <w:pPr>
              <w:spacing w:after="0"/>
            </w:pPr>
            <w:r>
              <w:rPr>
                <w:color w:val="FF0000"/>
                <w:sz w:val="15"/>
              </w:rPr>
              <w:t>31.01</w:t>
            </w:r>
          </w:p>
        </w:tc>
      </w:tr>
      <w:tr>
        <w:tc>
          <w:tcPr>
            <w:tcW w:type="dxa" w:w="2232"/>
          </w:tcPr>
          <w:p>
            <w:pPr>
              <w:spacing w:after="0"/>
            </w:pPr>
            <w:r>
              <w:rPr>
                <w:color w:val="FF0000"/>
                <w:sz w:val="15"/>
              </w:rPr>
              <w:t>75% / LoG-ROI</w:t>
            </w:r>
          </w:p>
        </w:tc>
        <w:tc>
          <w:tcPr>
            <w:tcW w:type="dxa" w:w="1944"/>
          </w:tcPr>
          <w:p>
            <w:pPr>
              <w:spacing w:after="0"/>
            </w:pPr>
            <w:r>
              <w:rPr>
                <w:color w:val="FF0000"/>
                <w:sz w:val="15"/>
              </w:rPr>
              <w:t>33.20</w:t>
            </w:r>
          </w:p>
        </w:tc>
      </w:tr>
    </w:tbl>
    <w:p>
      <w:r>
        <w:rPr>
          <w:b w:val="0"/>
          <w:color w:val="FF0000"/>
        </w:rPr>
        <w:t>The spatial selector materially affected leakage but no method was uniformly best. SRACR was lower than random and center-ROI in the cross-dataset average at all three budgets; content variance was lower at 25% and 50%, while SRACR was lower at 75%. CAM closely matched SRACR with no Holm-significant correctness difference in any of nine dataset-budget tests. LoG-ROI was significantly lower than SRACR on retinal-11 at all three budgets (Holm p&lt;=0.003), whereas SRACR was lower on fundus-4 at 75% by 11.23 pp (p=0.0015). Budget-matching error was &lt;0.10 pp.</w:t>
      </w:r>
    </w:p>
    <w:p>
      <w:r>
        <w:rPr>
          <w:b w:val="0"/>
          <w:color w:val="FF0000"/>
        </w:rPr>
        <w:t>Dataset-specific paired comparisons reinforce this heterogeneity. Versus matched random selection, SRACR lowered residual attacker accuracy on chest by 16.88, 19.48, and 38.96 pp at 25%, 50%, and 75% protection (all Holm p&lt;=0.0245), but retinal-11 showed the opposite direction by 17.52, 4.78, and 3.92 pp (all Holm p&lt;=0.0456). Fundus-4 differences were non-significant at 25%/50%, while SRACR was 9.34 pp lower at 75% (95% CI 6.80-11.87; p=0.0009). Thus the policy affects recoverable information, but the preferred selector depends on modality and budget.</w:t>
      </w:r>
    </w:p>
    <w:p>
      <w:pPr>
        <w:pStyle w:val="NoSpacing"/>
        <w:jc w:val="both"/>
      </w:pPr>
      <w:r>
        <w:rPr>
          <w:b w:val="0"/>
          <w:color w:val="FF0000"/>
        </w:rPr>
        <w:t>Accordingly, the external security claim is limited to measurable reduction of residual diagnostic information under the stated non-adaptive attacker. AES-GCM confidentiality applies to encrypted bytes; selective-policy leakage is a separate property. An always-on full-file AEAD envelope is the preferred production confidentiality boundary, with SRACR potentially controlling additional regional access/re-key/audit actions inside it; that layered architecture remains future work.</w:t>
      </w:r>
    </w:p>
    <w:p>
      <w:r>
        <w:rPr>
          <w:b/>
          <w:color w:val="FF0000"/>
        </w:rPr>
        <w:t>5.5. Controlled Internal Distribution-Shift Stress Test</w:t>
      </w:r>
    </w:p>
    <w:p>
      <w:r>
        <w:rPr>
          <w:b w:val="0"/>
          <w:color w:val="FF0000"/>
        </w:rPr>
        <w:t>Cross-dataset clean accuracy was 90.39%; downsample/restore, Gaussian blur, and JPEG-Q40 yielded 90.28%, 89.87%, and 89.52%, with clean-prediction agreement of 97.49%, 96.74%, and 96.41%. Mean tile-rank Spearman/Jaccard remained 0.953/0.928, 0.942/0.917, and 0.943/0.913, respectively. Fundus-4 was most sensitive (blur accuracy 91.46% to 88.61%; uncertainty 0.0852 to 0.1085). Diagnostic-accuracy change CIs crossed zero for all three shifts, supporting bounded internal robustness rather than clinical equivalence.</w:t>
      </w:r>
    </w:p>
    <w:p>
      <w:r>
        <w:rPr>
          <w:color w:val="FF0000"/>
        </w:rPr>
        <w:t>Table 5. Cross-dataset controlled-shift summary (accuracy/F1; clean-prediction agreement; tile Spearman; top-50% Jaccard; controller agreement at T=0.40).</w:t>
      </w:r>
    </w:p>
    <w:tbl>
      <w:tblPr>
        <w:tblStyle w:val="TableGrid"/>
        <w:tblW w:type="auto" w:w="0"/>
        <w:tblLayout w:type="fixed"/>
        <w:tblLook w:firstColumn="1" w:firstRow="1" w:lastColumn="0" w:lastRow="0" w:noHBand="0" w:noVBand="1" w:val="04A0"/>
      </w:tblPr>
      <w:tblGrid>
        <w:gridCol w:w="1656"/>
        <w:gridCol w:w="2592"/>
      </w:tblGrid>
      <w:tr>
        <w:tc>
          <w:tcPr>
            <w:tcW w:type="dxa" w:w="4873"/>
          </w:tcPr>
          <w:p>
            <w:pPr>
              <w:spacing w:after="0"/>
            </w:pPr>
            <w:r>
              <w:rPr>
                <w:color w:val="FF0000"/>
                <w:sz w:val="16"/>
              </w:rPr>
              <w:t>Shift</w:t>
            </w:r>
          </w:p>
        </w:tc>
        <w:tc>
          <w:tcPr>
            <w:tcW w:type="dxa" w:w="4873"/>
          </w:tcPr>
          <w:p>
            <w:pPr>
              <w:spacing w:after="0"/>
            </w:pPr>
            <w:r>
              <w:rPr>
                <w:color w:val="FF0000"/>
                <w:sz w:val="16"/>
              </w:rPr>
              <w:t>Acc/F1; agree; rho_s; J; Ctrl@0.40</w:t>
            </w:r>
          </w:p>
        </w:tc>
      </w:tr>
      <w:tr>
        <w:tc>
          <w:tcPr>
            <w:tcW w:type="dxa" w:w="1656"/>
          </w:tcPr>
          <w:p>
            <w:pPr>
              <w:spacing w:after="0"/>
            </w:pPr>
            <w:r>
              <w:rPr>
                <w:color w:val="FF0000"/>
                <w:sz w:val="16"/>
              </w:rPr>
              <w:t>Downsample50</w:t>
            </w:r>
          </w:p>
        </w:tc>
        <w:tc>
          <w:tcPr>
            <w:tcW w:type="dxa" w:w="2592"/>
          </w:tcPr>
          <w:p>
            <w:pPr>
              <w:spacing w:after="0"/>
            </w:pPr>
            <w:r>
              <w:rPr>
                <w:color w:val="FF0000"/>
                <w:sz w:val="16"/>
              </w:rPr>
              <w:t>90.28/90.09; 97.49; 0.953; 0.928; 92.86</w:t>
            </w:r>
          </w:p>
        </w:tc>
      </w:tr>
      <w:tr>
        <w:tc>
          <w:tcPr>
            <w:tcW w:type="dxa" w:w="1656"/>
          </w:tcPr>
          <w:p>
            <w:pPr>
              <w:spacing w:after="0"/>
            </w:pPr>
            <w:r>
              <w:rPr>
                <w:color w:val="FF0000"/>
                <w:sz w:val="16"/>
              </w:rPr>
              <w:t>Blur r=1.5</w:t>
            </w:r>
          </w:p>
        </w:tc>
        <w:tc>
          <w:tcPr>
            <w:tcW w:type="dxa" w:w="2592"/>
          </w:tcPr>
          <w:p>
            <w:pPr>
              <w:spacing w:after="0"/>
            </w:pPr>
            <w:r>
              <w:rPr>
                <w:color w:val="FF0000"/>
                <w:sz w:val="16"/>
              </w:rPr>
              <w:t>89.87/89.68; 96.74; 0.942; 0.917; 92.55</w:t>
            </w:r>
          </w:p>
        </w:tc>
      </w:tr>
      <w:tr>
        <w:tc>
          <w:tcPr>
            <w:tcW w:type="dxa" w:w="1656"/>
          </w:tcPr>
          <w:p>
            <w:pPr>
              <w:spacing w:after="0"/>
            </w:pPr>
            <w:r>
              <w:rPr>
                <w:color w:val="FF0000"/>
                <w:sz w:val="16"/>
              </w:rPr>
              <w:t>JPEG Q40</w:t>
            </w:r>
          </w:p>
        </w:tc>
        <w:tc>
          <w:tcPr>
            <w:tcW w:type="dxa" w:w="2592"/>
          </w:tcPr>
          <w:p>
            <w:pPr>
              <w:spacing w:after="0"/>
            </w:pPr>
            <w:r>
              <w:rPr>
                <w:color w:val="FF0000"/>
                <w:sz w:val="16"/>
              </w:rPr>
              <w:t>89.52/89.36; 96.41; 0.943; 0.913; 92.13</w:t>
            </w:r>
          </w:p>
        </w:tc>
      </w:tr>
    </w:tbl>
    <w:p>
      <w:r>
        <w:rPr>
          <w:b w:val="0"/>
          <w:color w:val="FF0000"/>
        </w:rPr>
        <w:t>Controller-level agreement with clean was 99.37-99.44% at T=0.10, 92.13-92.86% at T=0.40, 98.18-98.92% at T=0.70, and 100% at T=0.95. The worst case was fundus-4/JPEG-Q40 at T=0.40 (85.47%). Nevertheless, all 12 dataset-shift conditions preserved monotonic non-decreasing protection and reached 100% at T=0.95; the largest cross-dataset mean protected-fraction shift from clean was only 0.273 pp.</w:t>
      </w:r>
    </w:p>
    <w:p>
      <w:r>
        <w:rPr>
          <w:b w:val="0"/>
          <w:color w:val="FF0000"/>
        </w:rPr>
        <w:t>Statistical significance on PMC/controller metrics is interpreted only as consistency of policy behavior. Practical security magnitude is given by the independent-attacker risk differences above; utility robustness is given by diagnostic accuracy change and clean-prediction agreement with confidence intervals. Full true-class-probability/NLL effect sizes and bootstrap outputs are supplied in the supplement.</w:t>
      </w:r>
    </w:p>
    <w:p>
      <w:r>
        <w:rPr>
          <w:b w:val="0"/>
          <w:color w:val="FF0000"/>
        </w:rPr>
        <w:t>Table 6. Independent security and utility effect sizes (95% stratified macro-bootstrap CI).</w:t>
      </w:r>
    </w:p>
    <w:tbl>
      <w:tblPr>
        <w:tblStyle w:val="TableGrid"/>
        <w:tblW w:type="auto" w:w="0"/>
        <w:tblLayout w:type="fixed"/>
        <w:tblLook w:firstColumn="1" w:firstRow="1" w:lastColumn="0" w:lastRow="0" w:noHBand="0" w:noVBand="1" w:val="04A0"/>
      </w:tblPr>
      <w:tblGrid>
        <w:gridCol w:w="1123"/>
        <w:gridCol w:w="3096"/>
      </w:tblGrid>
      <w:tr>
        <w:tc>
          <w:tcPr>
            <w:tcW w:type="dxa" w:w="1123"/>
          </w:tcPr>
          <w:p>
            <w:pPr>
              <w:spacing w:after="0"/>
            </w:pPr>
            <w:r>
              <w:rPr>
                <w:color w:val="FF0000"/>
                <w:sz w:val="14"/>
              </w:rPr>
              <w:t>Endpoint</w:t>
            </w:r>
          </w:p>
        </w:tc>
        <w:tc>
          <w:tcPr>
            <w:tcW w:type="dxa" w:w="3096"/>
          </w:tcPr>
          <w:p>
            <w:pPr>
              <w:spacing w:after="0"/>
            </w:pPr>
            <w:r>
              <w:rPr>
                <w:color w:val="FF0000"/>
                <w:sz w:val="14"/>
              </w:rPr>
              <w:t>Effect size (95% CI)</w:t>
            </w:r>
          </w:p>
        </w:tc>
      </w:tr>
      <w:tr>
        <w:tc>
          <w:tcPr>
            <w:tcW w:type="dxa" w:w="1123"/>
          </w:tcPr>
          <w:p>
            <w:pPr>
              <w:spacing w:after="0"/>
            </w:pPr>
            <w:r>
              <w:rPr>
                <w:color w:val="FF0000"/>
                <w:sz w:val="14"/>
              </w:rPr>
              <w:t>Security 25%</w:t>
            </w:r>
          </w:p>
        </w:tc>
        <w:tc>
          <w:tcPr>
            <w:tcW w:type="dxa" w:w="3096"/>
          </w:tcPr>
          <w:p>
            <w:pPr>
              <w:spacing w:after="0"/>
            </w:pPr>
            <w:r>
              <w:rPr>
                <w:color w:val="FF0000"/>
                <w:sz w:val="14"/>
              </w:rPr>
              <w:t>attacker accuracy -33.76 pp [30.19,37.49]; true-P -0.339 [0.317,0.360]; NLL +2.17 [2.01,2.33]</w:t>
            </w:r>
          </w:p>
        </w:tc>
      </w:tr>
      <w:tr>
        <w:tc>
          <w:tcPr>
            <w:tcW w:type="dxa" w:w="1123"/>
          </w:tcPr>
          <w:p>
            <w:pPr>
              <w:spacing w:after="0"/>
            </w:pPr>
            <w:r>
              <w:rPr>
                <w:color w:val="FF0000"/>
                <w:sz w:val="14"/>
              </w:rPr>
              <w:t>Security 50%</w:t>
            </w:r>
          </w:p>
        </w:tc>
        <w:tc>
          <w:tcPr>
            <w:tcW w:type="dxa" w:w="3096"/>
          </w:tcPr>
          <w:p>
            <w:pPr>
              <w:spacing w:after="0"/>
            </w:pPr>
            <w:r>
              <w:rPr>
                <w:color w:val="FF0000"/>
                <w:sz w:val="14"/>
              </w:rPr>
              <w:t>attacker accuracy -45.34 pp [41.64,49.34]; true-P -0.446 [0.424,0.468]; NLL +3.31 [3.13,3.49]</w:t>
            </w:r>
          </w:p>
        </w:tc>
      </w:tr>
      <w:tr>
        <w:tc>
          <w:tcPr>
            <w:tcW w:type="dxa" w:w="1123"/>
          </w:tcPr>
          <w:p>
            <w:pPr>
              <w:spacing w:after="0"/>
            </w:pPr>
            <w:r>
              <w:rPr>
                <w:color w:val="FF0000"/>
                <w:sz w:val="14"/>
              </w:rPr>
              <w:t>Security 75%</w:t>
            </w:r>
          </w:p>
        </w:tc>
        <w:tc>
          <w:tcPr>
            <w:tcW w:type="dxa" w:w="3096"/>
          </w:tcPr>
          <w:p>
            <w:pPr>
              <w:spacing w:after="0"/>
            </w:pPr>
            <w:r>
              <w:rPr>
                <w:color w:val="FF0000"/>
                <w:sz w:val="14"/>
              </w:rPr>
              <w:t>attacker accuracy -55.31 pp [50.93,59.77]; true-P -0.531 [0.508,0.555]; NLL +3.62 [3.44,3.79]</w:t>
            </w:r>
          </w:p>
        </w:tc>
      </w:tr>
      <w:tr>
        <w:tc>
          <w:tcPr>
            <w:tcW w:type="dxa" w:w="1123"/>
          </w:tcPr>
          <w:p>
            <w:pPr>
              <w:spacing w:after="0"/>
            </w:pPr>
            <w:r>
              <w:rPr>
                <w:color w:val="FF0000"/>
                <w:sz w:val="14"/>
              </w:rPr>
              <w:t>Downsample50</w:t>
            </w:r>
          </w:p>
        </w:tc>
        <w:tc>
          <w:tcPr>
            <w:tcW w:type="dxa" w:w="3096"/>
          </w:tcPr>
          <w:p>
            <w:pPr>
              <w:spacing w:after="0"/>
            </w:pPr>
            <w:r>
              <w:rPr>
                <w:color w:val="FF0000"/>
                <w:sz w:val="14"/>
              </w:rPr>
              <w:t>accuracy Δ -0.11 pp [-1.04,+1.11]; agreement 97.49% [96.29,98.40]</w:t>
            </w:r>
          </w:p>
        </w:tc>
      </w:tr>
      <w:tr>
        <w:tc>
          <w:tcPr>
            <w:tcW w:type="dxa" w:w="1123"/>
          </w:tcPr>
          <w:p>
            <w:pPr>
              <w:spacing w:after="0"/>
            </w:pPr>
            <w:r>
              <w:rPr>
                <w:color w:val="FF0000"/>
                <w:sz w:val="14"/>
              </w:rPr>
              <w:t>Blur r=1.5</w:t>
            </w:r>
          </w:p>
        </w:tc>
        <w:tc>
          <w:tcPr>
            <w:tcW w:type="dxa" w:w="3096"/>
          </w:tcPr>
          <w:p>
            <w:pPr>
              <w:spacing w:after="0"/>
            </w:pPr>
            <w:r>
              <w:rPr>
                <w:color w:val="FF0000"/>
                <w:sz w:val="14"/>
              </w:rPr>
              <w:t>accuracy Δ -0.52 pp [-1.51,+0.71]; agreement 96.74% [95.53,97.72]</w:t>
            </w:r>
          </w:p>
        </w:tc>
      </w:tr>
      <w:tr>
        <w:tc>
          <w:tcPr>
            <w:tcW w:type="dxa" w:w="1123"/>
          </w:tcPr>
          <w:p>
            <w:pPr>
              <w:spacing w:after="0"/>
            </w:pPr>
            <w:r>
              <w:rPr>
                <w:color w:val="FF0000"/>
                <w:sz w:val="14"/>
              </w:rPr>
              <w:t>JPEG Q40</w:t>
            </w:r>
          </w:p>
        </w:tc>
        <w:tc>
          <w:tcPr>
            <w:tcW w:type="dxa" w:w="3096"/>
          </w:tcPr>
          <w:p>
            <w:pPr>
              <w:spacing w:after="0"/>
            </w:pPr>
            <w:r>
              <w:rPr>
                <w:color w:val="FF0000"/>
                <w:sz w:val="14"/>
              </w:rPr>
              <w:t>accuracy Δ -0.87 pp [-2.24,+0.52]; agreement 96.41% [94.93,97.61]</w:t>
            </w:r>
          </w:p>
        </w:tc>
      </w:tr>
    </w:tbl>
    <w:p w14:paraId="74242827" w14:textId="77777777" w:rsidR="00713C12" w:rsidRPr="00713C12" w:rsidRDefault="00713C12" w:rsidP="00713C12">
      <w:pPr>
        <w:pStyle w:val="NoSpacing"/>
        <w:ind w:firstLineChars="150" w:firstLine="331"/>
        <w:jc w:val="both"/>
        <w:rPr>
          <w:rFonts w:ascii="Times New Roman" w:hAnsi="Times New Roman" w:cs="Times New Roman"/>
          <w:b/>
          <w:bCs/>
          <w:lang w:val="en-US"/>
        </w:rPr>
      </w:pPr>
      <w:r>
        <w:rPr>
          <w:b/>
          <w:color w:val="FF0000"/>
        </w:rPr>
        <w:t>5.6. Discussion</w:t>
      </w:r>
    </w:p>
    <w:p w14:paraId="60F37960" w14:textId="31113366" w:rsidR="00713C12" w:rsidRPr="00713C12" w:rsidRDefault="00713C12" w:rsidP="001C3839">
      <w:pPr>
        <w:pStyle w:val="NoSpacing"/>
        <w:ind w:firstLineChars="150" w:firstLine="330"/>
        <w:jc w:val="both"/>
        <w:rPr>
          <w:rFonts w:ascii="Times New Roman" w:hAnsi="Times New Roman" w:cs="Times New Roman"/>
          <w:lang w:val="en-US"/>
        </w:rPr>
      </w:pPr>
      <w:r>
        <w:rPr>
          <w:b w:val="0"/>
          <w:color w:val="FF0000"/>
        </w:rPr>
        <w:t>SRACR-Med's main contribution is architectural separation: saliency determines where selective protection is concentrated, whereas saliency burden, engineering clinical criticality, external threat state, and uncertainty determine how much protection is requested. The threat sweep and replay audits show reproducible controller escalation, but the synthetic T values, hand-specified C lookup, weights, thresholds, and hysteresis mean that G should be interpreted as an engineering control index rather than autonomous cyber-risk assessment. Sensitivity analysis confirms qualitative monotonic escalation while also showing that exact operating fractions are parameter-dependent.</w:t>
        <w:br/>
        <w:br/>
        <w:t>PMC is useful for verifying that a budget follows the model-derived priority map, but its construction is coupled to that map. Independent MobileNetV3-Small leakage evaluation therefore provides the primary external security endpoint. Protection reduced residual diagnostic recoverability substantially with increasing budget, yet same-condition random, center-ROI, content-variance, CAM, and LoG-ROI comparisons were heterogeneous across modality and budget. The evidence supports policy-dependent leakage reduction, not universal optimality of Grad-CAM. Reliability also cannot improve fixed-budget spatial ranking by itself because Q_S is an image-level scalar; its role is contextual through the risk/controller pathway.</w:t>
        <w:br/>
        <w:br/>
        <w:t>The security boundary is likewise layered. AES-256-GCM supplies authenticated encryption only for bytes passed to it, and round-trip tests establish implementation correctness. Selective rho&lt;1 modes expose plaintext regions and therefore cannot be called full-image confidentiality. For production, a full-file AEAD envelope with hardened key management is the more defensible outer boundary; SRACR could then control stronger regional access, re-keying, or audit escalation, but that design was not evaluated here. Controlled blur/JPEG/resolution shifts showed generally stable aggregate behavior but greater fundus sensitivity and some state changes near thresholds, so external-site/multicenter validation remains necessary. Exact split/group manifests, code, parameters, stream orders, caches, and image-level statistics are released for audit.</w:t>
      </w:r>
    </w:p>
    <w:p>
      <w:r>
        <w:rPr>
          <w:b w:val="0"/>
          <w:color w:val="FF0000"/>
        </w:rPr>
        <w:t>The recent-baseline comparison is therefore most useful as a boundary on the claim: CAM was statistically indistinguishable from SRACR in paired correctness, while the LoG-ROI selector was better on retinal-11 at all tested budgets but worse on fundus-4 at 75%. Likewise, the controlled-shift study is an internal stress test, not external validation; source artifacts do not support patient-level independence. Future evaluation should use multicenter cohorts with explicit subject/site metadata, clinically reviewed criticality priors, realistic telemetry mapped to T, and adaptive attackers trained on protected views.</w:t>
      </w:r>
    </w:p>
    <w:p w14:paraId="77844950" w14:textId="1994FEA0" w:rsidR="00713C12" w:rsidRPr="00713C12" w:rsidRDefault="00713C12" w:rsidP="00091F5A">
      <w:pPr>
        <w:pStyle w:val="ListParagraph"/>
        <w:numPr>
          <w:ilvl w:val="0"/>
          <w:numId w:val="7"/>
        </w:numPr>
        <w:tabs>
          <w:tab w:val="left" w:pos="360"/>
        </w:tabs>
        <w:spacing w:beforeLines="100" w:before="240" w:afterLines="50" w:after="120" w:line="240" w:lineRule="auto"/>
        <w:ind w:left="0" w:firstLine="0"/>
        <w:contextualSpacing w:val="0"/>
        <w:rPr>
          <w:b/>
          <w:color w:val="auto"/>
        </w:rPr>
      </w:pPr>
      <w:r w:rsidRPr="00713C12">
        <w:rPr>
          <w:b/>
          <w:color w:val="auto"/>
        </w:rPr>
        <w:t>Conclusion</w:t>
      </w:r>
    </w:p>
    <w:p w14:paraId="453D408E" w14:textId="77777777" w:rsidR="00B10073" w:rsidRDefault="00713C12" w:rsidP="00B10073">
      <w:pPr>
        <w:pStyle w:val="NoSpacing"/>
        <w:ind w:firstLineChars="150" w:firstLine="330"/>
        <w:jc w:val="both"/>
      </w:pPr>
      <w:r>
        <w:rPr>
          <w:color w:val="FF0000"/>
        </w:rPr>
        <w:t>SRACR-Med was evaluated as a self-governing risk-adaptive encryption framework at proof-of-concept level; self-governing refers to automatic stateful policy execution after external inputs are supplied, not to a new cipher or an autonomous cyber-risk assessor. Across three public imaging tasks, the stateful controller increased protection monotonically from 50.13% at T=0.10 to 100% at T=0.95. Independent attacker accuracy decreased from 86.25% unprotected to 52.50%, 40.92%, and 30.95% at 25%, 50%, and 75% protection, with effect reductions of 33.76, 45.34, and 55.31 percentage points. Same-condition baselines showed that selector effectiveness is modality- and budget-dependent, while controlled shifts preserved aggregate monotonic controller behavior but revealed threshold and fundus sensitivity. PMC is therefore retained only as an internal concentration metric, and selective rho&lt;1 is not described as full-image confidentiality. Deployment claims require clinically reviewed criticality priors, realistic cyber telemetry, external multicenter cohorts with patient identifiers, hardened key management, and an always-on full-file AEAD boundary. The released artifacts permit independent audit of the present controller and leakage results.</w:t>
      </w:r>
    </w:p>
    <w:p>
      <w:r>
        <w:rPr>
          <w:b/>
          <w:color w:val="FF0000"/>
        </w:rPr>
        <w:t>Data and Code Availability</w:t>
      </w:r>
    </w:p>
    <w:p>
      <w:r>
        <w:rPr>
          <w:b w:val="0"/>
          <w:color w:val="FF0000"/>
        </w:rPr>
        <w:t>Code, configuration, exact dataset identifiers/splits, duplicate-group assignments, seeds and controller stream orders, saliency/risk/controller parameters, archived caches, checkpoints, image-level predictions, paired-test inputs, recent-baseline outputs, controlled-shift results, effect sizes, and the security-boundary summary are released in the accompanying reproducibility and reviewer supplements. Raw medical images are not redistributed; public source identifiers and per-file SHA-256 hashes support corpus verification.</w:t>
      </w:r>
    </w:p>
    <w:p w14:paraId="0C7F679D" w14:textId="0EB69F4C" w:rsidR="00812DED" w:rsidRPr="00B10073" w:rsidRDefault="00A62FD7" w:rsidP="00812DED">
      <w:pPr>
        <w:pStyle w:val="NoSpacing"/>
        <w:jc w:val="both"/>
        <w:rPr>
          <w:rFonts w:asciiTheme="majorBidi" w:hAnsiTheme="majorBidi" w:cstheme="majorBidi"/>
          <w:b/>
          <w:bCs/>
          <w:sz w:val="24"/>
          <w:szCs w:val="24"/>
        </w:rPr>
      </w:pPr>
      <w:r w:rsidRPr="00B10073">
        <w:rPr>
          <w:rFonts w:asciiTheme="majorBidi" w:hAnsiTheme="majorBidi" w:cstheme="majorBidi"/>
          <w:b/>
          <w:bCs/>
          <w:sz w:val="24"/>
          <w:szCs w:val="24"/>
        </w:rPr>
        <w:t xml:space="preserve">Conflicts of </w:t>
      </w:r>
      <w:r w:rsidR="00E97510" w:rsidRPr="00B10073">
        <w:rPr>
          <w:rFonts w:asciiTheme="majorBidi" w:hAnsiTheme="majorBidi" w:cstheme="majorBidi"/>
          <w:b/>
          <w:bCs/>
          <w:sz w:val="24"/>
          <w:szCs w:val="24"/>
        </w:rPr>
        <w:t>i</w:t>
      </w:r>
      <w:r w:rsidRPr="00B10073">
        <w:rPr>
          <w:rFonts w:asciiTheme="majorBidi" w:hAnsiTheme="majorBidi" w:cstheme="majorBidi"/>
          <w:b/>
          <w:bCs/>
          <w:sz w:val="24"/>
          <w:szCs w:val="24"/>
        </w:rPr>
        <w:t>nterest</w:t>
      </w:r>
    </w:p>
    <w:p w14:paraId="2D9E1D6B" w14:textId="255DF94D" w:rsidR="00AC7CBD" w:rsidRPr="00163CA4" w:rsidRDefault="001E179E" w:rsidP="00B10073">
      <w:pPr>
        <w:pStyle w:val="TextBody"/>
        <w:adjustRightInd w:val="0"/>
        <w:snapToGrid w:val="0"/>
        <w:ind w:firstLineChars="150" w:firstLine="330"/>
        <w:rPr>
          <w:rFonts w:eastAsia="SimSun"/>
          <w:sz w:val="22"/>
          <w:szCs w:val="22"/>
          <w:lang w:eastAsia="zh-CN"/>
        </w:rPr>
      </w:pPr>
      <w:r w:rsidRPr="00163CA4">
        <w:rPr>
          <w:rFonts w:eastAsia="SimSun"/>
          <w:sz w:val="22"/>
          <w:szCs w:val="22"/>
          <w:lang w:eastAsia="zh-CN"/>
        </w:rPr>
        <w:t>The authors declare no conflict of interest.</w:t>
      </w:r>
    </w:p>
    <w:p w14:paraId="25DB5A2E" w14:textId="25EB27DA" w:rsidR="00EB25CD" w:rsidRPr="00382564" w:rsidRDefault="00EB25CD" w:rsidP="00B10073">
      <w:pPr>
        <w:pStyle w:val="ChapterTitle"/>
        <w:adjustRightInd w:val="0"/>
        <w:snapToGrid w:val="0"/>
        <w:spacing w:beforeLines="100" w:before="240" w:afterLines="50" w:after="120"/>
        <w:outlineLvl w:val="0"/>
      </w:pPr>
      <w:r w:rsidRPr="00382564">
        <w:t xml:space="preserve">Author </w:t>
      </w:r>
      <w:r w:rsidR="00E97510">
        <w:rPr>
          <w:rFonts w:hint="eastAsia"/>
        </w:rPr>
        <w:t>c</w:t>
      </w:r>
      <w:r w:rsidRPr="00382564">
        <w:t>ontributions</w:t>
      </w:r>
    </w:p>
    <w:p w14:paraId="6B1F550D" w14:textId="7FE62A04" w:rsidR="00EB25CD" w:rsidRPr="00CD5651" w:rsidRDefault="00E55409" w:rsidP="00EB25CD">
      <w:pPr>
        <w:pStyle w:val="TextBody"/>
        <w:adjustRightInd w:val="0"/>
        <w:snapToGrid w:val="0"/>
        <w:ind w:firstLineChars="150" w:firstLine="330"/>
        <w:rPr>
          <w:sz w:val="22"/>
          <w:szCs w:val="22"/>
        </w:rPr>
      </w:pPr>
      <w:r w:rsidRPr="00E55409">
        <w:rPr>
          <w:rFonts w:eastAsia="SimSun"/>
          <w:sz w:val="22"/>
          <w:szCs w:val="22"/>
          <w:lang w:eastAsia="zh-CN"/>
        </w:rPr>
        <w:t xml:space="preserve">Conceptualization, methodology, software, and formal analysis, Sameeh </w:t>
      </w:r>
      <w:proofErr w:type="spellStart"/>
      <w:r w:rsidRPr="00E55409">
        <w:rPr>
          <w:rFonts w:eastAsia="SimSun"/>
          <w:sz w:val="22"/>
          <w:szCs w:val="22"/>
          <w:lang w:eastAsia="zh-CN"/>
        </w:rPr>
        <w:t>Abdulghafour</w:t>
      </w:r>
      <w:proofErr w:type="spellEnd"/>
      <w:r w:rsidRPr="00E55409">
        <w:rPr>
          <w:rFonts w:eastAsia="SimSun"/>
          <w:sz w:val="22"/>
          <w:szCs w:val="22"/>
          <w:lang w:eastAsia="zh-CN"/>
        </w:rPr>
        <w:t xml:space="preserve"> Jassim; data curation, investigation, and writing (original draft </w:t>
      </w:r>
      <w:r w:rsidRPr="00E55409">
        <w:rPr>
          <w:rFonts w:eastAsia="SimSun"/>
          <w:sz w:val="22"/>
          <w:szCs w:val="22"/>
          <w:lang w:eastAsia="zh-CN"/>
        </w:rPr>
        <w:t xml:space="preserve">preparation), Nuha Qais Abdulmajeed; validation and writing (review and editing), Nuha Qais Abdulmajeed and Sameeh </w:t>
      </w:r>
      <w:proofErr w:type="spellStart"/>
      <w:r w:rsidRPr="00E55409">
        <w:rPr>
          <w:rFonts w:eastAsia="SimSun"/>
          <w:sz w:val="22"/>
          <w:szCs w:val="22"/>
          <w:lang w:eastAsia="zh-CN"/>
        </w:rPr>
        <w:t>Abdulghafour</w:t>
      </w:r>
      <w:proofErr w:type="spellEnd"/>
      <w:r w:rsidRPr="00E55409">
        <w:rPr>
          <w:rFonts w:eastAsia="SimSun"/>
          <w:sz w:val="22"/>
          <w:szCs w:val="22"/>
          <w:lang w:eastAsia="zh-CN"/>
        </w:rPr>
        <w:t xml:space="preserve"> Jassim; supervision, Sameeh </w:t>
      </w:r>
      <w:proofErr w:type="spellStart"/>
      <w:r w:rsidRPr="00E55409">
        <w:rPr>
          <w:rFonts w:eastAsia="SimSun"/>
          <w:sz w:val="22"/>
          <w:szCs w:val="22"/>
          <w:lang w:eastAsia="zh-CN"/>
        </w:rPr>
        <w:t>Abdulghafour</w:t>
      </w:r>
      <w:proofErr w:type="spellEnd"/>
      <w:r w:rsidRPr="00E55409">
        <w:rPr>
          <w:rFonts w:eastAsia="SimSun"/>
          <w:sz w:val="22"/>
          <w:szCs w:val="22"/>
          <w:lang w:eastAsia="zh-CN"/>
        </w:rPr>
        <w:t xml:space="preserve"> Jassim. All authors approved the final manuscript.</w:t>
      </w:r>
    </w:p>
    <w:p w14:paraId="238B7BD0" w14:textId="77777777" w:rsidR="00AC7CBD" w:rsidRDefault="00AC7CBD" w:rsidP="00AC7CBD">
      <w:pPr>
        <w:pStyle w:val="ReferenceHeading"/>
        <w:adjustRightInd w:val="0"/>
        <w:snapToGrid w:val="0"/>
        <w:spacing w:beforeLines="100" w:before="240" w:afterLines="50" w:after="120"/>
        <w:ind w:left="282" w:hanging="282"/>
        <w:outlineLvl w:val="0"/>
        <w:rPr>
          <w:rFonts w:eastAsia="SimSun"/>
          <w:sz w:val="24"/>
          <w:szCs w:val="24"/>
          <w:lang w:eastAsia="zh-CN"/>
        </w:rPr>
      </w:pPr>
      <w:r w:rsidRPr="005D422F">
        <w:rPr>
          <w:sz w:val="24"/>
          <w:szCs w:val="24"/>
        </w:rPr>
        <w:t>References</w:t>
      </w:r>
    </w:p>
    <w:p w14:paraId="76F1E0E2" w14:textId="03BB2246" w:rsidR="009D5A7A" w:rsidRPr="00706B67" w:rsidRDefault="009D5A7A" w:rsidP="009D5A7A">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G. </w:t>
      </w:r>
      <w:r w:rsidRPr="00236294">
        <w:rPr>
          <w:rFonts w:asciiTheme="majorBidi" w:hAnsiTheme="majorBidi" w:cstheme="majorBidi"/>
          <w:i/>
          <w:iCs/>
          <w:noProof/>
          <w:sz w:val="20"/>
        </w:rPr>
        <w:t>Litjens</w:t>
      </w:r>
      <w:r w:rsidRPr="00706B67">
        <w:rPr>
          <w:rFonts w:asciiTheme="majorBidi" w:hAnsiTheme="majorBidi" w:cstheme="majorBidi"/>
          <w:noProof/>
          <w:sz w:val="20"/>
        </w:rPr>
        <w:t xml:space="preserve">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“A survey on deep learning in medical </w:t>
      </w:r>
      <w:r w:rsidRPr="009D5A7A">
        <w:rPr>
          <w:sz w:val="22"/>
          <w:szCs w:val="22"/>
        </w:rPr>
        <w:t>image analysis,” Med. Image Anal., vol. 42, pp.</w:t>
      </w:r>
      <w:r w:rsidRPr="00706B67">
        <w:rPr>
          <w:rFonts w:asciiTheme="majorBidi" w:hAnsiTheme="majorBidi" w:cstheme="majorBidi"/>
          <w:noProof/>
          <w:sz w:val="20"/>
        </w:rPr>
        <w:t xml:space="preserve"> 60–88, 2017.</w:t>
      </w:r>
      <w:r>
        <w:rPr>
          <w:rFonts w:asciiTheme="majorBidi" w:hAnsiTheme="majorBidi" w:cstheme="majorBidi"/>
          <w:noProof/>
          <w:sz w:val="20"/>
        </w:rPr>
        <w:t xml:space="preserve"> </w:t>
      </w:r>
      <w:r w:rsidRPr="00A075BF">
        <w:rPr>
          <w:rFonts w:asciiTheme="majorBidi" w:hAnsiTheme="majorBidi" w:cstheme="majorBidi"/>
          <w:noProof/>
          <w:sz w:val="20"/>
        </w:rPr>
        <w:t>https://doi.org/10.1016/j.media.2017.07.005</w:t>
      </w:r>
      <w:r>
        <w:rPr>
          <w:rFonts w:asciiTheme="majorBidi" w:hAnsiTheme="majorBidi" w:cstheme="majorBidi"/>
          <w:noProof/>
          <w:sz w:val="20"/>
        </w:rPr>
        <w:t xml:space="preserve"> </w:t>
      </w:r>
    </w:p>
    <w:p w14:paraId="384D33F7" w14:textId="5DFBCD39" w:rsidR="009D5A7A" w:rsidRPr="00706B67" w:rsidRDefault="009D5A7A" w:rsidP="009D5A7A">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D. S. Kermany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“Identifying Medical Diagnoses and Treatable Diseases by Image-Based Deep Learning,” </w:t>
      </w:r>
      <w:r w:rsidRPr="00706B67">
        <w:rPr>
          <w:rFonts w:asciiTheme="majorBidi" w:hAnsiTheme="majorBidi" w:cstheme="majorBidi"/>
          <w:i/>
          <w:iCs/>
          <w:noProof/>
          <w:sz w:val="20"/>
        </w:rPr>
        <w:t>Cell</w:t>
      </w:r>
      <w:r w:rsidRPr="00706B67">
        <w:rPr>
          <w:rFonts w:asciiTheme="majorBidi" w:hAnsiTheme="majorBidi" w:cstheme="majorBidi"/>
          <w:noProof/>
          <w:sz w:val="20"/>
        </w:rPr>
        <w:t>, vol. 172, no. 5, pp. 1122-1131.e9, Feb. 2018,</w:t>
      </w:r>
      <w:r>
        <w:rPr>
          <w:rFonts w:asciiTheme="majorBidi" w:hAnsiTheme="majorBidi" w:cstheme="majorBidi"/>
          <w:noProof/>
          <w:sz w:val="20"/>
        </w:rPr>
        <w:t xml:space="preserve"> </w:t>
      </w:r>
      <w:r w:rsidRPr="00C46A91">
        <w:rPr>
          <w:rFonts w:asciiTheme="majorBidi" w:hAnsiTheme="majorBidi" w:cstheme="majorBidi"/>
          <w:noProof/>
          <w:sz w:val="20"/>
        </w:rPr>
        <w:t>https://doi.org/10.1016/j.cell.2018.02.010</w:t>
      </w:r>
    </w:p>
    <w:p w14:paraId="04CF59EF" w14:textId="1EBF0B34" w:rsidR="009D5A7A" w:rsidRPr="00706B67" w:rsidRDefault="009D5A7A" w:rsidP="009D5A7A">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V. Gulshan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“Development and Validation of a Deep Learning Algorithm for Detection of Diabetic Retinopathy in Retinal Fundus Photographs,” </w:t>
      </w:r>
      <w:r w:rsidRPr="00706B67">
        <w:rPr>
          <w:rFonts w:asciiTheme="majorBidi" w:hAnsiTheme="majorBidi" w:cstheme="majorBidi"/>
          <w:i/>
          <w:iCs/>
          <w:noProof/>
          <w:sz w:val="20"/>
        </w:rPr>
        <w:t>JAMA</w:t>
      </w:r>
      <w:r w:rsidRPr="00706B67">
        <w:rPr>
          <w:rFonts w:asciiTheme="majorBidi" w:hAnsiTheme="majorBidi" w:cstheme="majorBidi"/>
          <w:noProof/>
          <w:sz w:val="20"/>
        </w:rPr>
        <w:t xml:space="preserve">, vol. 316, no. 22, pp. 2402–2410, 2016, </w:t>
      </w:r>
      <w:r w:rsidRPr="006B56DA">
        <w:rPr>
          <w:rFonts w:asciiTheme="majorBidi" w:hAnsiTheme="majorBidi" w:cstheme="majorBidi"/>
          <w:noProof/>
          <w:sz w:val="20"/>
        </w:rPr>
        <w:t>https://doi.org/10.1001/jama.2016.17216</w:t>
      </w:r>
      <w:r w:rsidRPr="00706B67">
        <w:rPr>
          <w:rFonts w:asciiTheme="majorBidi" w:hAnsiTheme="majorBidi" w:cstheme="majorBidi"/>
          <w:noProof/>
          <w:sz w:val="20"/>
        </w:rPr>
        <w:t>.</w:t>
      </w:r>
    </w:p>
    <w:p w14:paraId="21B9D914" w14:textId="30CF2D5C"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D. S. W. Ting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“Development and Validation of a Deep Learning System for Diabetic Retinopathy and Related Eye Diseases Using Retinal Images From Multiethnic Populations With Diabetes,” </w:t>
      </w:r>
      <w:r w:rsidRPr="00706B67">
        <w:rPr>
          <w:rFonts w:asciiTheme="majorBidi" w:hAnsiTheme="majorBidi" w:cstheme="majorBidi"/>
          <w:i/>
          <w:iCs/>
          <w:noProof/>
          <w:sz w:val="20"/>
        </w:rPr>
        <w:t>JAMA</w:t>
      </w:r>
      <w:r w:rsidRPr="00706B67">
        <w:rPr>
          <w:rFonts w:asciiTheme="majorBidi" w:hAnsiTheme="majorBidi" w:cstheme="majorBidi"/>
          <w:noProof/>
          <w:sz w:val="20"/>
        </w:rPr>
        <w:t xml:space="preserve">, vol. 318, no. 22, pp. 2211–2223, 2017, </w:t>
      </w:r>
      <w:r w:rsidRPr="00F86868">
        <w:rPr>
          <w:rFonts w:asciiTheme="majorBidi" w:hAnsiTheme="majorBidi" w:cstheme="majorBidi"/>
          <w:noProof/>
          <w:sz w:val="20"/>
        </w:rPr>
        <w:t>https://doi.org/10.1001/jama.2017.18152</w:t>
      </w:r>
    </w:p>
    <w:p w14:paraId="71C99108" w14:textId="711827CA"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J. De  Fauw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“Clinically applicable deep learning for diagnosis and referral in retinal disease,” </w:t>
      </w:r>
      <w:r w:rsidRPr="00706B67">
        <w:rPr>
          <w:rFonts w:asciiTheme="majorBidi" w:hAnsiTheme="majorBidi" w:cstheme="majorBidi"/>
          <w:i/>
          <w:iCs/>
          <w:noProof/>
          <w:sz w:val="20"/>
        </w:rPr>
        <w:t>Nat. Med.</w:t>
      </w:r>
      <w:r w:rsidRPr="00706B67">
        <w:rPr>
          <w:rFonts w:asciiTheme="majorBidi" w:hAnsiTheme="majorBidi" w:cstheme="majorBidi"/>
          <w:noProof/>
          <w:sz w:val="20"/>
        </w:rPr>
        <w:t xml:space="preserve">, vol. 24, no. 9, pp. 1342–1350, 2018, </w:t>
      </w:r>
      <w:r w:rsidRPr="00D52C05">
        <w:rPr>
          <w:rFonts w:asciiTheme="majorBidi" w:hAnsiTheme="majorBidi" w:cstheme="majorBidi"/>
          <w:noProof/>
          <w:sz w:val="20"/>
        </w:rPr>
        <w:t>https://doi.org/10.1038/s41591-018-0107-6</w:t>
      </w:r>
    </w:p>
    <w:p w14:paraId="5CCDC5A8" w14:textId="35457681"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J. Irvin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“Chexpert: A large chest radiograph dataset with uncertainty labels and expert comparison,” in </w:t>
      </w:r>
      <w:r w:rsidRPr="00706B67">
        <w:rPr>
          <w:rFonts w:asciiTheme="majorBidi" w:hAnsiTheme="majorBidi" w:cstheme="majorBidi"/>
          <w:i/>
          <w:iCs/>
          <w:noProof/>
          <w:sz w:val="20"/>
        </w:rPr>
        <w:t>Proceedings of the AAAI conference on artificial intelligence</w:t>
      </w:r>
      <w:r w:rsidRPr="00706B67">
        <w:rPr>
          <w:rFonts w:asciiTheme="majorBidi" w:hAnsiTheme="majorBidi" w:cstheme="majorBidi"/>
          <w:noProof/>
          <w:sz w:val="20"/>
        </w:rPr>
        <w:t>, 2019, vol. 33, no. 01, pp. 590–597.</w:t>
      </w:r>
      <w:r>
        <w:rPr>
          <w:rFonts w:asciiTheme="majorBidi" w:hAnsiTheme="majorBidi" w:cstheme="majorBidi"/>
          <w:noProof/>
          <w:sz w:val="20"/>
        </w:rPr>
        <w:t xml:space="preserve"> </w:t>
      </w:r>
      <w:r w:rsidRPr="00176681">
        <w:rPr>
          <w:rFonts w:asciiTheme="majorBidi" w:hAnsiTheme="majorBidi" w:cstheme="majorBidi"/>
          <w:noProof/>
          <w:sz w:val="20"/>
        </w:rPr>
        <w:t>1.</w:t>
      </w:r>
      <w:r w:rsidRPr="00176681">
        <w:rPr>
          <w:rFonts w:asciiTheme="majorBidi" w:hAnsiTheme="majorBidi" w:cstheme="majorBidi"/>
          <w:noProof/>
          <w:sz w:val="20"/>
        </w:rPr>
        <w:tab/>
        <w:t>https://doi.org/10.1609/aaai.v33i01.3301590</w:t>
      </w:r>
    </w:p>
    <w:p w14:paraId="5D24B1A5" w14:textId="4C6EB319"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A. E. W. Johnson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“MIMIC-CXR, a de-identified publicly </w:t>
      </w:r>
      <w:r w:rsidRPr="00236294">
        <w:rPr>
          <w:rFonts w:asciiTheme="majorBidi" w:hAnsiTheme="majorBidi" w:cstheme="majorBidi"/>
          <w:i/>
          <w:iCs/>
          <w:noProof/>
          <w:sz w:val="20"/>
        </w:rPr>
        <w:t>available</w:t>
      </w:r>
      <w:r w:rsidRPr="00706B67">
        <w:rPr>
          <w:rFonts w:asciiTheme="majorBidi" w:hAnsiTheme="majorBidi" w:cstheme="majorBidi"/>
          <w:noProof/>
          <w:sz w:val="20"/>
        </w:rPr>
        <w:t xml:space="preserve"> database of chest radiographs with free-text reports,” </w:t>
      </w:r>
      <w:r w:rsidRPr="00706B67">
        <w:rPr>
          <w:rFonts w:asciiTheme="majorBidi" w:hAnsiTheme="majorBidi" w:cstheme="majorBidi"/>
          <w:i/>
          <w:iCs/>
          <w:noProof/>
          <w:sz w:val="20"/>
        </w:rPr>
        <w:t>Sci. Data</w:t>
      </w:r>
      <w:r w:rsidRPr="00706B67">
        <w:rPr>
          <w:rFonts w:asciiTheme="majorBidi" w:hAnsiTheme="majorBidi" w:cstheme="majorBidi"/>
          <w:noProof/>
          <w:sz w:val="20"/>
        </w:rPr>
        <w:t xml:space="preserve">, vol. 6, no. 1, p. 317, 2019, </w:t>
      </w:r>
      <w:r w:rsidRPr="006A4B19">
        <w:rPr>
          <w:rFonts w:asciiTheme="majorBidi" w:hAnsiTheme="majorBidi" w:cstheme="majorBidi"/>
          <w:noProof/>
          <w:sz w:val="20"/>
        </w:rPr>
        <w:t>7.</w:t>
      </w:r>
      <w:r w:rsidRPr="006A4B19">
        <w:rPr>
          <w:rFonts w:asciiTheme="majorBidi" w:hAnsiTheme="majorBidi" w:cstheme="majorBidi"/>
          <w:noProof/>
          <w:sz w:val="20"/>
        </w:rPr>
        <w:tab/>
        <w:t>https://doi.org/10.1038/s41597-019-0322-0</w:t>
      </w:r>
      <w:r w:rsidRPr="00706B67">
        <w:rPr>
          <w:rFonts w:asciiTheme="majorBidi" w:hAnsiTheme="majorBidi" w:cstheme="majorBidi"/>
          <w:noProof/>
          <w:sz w:val="20"/>
        </w:rPr>
        <w:t>.</w:t>
      </w:r>
    </w:p>
    <w:p w14:paraId="63BFEB32" w14:textId="11E8BF5C"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X. Liu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“A comparison of deep learning performance against health-care professionals in detecting diseases from medical imaging: a systematic review and meta-analysis,” </w:t>
      </w:r>
      <w:r w:rsidRPr="00706B67">
        <w:rPr>
          <w:rFonts w:asciiTheme="majorBidi" w:hAnsiTheme="majorBidi" w:cstheme="majorBidi"/>
          <w:i/>
          <w:iCs/>
          <w:noProof/>
          <w:sz w:val="20"/>
        </w:rPr>
        <w:t>Lancet Digit. Heal.</w:t>
      </w:r>
      <w:r w:rsidRPr="00706B67">
        <w:rPr>
          <w:rFonts w:asciiTheme="majorBidi" w:hAnsiTheme="majorBidi" w:cstheme="majorBidi"/>
          <w:noProof/>
          <w:sz w:val="20"/>
        </w:rPr>
        <w:t xml:space="preserve">, vol. 1, no. 6, pp. e271–e297, Oct. 2019, </w:t>
      </w:r>
      <w:r w:rsidRPr="006A4B19">
        <w:rPr>
          <w:rFonts w:asciiTheme="majorBidi" w:hAnsiTheme="majorBidi" w:cstheme="majorBidi"/>
          <w:noProof/>
          <w:sz w:val="20"/>
        </w:rPr>
        <w:t>https://doi.org/10.1016/S2589-7500(19)30123-2</w:t>
      </w:r>
      <w:r w:rsidRPr="00706B67">
        <w:rPr>
          <w:rFonts w:asciiTheme="majorBidi" w:hAnsiTheme="majorBidi" w:cstheme="majorBidi"/>
          <w:noProof/>
          <w:sz w:val="20"/>
        </w:rPr>
        <w:t>.</w:t>
      </w:r>
    </w:p>
    <w:p w14:paraId="54AEB85A" w14:textId="4D24D18B"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M. Nagendran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“Artificial intelligence versus </w:t>
      </w:r>
      <w:r w:rsidRPr="00236294">
        <w:rPr>
          <w:rFonts w:asciiTheme="majorBidi" w:hAnsiTheme="majorBidi" w:cstheme="majorBidi"/>
          <w:i/>
          <w:iCs/>
          <w:noProof/>
          <w:sz w:val="20"/>
        </w:rPr>
        <w:t>clinicians</w:t>
      </w:r>
      <w:r w:rsidRPr="00706B67">
        <w:rPr>
          <w:rFonts w:asciiTheme="majorBidi" w:hAnsiTheme="majorBidi" w:cstheme="majorBidi"/>
          <w:noProof/>
          <w:sz w:val="20"/>
        </w:rPr>
        <w:t xml:space="preserve">: systematic review of design, reporting standards, and claims of deep learning studies,” </w:t>
      </w:r>
      <w:r w:rsidRPr="00706B67">
        <w:rPr>
          <w:rFonts w:asciiTheme="majorBidi" w:hAnsiTheme="majorBidi" w:cstheme="majorBidi"/>
          <w:i/>
          <w:iCs/>
          <w:noProof/>
          <w:sz w:val="20"/>
        </w:rPr>
        <w:t>BMJ</w:t>
      </w:r>
      <w:r w:rsidRPr="00706B67">
        <w:rPr>
          <w:rFonts w:asciiTheme="majorBidi" w:hAnsiTheme="majorBidi" w:cstheme="majorBidi"/>
          <w:noProof/>
          <w:sz w:val="20"/>
        </w:rPr>
        <w:t xml:space="preserve">, vol. 368, 2020, </w:t>
      </w:r>
      <w:r w:rsidRPr="00792EA2">
        <w:rPr>
          <w:rFonts w:asciiTheme="majorBidi" w:hAnsiTheme="majorBidi" w:cstheme="majorBidi"/>
          <w:noProof/>
          <w:sz w:val="20"/>
        </w:rPr>
        <w:t>https://doi.org/10.1136/bmj.m689</w:t>
      </w:r>
      <w:r w:rsidRPr="00706B67">
        <w:rPr>
          <w:rFonts w:asciiTheme="majorBidi" w:hAnsiTheme="majorBidi" w:cstheme="majorBidi"/>
          <w:noProof/>
          <w:sz w:val="20"/>
        </w:rPr>
        <w:t>.</w:t>
      </w:r>
    </w:p>
    <w:p w14:paraId="4DE330B5" w14:textId="005F898D"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S. Prasad and A. K. Singh, “Survey on medical image </w:t>
      </w:r>
      <w:r w:rsidRPr="00236294">
        <w:rPr>
          <w:rFonts w:asciiTheme="majorBidi" w:hAnsiTheme="majorBidi" w:cstheme="majorBidi"/>
          <w:i/>
          <w:iCs/>
          <w:noProof/>
          <w:sz w:val="20"/>
        </w:rPr>
        <w:t>encryption</w:t>
      </w:r>
      <w:r w:rsidRPr="00706B67">
        <w:rPr>
          <w:rFonts w:asciiTheme="majorBidi" w:hAnsiTheme="majorBidi" w:cstheme="majorBidi"/>
          <w:noProof/>
          <w:sz w:val="20"/>
        </w:rPr>
        <w:t xml:space="preserve">: From classical to deep learning-based approaches,” </w:t>
      </w:r>
      <w:r w:rsidRPr="00706B67">
        <w:rPr>
          <w:rFonts w:asciiTheme="majorBidi" w:hAnsiTheme="majorBidi" w:cstheme="majorBidi"/>
          <w:i/>
          <w:iCs/>
          <w:noProof/>
          <w:sz w:val="20"/>
        </w:rPr>
        <w:t>Comput. Electr. Eng.</w:t>
      </w:r>
      <w:r w:rsidRPr="00706B67">
        <w:rPr>
          <w:rFonts w:asciiTheme="majorBidi" w:hAnsiTheme="majorBidi" w:cstheme="majorBidi"/>
          <w:noProof/>
          <w:sz w:val="20"/>
        </w:rPr>
        <w:t>, vol. 123, p. 110011, 2025.</w:t>
      </w:r>
    </w:p>
    <w:p w14:paraId="1FD06BB1" w14:textId="05FD3E94"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S. T. Ahmed, D. A. Hammood, R. F. Chisab, A. Al-Naji, and J. Chahl, “Medical image encryption: a </w:t>
      </w:r>
      <w:r w:rsidRPr="00236294">
        <w:rPr>
          <w:rFonts w:asciiTheme="majorBidi" w:hAnsiTheme="majorBidi" w:cstheme="majorBidi"/>
          <w:i/>
          <w:iCs/>
          <w:noProof/>
          <w:sz w:val="20"/>
        </w:rPr>
        <w:t>comprehensive</w:t>
      </w:r>
      <w:r w:rsidRPr="00706B67">
        <w:rPr>
          <w:rFonts w:asciiTheme="majorBidi" w:hAnsiTheme="majorBidi" w:cstheme="majorBidi"/>
          <w:noProof/>
          <w:sz w:val="20"/>
        </w:rPr>
        <w:t xml:space="preserve"> review,” </w:t>
      </w:r>
      <w:r w:rsidRPr="00706B67">
        <w:rPr>
          <w:rFonts w:asciiTheme="majorBidi" w:hAnsiTheme="majorBidi" w:cstheme="majorBidi"/>
          <w:i/>
          <w:iCs/>
          <w:noProof/>
          <w:sz w:val="20"/>
        </w:rPr>
        <w:t>Computers</w:t>
      </w:r>
      <w:r w:rsidRPr="00706B67">
        <w:rPr>
          <w:rFonts w:asciiTheme="majorBidi" w:hAnsiTheme="majorBidi" w:cstheme="majorBidi"/>
          <w:noProof/>
          <w:sz w:val="20"/>
        </w:rPr>
        <w:t>, vol. 12, no. 8, p. 160, 2023.</w:t>
      </w:r>
    </w:p>
    <w:p w14:paraId="19C03A46" w14:textId="4C1CF32B"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lastRenderedPageBreak/>
        <w:t xml:space="preserve">K. </w:t>
      </w:r>
      <w:r w:rsidRPr="00236294">
        <w:rPr>
          <w:rFonts w:asciiTheme="majorBidi" w:hAnsiTheme="majorBidi" w:cstheme="majorBidi"/>
          <w:i/>
          <w:iCs/>
          <w:noProof/>
          <w:sz w:val="20"/>
        </w:rPr>
        <w:t>Lata</w:t>
      </w:r>
      <w:r w:rsidRPr="00706B67">
        <w:rPr>
          <w:rFonts w:asciiTheme="majorBidi" w:hAnsiTheme="majorBidi" w:cstheme="majorBidi"/>
          <w:noProof/>
          <w:sz w:val="20"/>
        </w:rPr>
        <w:t xml:space="preserve"> and L. R. Cenkeramaddi, “Deep learning for medical image cryptography: A comprehensive review,” </w:t>
      </w:r>
      <w:r w:rsidRPr="00706B67">
        <w:rPr>
          <w:rFonts w:asciiTheme="majorBidi" w:hAnsiTheme="majorBidi" w:cstheme="majorBidi"/>
          <w:i/>
          <w:iCs/>
          <w:noProof/>
          <w:sz w:val="20"/>
        </w:rPr>
        <w:t>Appl. Sci.</w:t>
      </w:r>
      <w:r w:rsidRPr="00706B67">
        <w:rPr>
          <w:rFonts w:asciiTheme="majorBidi" w:hAnsiTheme="majorBidi" w:cstheme="majorBidi"/>
          <w:noProof/>
          <w:sz w:val="20"/>
        </w:rPr>
        <w:t>, vol. 13, no. 14, p. 8295, 2023.</w:t>
      </w:r>
    </w:p>
    <w:p w14:paraId="7E884227" w14:textId="5FCAC8C9"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S. </w:t>
      </w:r>
      <w:r w:rsidRPr="00236294">
        <w:rPr>
          <w:rFonts w:asciiTheme="majorBidi" w:hAnsiTheme="majorBidi" w:cstheme="majorBidi"/>
          <w:i/>
          <w:iCs/>
          <w:noProof/>
          <w:sz w:val="20"/>
        </w:rPr>
        <w:t>Pankaj</w:t>
      </w:r>
      <w:r w:rsidRPr="00706B67">
        <w:rPr>
          <w:rFonts w:asciiTheme="majorBidi" w:hAnsiTheme="majorBidi" w:cstheme="majorBidi"/>
          <w:noProof/>
          <w:sz w:val="20"/>
        </w:rPr>
        <w:t xml:space="preserve"> and M. Dua, “Chaos based medical image encryption techniques: A comprehensive review and analysis,” </w:t>
      </w:r>
      <w:r w:rsidRPr="00706B67">
        <w:rPr>
          <w:rFonts w:asciiTheme="majorBidi" w:hAnsiTheme="majorBidi" w:cstheme="majorBidi"/>
          <w:i/>
          <w:iCs/>
          <w:noProof/>
          <w:sz w:val="20"/>
        </w:rPr>
        <w:t>Inf. Secur. J. A Glob. Perspect.</w:t>
      </w:r>
      <w:r w:rsidRPr="00706B67">
        <w:rPr>
          <w:rFonts w:asciiTheme="majorBidi" w:hAnsiTheme="majorBidi" w:cstheme="majorBidi"/>
          <w:noProof/>
          <w:sz w:val="20"/>
        </w:rPr>
        <w:t>, vol. 33, no. 3, pp. 332–358, 2024.</w:t>
      </w:r>
    </w:p>
    <w:p w14:paraId="4C5ED13F" w14:textId="79D8201A"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Priyanka and A. K. Singh, “A survey of image encryption for </w:t>
      </w:r>
      <w:r w:rsidRPr="00236294">
        <w:rPr>
          <w:rFonts w:asciiTheme="majorBidi" w:hAnsiTheme="majorBidi" w:cstheme="majorBidi"/>
          <w:i/>
          <w:iCs/>
          <w:noProof/>
          <w:sz w:val="20"/>
        </w:rPr>
        <w:t>healthcare</w:t>
      </w:r>
      <w:r w:rsidRPr="00706B67">
        <w:rPr>
          <w:rFonts w:asciiTheme="majorBidi" w:hAnsiTheme="majorBidi" w:cstheme="majorBidi"/>
          <w:noProof/>
          <w:sz w:val="20"/>
        </w:rPr>
        <w:t xml:space="preserve"> applications,” </w:t>
      </w:r>
      <w:r w:rsidRPr="00706B67">
        <w:rPr>
          <w:rFonts w:asciiTheme="majorBidi" w:hAnsiTheme="majorBidi" w:cstheme="majorBidi"/>
          <w:i/>
          <w:iCs/>
          <w:noProof/>
          <w:sz w:val="20"/>
        </w:rPr>
        <w:t>Evol. Intell.</w:t>
      </w:r>
      <w:r w:rsidRPr="00706B67">
        <w:rPr>
          <w:rFonts w:asciiTheme="majorBidi" w:hAnsiTheme="majorBidi" w:cstheme="majorBidi"/>
          <w:noProof/>
          <w:sz w:val="20"/>
        </w:rPr>
        <w:t>, vol. 16, no. 3, pp. 801–818, 2023.</w:t>
      </w:r>
    </w:p>
    <w:p w14:paraId="6C8E3A1F" w14:textId="51AAC1B5"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F. </w:t>
      </w:r>
      <w:r w:rsidRPr="00236294">
        <w:rPr>
          <w:rFonts w:asciiTheme="majorBidi" w:hAnsiTheme="majorBidi" w:cstheme="majorBidi"/>
          <w:i/>
          <w:iCs/>
          <w:noProof/>
          <w:sz w:val="20"/>
        </w:rPr>
        <w:t>Masood</w:t>
      </w:r>
      <w:r w:rsidRPr="00706B67">
        <w:rPr>
          <w:rFonts w:asciiTheme="majorBidi" w:hAnsiTheme="majorBidi" w:cstheme="majorBidi"/>
          <w:noProof/>
          <w:sz w:val="20"/>
        </w:rPr>
        <w:t xml:space="preserve">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“A lightweight chaos-based medical image encryption scheme using random shuffling and XOR operations,” </w:t>
      </w:r>
      <w:r w:rsidRPr="00706B67">
        <w:rPr>
          <w:rFonts w:asciiTheme="majorBidi" w:hAnsiTheme="majorBidi" w:cstheme="majorBidi"/>
          <w:i/>
          <w:iCs/>
          <w:noProof/>
          <w:sz w:val="20"/>
        </w:rPr>
        <w:t>Wirel. Pers. Commun.</w:t>
      </w:r>
      <w:r w:rsidRPr="00706B67">
        <w:rPr>
          <w:rFonts w:asciiTheme="majorBidi" w:hAnsiTheme="majorBidi" w:cstheme="majorBidi"/>
          <w:noProof/>
          <w:sz w:val="20"/>
        </w:rPr>
        <w:t>, vol. 127, no. 2, pp. 1405–1432, 2022.</w:t>
      </w:r>
    </w:p>
    <w:p w14:paraId="2758A81B" w14:textId="7BD79216"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Q. Natsheh, A. Sălăgean, D. Zhou, and E. Edirisinghe, “</w:t>
      </w:r>
      <w:r w:rsidRPr="00236294">
        <w:rPr>
          <w:rFonts w:asciiTheme="majorBidi" w:hAnsiTheme="majorBidi" w:cstheme="majorBidi"/>
          <w:i/>
          <w:iCs/>
          <w:noProof/>
          <w:sz w:val="20"/>
        </w:rPr>
        <w:t>Automatic</w:t>
      </w:r>
      <w:r w:rsidRPr="00706B67">
        <w:rPr>
          <w:rFonts w:asciiTheme="majorBidi" w:hAnsiTheme="majorBidi" w:cstheme="majorBidi"/>
          <w:noProof/>
          <w:sz w:val="20"/>
        </w:rPr>
        <w:t xml:space="preserve"> selective encryption of DICOM images,” </w:t>
      </w:r>
      <w:r w:rsidRPr="00706B67">
        <w:rPr>
          <w:rFonts w:asciiTheme="majorBidi" w:hAnsiTheme="majorBidi" w:cstheme="majorBidi"/>
          <w:i/>
          <w:iCs/>
          <w:noProof/>
          <w:sz w:val="20"/>
        </w:rPr>
        <w:t>Appl. Sci.</w:t>
      </w:r>
      <w:r w:rsidRPr="00706B67">
        <w:rPr>
          <w:rFonts w:asciiTheme="majorBidi" w:hAnsiTheme="majorBidi" w:cstheme="majorBidi"/>
          <w:noProof/>
          <w:sz w:val="20"/>
        </w:rPr>
        <w:t>, vol. 13, no. 8, p. 4779, 2023.</w:t>
      </w:r>
    </w:p>
    <w:p w14:paraId="0F35DC91" w14:textId="4D8D2AB1"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L. Zhang, X. Song, A. A. A. El-Latif, Y. Zhao, and B. Abd-El-Atty, “Reversibly selective encryption for medical images based on coupled chaotic maps and steganography,” </w:t>
      </w:r>
      <w:r w:rsidRPr="00706B67">
        <w:rPr>
          <w:rFonts w:asciiTheme="majorBidi" w:hAnsiTheme="majorBidi" w:cstheme="majorBidi"/>
          <w:i/>
          <w:iCs/>
          <w:noProof/>
          <w:sz w:val="20"/>
        </w:rPr>
        <w:t>Complex Intell. Syst.</w:t>
      </w:r>
      <w:r w:rsidRPr="00706B67">
        <w:rPr>
          <w:rFonts w:asciiTheme="majorBidi" w:hAnsiTheme="majorBidi" w:cstheme="majorBidi"/>
          <w:noProof/>
          <w:sz w:val="20"/>
        </w:rPr>
        <w:t>, vol. 10, no. 2, pp. 2187–2213, 2024.</w:t>
      </w:r>
    </w:p>
    <w:p w14:paraId="205B6877" w14:textId="61B704F4" w:rsidR="009D5A7A" w:rsidRPr="00706B67" w:rsidRDefault="009D5A7A" w:rsidP="00E21530">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S. S. Jamal, M. M. Hazzazi, M. F. Khan, Z. Bassfar, A. Aljaedi, and Z. ul Islam, “Region of interest-based medical image encryption technique based on chaotic S-boxes,” </w:t>
      </w:r>
      <w:r w:rsidRPr="00706B67">
        <w:rPr>
          <w:rFonts w:asciiTheme="majorBidi" w:hAnsiTheme="majorBidi" w:cstheme="majorBidi"/>
          <w:i/>
          <w:iCs/>
          <w:noProof/>
          <w:sz w:val="20"/>
        </w:rPr>
        <w:t>Expert Syst. Appl.</w:t>
      </w:r>
      <w:r w:rsidRPr="00706B67">
        <w:rPr>
          <w:rFonts w:asciiTheme="majorBidi" w:hAnsiTheme="majorBidi" w:cstheme="majorBidi"/>
          <w:noProof/>
          <w:sz w:val="20"/>
        </w:rPr>
        <w:t>, vol. 238, p. 122030, 2024.</w:t>
      </w:r>
    </w:p>
    <w:p w14:paraId="6DC36323" w14:textId="241ADBCC"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P. Kiran and B. D. Parameshachari, “Resource optimized selective image encryption of medical images using multiple chaotic systems,” </w:t>
      </w:r>
      <w:r w:rsidRPr="00706B67">
        <w:rPr>
          <w:rFonts w:asciiTheme="majorBidi" w:hAnsiTheme="majorBidi" w:cstheme="majorBidi"/>
          <w:i/>
          <w:iCs/>
          <w:noProof/>
          <w:sz w:val="20"/>
        </w:rPr>
        <w:t>Microprocess. Microsyst.</w:t>
      </w:r>
      <w:r w:rsidRPr="00706B67">
        <w:rPr>
          <w:rFonts w:asciiTheme="majorBidi" w:hAnsiTheme="majorBidi" w:cstheme="majorBidi"/>
          <w:noProof/>
          <w:sz w:val="20"/>
        </w:rPr>
        <w:t>, vol. 91, p. 104546, 2022.</w:t>
      </w:r>
    </w:p>
    <w:p w14:paraId="7BBF219C" w14:textId="0926AE54"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Q. Lai, G. Hu, U. Erkan, and A. Toktas, “High-efficiency medical image encryption method based on 2D Logistic-Gaussian hyperchaotic map,” </w:t>
      </w:r>
      <w:r w:rsidRPr="00706B67">
        <w:rPr>
          <w:rFonts w:asciiTheme="majorBidi" w:hAnsiTheme="majorBidi" w:cstheme="majorBidi"/>
          <w:i/>
          <w:iCs/>
          <w:noProof/>
          <w:sz w:val="20"/>
        </w:rPr>
        <w:t>Appl. Math. Comput.</w:t>
      </w:r>
      <w:r w:rsidRPr="00706B67">
        <w:rPr>
          <w:rFonts w:asciiTheme="majorBidi" w:hAnsiTheme="majorBidi" w:cstheme="majorBidi"/>
          <w:noProof/>
          <w:sz w:val="20"/>
        </w:rPr>
        <w:t>, vol. 442, p. 127738, 2023.</w:t>
      </w:r>
    </w:p>
    <w:p w14:paraId="6E794D16" w14:textId="6D433D1F"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T. R. Ningthoukhongjam, S. Devi Heisnam, and M. Singh </w:t>
      </w:r>
      <w:r w:rsidRPr="00236294">
        <w:rPr>
          <w:rFonts w:asciiTheme="majorBidi" w:hAnsiTheme="majorBidi" w:cstheme="majorBidi"/>
          <w:noProof/>
          <w:sz w:val="20"/>
        </w:rPr>
        <w:t>Khumanthem, “Medical Image Encryption</w:t>
      </w:r>
      <w:r w:rsidRPr="00706B67">
        <w:rPr>
          <w:rFonts w:asciiTheme="majorBidi" w:hAnsiTheme="majorBidi" w:cstheme="majorBidi"/>
          <w:noProof/>
          <w:sz w:val="20"/>
        </w:rPr>
        <w:t xml:space="preserve"> Through Chaotic Asymmetric Cryptosystem,” </w:t>
      </w:r>
      <w:r w:rsidRPr="00706B67">
        <w:rPr>
          <w:rFonts w:asciiTheme="majorBidi" w:hAnsiTheme="majorBidi" w:cstheme="majorBidi"/>
          <w:i/>
          <w:iCs/>
          <w:noProof/>
          <w:sz w:val="20"/>
        </w:rPr>
        <w:t>IEEE Access</w:t>
      </w:r>
      <w:r w:rsidRPr="00706B67">
        <w:rPr>
          <w:rFonts w:asciiTheme="majorBidi" w:hAnsiTheme="majorBidi" w:cstheme="majorBidi"/>
          <w:noProof/>
          <w:sz w:val="20"/>
        </w:rPr>
        <w:t>, vol. 12, pp. 73879–73888, 2024, doi: 10.1109/ACCESS.2024.3404088.</w:t>
      </w:r>
    </w:p>
    <w:p w14:paraId="3E8F4917" w14:textId="79E40955"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C. K.-H. Oh Ju-Young Yang Dong-Il, “A Selective Encryption Algorithm Based on AES for Medical Information,” </w:t>
      </w:r>
      <w:r w:rsidRPr="00706B67">
        <w:rPr>
          <w:rFonts w:asciiTheme="majorBidi" w:hAnsiTheme="majorBidi" w:cstheme="majorBidi"/>
          <w:i/>
          <w:iCs/>
          <w:noProof/>
          <w:sz w:val="20"/>
        </w:rPr>
        <w:t>hir</w:t>
      </w:r>
      <w:r w:rsidRPr="00706B67">
        <w:rPr>
          <w:rFonts w:asciiTheme="majorBidi" w:hAnsiTheme="majorBidi" w:cstheme="majorBidi"/>
          <w:noProof/>
          <w:sz w:val="20"/>
        </w:rPr>
        <w:t>, vol. 16, no. 1, pp. 22–29, 2010, doi: 10.4258/hir.2010.16.1.22.</w:t>
      </w:r>
    </w:p>
    <w:p w14:paraId="19F3DA30" w14:textId="7C6AA0E5"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M. K. Abdmouleh, A. Khalfallah, and M. S. Bouhlel, “A Novel Selective Encryption Scheme for Medical Images Transmission based-on JPEG Compression Algorithm,” </w:t>
      </w:r>
      <w:r w:rsidRPr="00706B67">
        <w:rPr>
          <w:rFonts w:asciiTheme="majorBidi" w:hAnsiTheme="majorBidi" w:cstheme="majorBidi"/>
          <w:i/>
          <w:iCs/>
          <w:noProof/>
          <w:sz w:val="20"/>
        </w:rPr>
        <w:t>Procedia Comput. Sci.</w:t>
      </w:r>
      <w:r w:rsidRPr="00706B67">
        <w:rPr>
          <w:rFonts w:asciiTheme="majorBidi" w:hAnsiTheme="majorBidi" w:cstheme="majorBidi"/>
          <w:noProof/>
          <w:sz w:val="20"/>
        </w:rPr>
        <w:t>, vol. 112, pp. 369–376, 2017, doi: https://doi.org/10.1016/j.procs.2017.08.026.</w:t>
      </w:r>
    </w:p>
    <w:p w14:paraId="3B062D51" w14:textId="47492852"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G. A. Kaissis, M. R. Makowski, D. Rückert, and R. F. Braren, “Secure, privacy-preserving and federated machine learning in medical imaging,” </w:t>
      </w:r>
      <w:r w:rsidRPr="00706B67">
        <w:rPr>
          <w:rFonts w:asciiTheme="majorBidi" w:hAnsiTheme="majorBidi" w:cstheme="majorBidi"/>
          <w:i/>
          <w:iCs/>
          <w:noProof/>
          <w:sz w:val="20"/>
        </w:rPr>
        <w:t>Nat. Mach. Intell.</w:t>
      </w:r>
      <w:r w:rsidRPr="00706B67">
        <w:rPr>
          <w:rFonts w:asciiTheme="majorBidi" w:hAnsiTheme="majorBidi" w:cstheme="majorBidi"/>
          <w:noProof/>
          <w:sz w:val="20"/>
        </w:rPr>
        <w:t>, vol. 2, no. 6, pp. 305–311, 2020.</w:t>
      </w:r>
    </w:p>
    <w:p w14:paraId="77055A02" w14:textId="7B06D5BA"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N. Rieke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“The future of digital health with federated learning,” </w:t>
      </w:r>
      <w:r w:rsidRPr="00706B67">
        <w:rPr>
          <w:rFonts w:asciiTheme="majorBidi" w:hAnsiTheme="majorBidi" w:cstheme="majorBidi"/>
          <w:i/>
          <w:iCs/>
          <w:noProof/>
          <w:sz w:val="20"/>
        </w:rPr>
        <w:t>NPJ Digit. Med.</w:t>
      </w:r>
      <w:r w:rsidRPr="00706B67">
        <w:rPr>
          <w:rFonts w:asciiTheme="majorBidi" w:hAnsiTheme="majorBidi" w:cstheme="majorBidi"/>
          <w:noProof/>
          <w:sz w:val="20"/>
        </w:rPr>
        <w:t>, vol. 3, no. 1, p. 119, 2020.</w:t>
      </w:r>
    </w:p>
    <w:p w14:paraId="235AF9E9" w14:textId="1C912311"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M. J. Sheller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“Federated learning in medicine: facilitating multi-institutional collaborations without </w:t>
      </w:r>
      <w:r w:rsidRPr="00706B67">
        <w:rPr>
          <w:rFonts w:asciiTheme="majorBidi" w:hAnsiTheme="majorBidi" w:cstheme="majorBidi"/>
          <w:noProof/>
          <w:sz w:val="20"/>
        </w:rPr>
        <w:t xml:space="preserve">sharing patient data,” </w:t>
      </w:r>
      <w:r w:rsidRPr="00706B67">
        <w:rPr>
          <w:rFonts w:asciiTheme="majorBidi" w:hAnsiTheme="majorBidi" w:cstheme="majorBidi"/>
          <w:i/>
          <w:iCs/>
          <w:noProof/>
          <w:sz w:val="20"/>
        </w:rPr>
        <w:t>Sci. Rep.</w:t>
      </w:r>
      <w:r w:rsidRPr="00706B67">
        <w:rPr>
          <w:rFonts w:asciiTheme="majorBidi" w:hAnsiTheme="majorBidi" w:cstheme="majorBidi"/>
          <w:noProof/>
          <w:sz w:val="20"/>
        </w:rPr>
        <w:t>, vol. 10, no. 1, p. 12598, 2020.</w:t>
      </w:r>
    </w:p>
    <w:p w14:paraId="74322ACB" w14:textId="391B691F"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S. Warnat-Herresthal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“Swarm learning for decentralized and confidential clinical machine learning,” </w:t>
      </w:r>
      <w:r w:rsidRPr="00706B67">
        <w:rPr>
          <w:rFonts w:asciiTheme="majorBidi" w:hAnsiTheme="majorBidi" w:cstheme="majorBidi"/>
          <w:i/>
          <w:iCs/>
          <w:noProof/>
          <w:sz w:val="20"/>
        </w:rPr>
        <w:t>Nature</w:t>
      </w:r>
      <w:r w:rsidRPr="00706B67">
        <w:rPr>
          <w:rFonts w:asciiTheme="majorBidi" w:hAnsiTheme="majorBidi" w:cstheme="majorBidi"/>
          <w:noProof/>
          <w:sz w:val="20"/>
        </w:rPr>
        <w:t>, vol. 594, no. 7862, pp. 265–270, 2021.</w:t>
      </w:r>
    </w:p>
    <w:p w14:paraId="43A0B511" w14:textId="5B72B62D"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P. Kairouz and H. B. McMahan, “Advances and Open Problems in Federated Learning,” </w:t>
      </w:r>
      <w:r w:rsidRPr="00706B67">
        <w:rPr>
          <w:rFonts w:asciiTheme="majorBidi" w:hAnsiTheme="majorBidi" w:cstheme="majorBidi"/>
          <w:i/>
          <w:iCs/>
          <w:noProof/>
          <w:sz w:val="20"/>
        </w:rPr>
        <w:t>Found. Trends Mach. Learn.</w:t>
      </w:r>
      <w:r w:rsidRPr="00706B67">
        <w:rPr>
          <w:rFonts w:asciiTheme="majorBidi" w:hAnsiTheme="majorBidi" w:cstheme="majorBidi"/>
          <w:noProof/>
          <w:sz w:val="20"/>
        </w:rPr>
        <w:t>, vol. 14, no. 1–2, pp. 1–210, 2021, doi: 10.1561/2200000083.</w:t>
      </w:r>
    </w:p>
    <w:p w14:paraId="074F28D1" w14:textId="59088878"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B. McMahan, E. Moore, D. Ramage, S. Hampson, and B. A. y Arcas, “Communication-efficient learning of deep networks from decentralized data,” in </w:t>
      </w:r>
      <w:r w:rsidRPr="00706B67">
        <w:rPr>
          <w:rFonts w:asciiTheme="majorBidi" w:hAnsiTheme="majorBidi" w:cstheme="majorBidi"/>
          <w:i/>
          <w:iCs/>
          <w:noProof/>
          <w:sz w:val="20"/>
        </w:rPr>
        <w:t>Artificial intelligence and statistics</w:t>
      </w:r>
      <w:r w:rsidRPr="00706B67">
        <w:rPr>
          <w:rFonts w:asciiTheme="majorBidi" w:hAnsiTheme="majorBidi" w:cstheme="majorBidi"/>
          <w:noProof/>
          <w:sz w:val="20"/>
        </w:rPr>
        <w:t>, 2017, pp. 1273–1282.</w:t>
      </w:r>
    </w:p>
    <w:p w14:paraId="02DD9306" w14:textId="4560BB58"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K. Bonawitz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“Practical secure aggregation for privacy-preserving machine learning,” in </w:t>
      </w:r>
      <w:r w:rsidRPr="00706B67">
        <w:rPr>
          <w:rFonts w:asciiTheme="majorBidi" w:hAnsiTheme="majorBidi" w:cstheme="majorBidi"/>
          <w:i/>
          <w:iCs/>
          <w:noProof/>
          <w:sz w:val="20"/>
        </w:rPr>
        <w:t>proceedings of the 2017 ACM SIGSAC Conference on Computer and Communications Security</w:t>
      </w:r>
      <w:r w:rsidRPr="00706B67">
        <w:rPr>
          <w:rFonts w:asciiTheme="majorBidi" w:hAnsiTheme="majorBidi" w:cstheme="majorBidi"/>
          <w:noProof/>
          <w:sz w:val="20"/>
        </w:rPr>
        <w:t>, 2017, pp. 1175–1191.</w:t>
      </w:r>
    </w:p>
    <w:p w14:paraId="095E1065" w14:textId="3CDC3EC5"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M. Abadi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“Deep Learning with Differential Privacy,” in </w:t>
      </w:r>
      <w:r w:rsidRPr="00706B67">
        <w:rPr>
          <w:rFonts w:asciiTheme="majorBidi" w:hAnsiTheme="majorBidi" w:cstheme="majorBidi"/>
          <w:i/>
          <w:iCs/>
          <w:noProof/>
          <w:sz w:val="20"/>
        </w:rPr>
        <w:t xml:space="preserve">Proceedings of the 2016 ACM SIGSAC Conference on Computer and </w:t>
      </w:r>
      <w:r w:rsidRPr="00236294">
        <w:rPr>
          <w:rFonts w:asciiTheme="majorBidi" w:hAnsiTheme="majorBidi" w:cstheme="majorBidi"/>
          <w:noProof/>
          <w:sz w:val="20"/>
        </w:rPr>
        <w:t>Communications</w:t>
      </w:r>
      <w:r w:rsidRPr="00706B67">
        <w:rPr>
          <w:rFonts w:asciiTheme="majorBidi" w:hAnsiTheme="majorBidi" w:cstheme="majorBidi"/>
          <w:i/>
          <w:iCs/>
          <w:noProof/>
          <w:sz w:val="20"/>
        </w:rPr>
        <w:t xml:space="preserve"> Security</w:t>
      </w:r>
      <w:r w:rsidRPr="00706B67">
        <w:rPr>
          <w:rFonts w:asciiTheme="majorBidi" w:hAnsiTheme="majorBidi" w:cstheme="majorBidi"/>
          <w:noProof/>
          <w:sz w:val="20"/>
        </w:rPr>
        <w:t>, 2016, pp. 308–318, doi: 10.1145/2976749.2978318.</w:t>
      </w:r>
    </w:p>
    <w:p w14:paraId="78A7A38B" w14:textId="2E3009FE"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R. Shokri and V. Shmatikov, “Privacy-preserving deep learning,” in </w:t>
      </w:r>
      <w:r w:rsidRPr="00706B67">
        <w:rPr>
          <w:rFonts w:asciiTheme="majorBidi" w:hAnsiTheme="majorBidi" w:cstheme="majorBidi"/>
          <w:i/>
          <w:iCs/>
          <w:noProof/>
          <w:sz w:val="20"/>
        </w:rPr>
        <w:t>Proceedings of the 22nd ACM SIGSAC conference on computer and communications security</w:t>
      </w:r>
      <w:r w:rsidRPr="00706B67">
        <w:rPr>
          <w:rFonts w:asciiTheme="majorBidi" w:hAnsiTheme="majorBidi" w:cstheme="majorBidi"/>
          <w:noProof/>
          <w:sz w:val="20"/>
        </w:rPr>
        <w:t>, 2015, pp. 1310–1321.</w:t>
      </w:r>
    </w:p>
    <w:p w14:paraId="523A0CD0" w14:textId="76FFC5DA"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R. Shokri, M. Stronati, C. Song, and V. Shmatikov, “Membership Inference Attacks Against Machine Learning Models,” in </w:t>
      </w:r>
      <w:r w:rsidRPr="00706B67">
        <w:rPr>
          <w:rFonts w:asciiTheme="majorBidi" w:hAnsiTheme="majorBidi" w:cstheme="majorBidi"/>
          <w:i/>
          <w:iCs/>
          <w:noProof/>
          <w:sz w:val="20"/>
        </w:rPr>
        <w:t>2017 IEEE Symposium on Security and Privacy (SP)</w:t>
      </w:r>
      <w:r w:rsidRPr="00706B67">
        <w:rPr>
          <w:rFonts w:asciiTheme="majorBidi" w:hAnsiTheme="majorBidi" w:cstheme="majorBidi"/>
          <w:noProof/>
          <w:sz w:val="20"/>
        </w:rPr>
        <w:t>, 2017, pp. 3–18, doi: 10.1109/SP.2017.41.</w:t>
      </w:r>
    </w:p>
    <w:p w14:paraId="180A65E6" w14:textId="741E354D"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M. Fredrikson, S. Jha, and T. Ristenpart, “Model inversion attacks that exploit confidence information and basic countermeasures,” in </w:t>
      </w:r>
      <w:r w:rsidRPr="00706B67">
        <w:rPr>
          <w:rFonts w:asciiTheme="majorBidi" w:hAnsiTheme="majorBidi" w:cstheme="majorBidi"/>
          <w:i/>
          <w:iCs/>
          <w:noProof/>
          <w:sz w:val="20"/>
        </w:rPr>
        <w:t>Proceedings of the 22nd ACM SIGSAC conference on computer and communications security</w:t>
      </w:r>
      <w:r w:rsidRPr="00706B67">
        <w:rPr>
          <w:rFonts w:asciiTheme="majorBidi" w:hAnsiTheme="majorBidi" w:cstheme="majorBidi"/>
          <w:noProof/>
          <w:sz w:val="20"/>
        </w:rPr>
        <w:t>, 2015, pp. 1322–1333.</w:t>
      </w:r>
    </w:p>
    <w:p w14:paraId="61F3F654" w14:textId="13F43E37"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R. R. Selvaraju, M. Cogswell, A. Das, R. Vedantam, D. Parikh, and D. Batra, “Grad-cam: Visual explanations from deep networks via gradient-based localization,” in </w:t>
      </w:r>
      <w:r w:rsidRPr="00706B67">
        <w:rPr>
          <w:rFonts w:asciiTheme="majorBidi" w:hAnsiTheme="majorBidi" w:cstheme="majorBidi"/>
          <w:i/>
          <w:iCs/>
          <w:noProof/>
          <w:sz w:val="20"/>
        </w:rPr>
        <w:t xml:space="preserve">Proceedings of the IEEE international </w:t>
      </w:r>
      <w:r w:rsidRPr="00236294">
        <w:rPr>
          <w:rFonts w:asciiTheme="majorBidi" w:hAnsiTheme="majorBidi" w:cstheme="majorBidi"/>
          <w:noProof/>
          <w:sz w:val="20"/>
        </w:rPr>
        <w:t>conference</w:t>
      </w:r>
      <w:r w:rsidRPr="00706B67">
        <w:rPr>
          <w:rFonts w:asciiTheme="majorBidi" w:hAnsiTheme="majorBidi" w:cstheme="majorBidi"/>
          <w:i/>
          <w:iCs/>
          <w:noProof/>
          <w:sz w:val="20"/>
        </w:rPr>
        <w:t xml:space="preserve"> on computer vision</w:t>
      </w:r>
      <w:r w:rsidRPr="00706B67">
        <w:rPr>
          <w:rFonts w:asciiTheme="majorBidi" w:hAnsiTheme="majorBidi" w:cstheme="majorBidi"/>
          <w:noProof/>
          <w:sz w:val="20"/>
        </w:rPr>
        <w:t>, 2017, pp. 618–626.</w:t>
      </w:r>
      <w:r>
        <w:rPr>
          <w:rFonts w:asciiTheme="majorBidi" w:hAnsiTheme="majorBidi" w:cstheme="majorBidi"/>
          <w:noProof/>
          <w:sz w:val="20"/>
        </w:rPr>
        <w:t xml:space="preserve"> </w:t>
      </w:r>
      <w:r w:rsidRPr="0070048B">
        <w:rPr>
          <w:rFonts w:asciiTheme="majorBidi" w:hAnsiTheme="majorBidi" w:cstheme="majorBidi"/>
          <w:noProof/>
          <w:sz w:val="20"/>
        </w:rPr>
        <w:t>https://doi.org/10.1109/ICCV.2017.74</w:t>
      </w:r>
    </w:p>
    <w:p w14:paraId="673DE32F" w14:textId="1D0E9FEC"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M. T. Ribeiro, S. Singh, and C. Guestrin, “‘Why Should I Trust You?’: Explaining the Predictions of Any Classifier,” in </w:t>
      </w:r>
      <w:r w:rsidRPr="00706B67">
        <w:rPr>
          <w:rFonts w:asciiTheme="majorBidi" w:hAnsiTheme="majorBidi" w:cstheme="majorBidi"/>
          <w:i/>
          <w:iCs/>
          <w:noProof/>
          <w:sz w:val="20"/>
        </w:rPr>
        <w:t>Proceedings of the 22nd ACM SIGKDD International Conference on Knowledge Discovery and Data Mining</w:t>
      </w:r>
      <w:r w:rsidRPr="00706B67">
        <w:rPr>
          <w:rFonts w:asciiTheme="majorBidi" w:hAnsiTheme="majorBidi" w:cstheme="majorBidi"/>
          <w:noProof/>
          <w:sz w:val="20"/>
        </w:rPr>
        <w:t>, 2016, pp. 1135–1144, doi: 10.1145/2939672.2939778.</w:t>
      </w:r>
    </w:p>
    <w:p w14:paraId="4C4166C7" w14:textId="72F8A77E"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S. M. Lundberg and S.-I. Lee, “A unified approach to interpreting model predictions,” </w:t>
      </w:r>
      <w:r w:rsidRPr="00706B67">
        <w:rPr>
          <w:rFonts w:asciiTheme="majorBidi" w:hAnsiTheme="majorBidi" w:cstheme="majorBidi"/>
          <w:i/>
          <w:iCs/>
          <w:noProof/>
          <w:sz w:val="20"/>
        </w:rPr>
        <w:t>Adv. Neural Inf. Process. Syst.</w:t>
      </w:r>
      <w:r w:rsidRPr="00706B67">
        <w:rPr>
          <w:rFonts w:asciiTheme="majorBidi" w:hAnsiTheme="majorBidi" w:cstheme="majorBidi"/>
          <w:noProof/>
          <w:sz w:val="20"/>
        </w:rPr>
        <w:t>, vol. 30, 2017.</w:t>
      </w:r>
    </w:p>
    <w:p w14:paraId="0410BEEE" w14:textId="10BD1EE8"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J. Adebayo, J. Gilmer, M. Muelly, I. Goodfellow, M. Hardt, and B. Kim, “Sanity checks for saliency maps,” </w:t>
      </w:r>
      <w:r w:rsidRPr="00706B67">
        <w:rPr>
          <w:rFonts w:asciiTheme="majorBidi" w:hAnsiTheme="majorBidi" w:cstheme="majorBidi"/>
          <w:i/>
          <w:iCs/>
          <w:noProof/>
          <w:sz w:val="20"/>
        </w:rPr>
        <w:t>Adv. Neural Inf. Process. Syst.</w:t>
      </w:r>
      <w:r w:rsidRPr="00706B67">
        <w:rPr>
          <w:rFonts w:asciiTheme="majorBidi" w:hAnsiTheme="majorBidi" w:cstheme="majorBidi"/>
          <w:noProof/>
          <w:sz w:val="20"/>
        </w:rPr>
        <w:t>, vol. 31, 2018.</w:t>
      </w:r>
    </w:p>
    <w:p w14:paraId="117973C0" w14:textId="7F988E58"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S. Jain and B. C. Wallace, “Attention is not explanation,” in </w:t>
      </w:r>
      <w:r w:rsidRPr="00706B67">
        <w:rPr>
          <w:rFonts w:asciiTheme="majorBidi" w:hAnsiTheme="majorBidi" w:cstheme="majorBidi"/>
          <w:i/>
          <w:iCs/>
          <w:noProof/>
          <w:sz w:val="20"/>
        </w:rPr>
        <w:t xml:space="preserve">Proceedings of the 2019 Conference of the North American Chapter of the Association for </w:t>
      </w:r>
      <w:r w:rsidRPr="00236294">
        <w:rPr>
          <w:rFonts w:asciiTheme="majorBidi" w:hAnsiTheme="majorBidi" w:cstheme="majorBidi"/>
          <w:noProof/>
          <w:sz w:val="20"/>
        </w:rPr>
        <w:lastRenderedPageBreak/>
        <w:t>Computational</w:t>
      </w:r>
      <w:r w:rsidRPr="00706B67">
        <w:rPr>
          <w:rFonts w:asciiTheme="majorBidi" w:hAnsiTheme="majorBidi" w:cstheme="majorBidi"/>
          <w:i/>
          <w:iCs/>
          <w:noProof/>
          <w:sz w:val="20"/>
        </w:rPr>
        <w:t xml:space="preserve"> Linguistics: Human Language Technologies, Volume 1 (Long and Short Papers)</w:t>
      </w:r>
      <w:r w:rsidRPr="00706B67">
        <w:rPr>
          <w:rFonts w:asciiTheme="majorBidi" w:hAnsiTheme="majorBidi" w:cstheme="majorBidi"/>
          <w:noProof/>
          <w:sz w:val="20"/>
        </w:rPr>
        <w:t>, 2019, pp. 3543–3556.</w:t>
      </w:r>
    </w:p>
    <w:p w14:paraId="7B5A4491" w14:textId="71719B97"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W. Samek, G. Montavon, S. Lapuschkin, C. J. Anders, and K.-R. Müller, “Explaining Deep Neural Networks and Beyond: A Review of Methods and Applications,” </w:t>
      </w:r>
      <w:r w:rsidRPr="00706B67">
        <w:rPr>
          <w:rFonts w:asciiTheme="majorBidi" w:hAnsiTheme="majorBidi" w:cstheme="majorBidi"/>
          <w:i/>
          <w:iCs/>
          <w:noProof/>
          <w:sz w:val="20"/>
        </w:rPr>
        <w:t>Proc. IEEE</w:t>
      </w:r>
      <w:r w:rsidRPr="00706B67">
        <w:rPr>
          <w:rFonts w:asciiTheme="majorBidi" w:hAnsiTheme="majorBidi" w:cstheme="majorBidi"/>
          <w:noProof/>
          <w:sz w:val="20"/>
        </w:rPr>
        <w:t>, vol. 109, no. 3, pp. 247–278, 2021, doi: 10.1109/JPROC.2021.3060483.</w:t>
      </w:r>
    </w:p>
    <w:p w14:paraId="51057B3E" w14:textId="08A5FEC7"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C. Rudin, “Stop explaining black box machine learning models for high stakes decisions and use interpretable models instead,” </w:t>
      </w:r>
      <w:r w:rsidRPr="00706B67">
        <w:rPr>
          <w:rFonts w:asciiTheme="majorBidi" w:hAnsiTheme="majorBidi" w:cstheme="majorBidi"/>
          <w:i/>
          <w:iCs/>
          <w:noProof/>
          <w:sz w:val="20"/>
        </w:rPr>
        <w:t>Nat. Mach. Intell.</w:t>
      </w:r>
      <w:r w:rsidRPr="00706B67">
        <w:rPr>
          <w:rFonts w:asciiTheme="majorBidi" w:hAnsiTheme="majorBidi" w:cstheme="majorBidi"/>
          <w:noProof/>
          <w:sz w:val="20"/>
        </w:rPr>
        <w:t>, vol. 1, no. 5, pp. 206–215, 2019.</w:t>
      </w:r>
    </w:p>
    <w:p w14:paraId="5A55CA12" w14:textId="459721A2"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Q. Sun, A. Akman, and B. W. Schuller, “Explainable Artificial Intelligence for Medical Applications: A Review,” </w:t>
      </w:r>
      <w:r w:rsidRPr="00706B67">
        <w:rPr>
          <w:rFonts w:asciiTheme="majorBidi" w:hAnsiTheme="majorBidi" w:cstheme="majorBidi"/>
          <w:i/>
          <w:iCs/>
          <w:noProof/>
          <w:sz w:val="20"/>
        </w:rPr>
        <w:t>ACM Trans. Comput. Healthc.</w:t>
      </w:r>
      <w:r w:rsidRPr="00706B67">
        <w:rPr>
          <w:rFonts w:asciiTheme="majorBidi" w:hAnsiTheme="majorBidi" w:cstheme="majorBidi"/>
          <w:noProof/>
          <w:sz w:val="20"/>
        </w:rPr>
        <w:t>, vol. 6, no. 2, Feb. 2025, doi: 10.1145/3709367.</w:t>
      </w:r>
    </w:p>
    <w:p w14:paraId="2835F87F" w14:textId="47B9D477"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A. Hedström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“Quantus: An explainable ai toolkit for responsible evaluation of neural network explanations and beyond,” </w:t>
      </w:r>
      <w:r w:rsidRPr="00706B67">
        <w:rPr>
          <w:rFonts w:asciiTheme="majorBidi" w:hAnsiTheme="majorBidi" w:cstheme="majorBidi"/>
          <w:i/>
          <w:iCs/>
          <w:noProof/>
          <w:sz w:val="20"/>
        </w:rPr>
        <w:t>J. Mach. Learn. Res.</w:t>
      </w:r>
      <w:r w:rsidRPr="00706B67">
        <w:rPr>
          <w:rFonts w:asciiTheme="majorBidi" w:hAnsiTheme="majorBidi" w:cstheme="majorBidi"/>
          <w:noProof/>
          <w:sz w:val="20"/>
        </w:rPr>
        <w:t>, vol. 24, no. 34, pp. 1–11, 2023.</w:t>
      </w:r>
    </w:p>
    <w:p w14:paraId="398ADF74" w14:textId="308DEC01"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C. Guo, G. Pleiss, Y. Sun, and K. Q. Weinberger, “On calibration of modern neural networks,” in </w:t>
      </w:r>
      <w:r w:rsidRPr="00706B67">
        <w:rPr>
          <w:rFonts w:asciiTheme="majorBidi" w:hAnsiTheme="majorBidi" w:cstheme="majorBidi"/>
          <w:i/>
          <w:iCs/>
          <w:noProof/>
          <w:sz w:val="20"/>
        </w:rPr>
        <w:t>International conference on machine learning</w:t>
      </w:r>
      <w:r w:rsidRPr="00706B67">
        <w:rPr>
          <w:rFonts w:asciiTheme="majorBidi" w:hAnsiTheme="majorBidi" w:cstheme="majorBidi"/>
          <w:noProof/>
          <w:sz w:val="20"/>
        </w:rPr>
        <w:t>, 2017, pp. 1321–1330.</w:t>
      </w:r>
    </w:p>
    <w:p w14:paraId="1FAB2B47" w14:textId="1E187A38"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Y. Gal and Z. Ghahramani, “Dropout as a bayesian approximation: Representing model uncertainty in deep learning,” in </w:t>
      </w:r>
      <w:r w:rsidRPr="00706B67">
        <w:rPr>
          <w:rFonts w:asciiTheme="majorBidi" w:hAnsiTheme="majorBidi" w:cstheme="majorBidi"/>
          <w:i/>
          <w:iCs/>
          <w:noProof/>
          <w:sz w:val="20"/>
        </w:rPr>
        <w:t>international conference on machine learning</w:t>
      </w:r>
      <w:r w:rsidRPr="00706B67">
        <w:rPr>
          <w:rFonts w:asciiTheme="majorBidi" w:hAnsiTheme="majorBidi" w:cstheme="majorBidi"/>
          <w:noProof/>
          <w:sz w:val="20"/>
        </w:rPr>
        <w:t>, 2016, pp. 1050–1059.</w:t>
      </w:r>
    </w:p>
    <w:p w14:paraId="04A7F6DF" w14:textId="71522DE4"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A. Kendall and Y. Gal, “What uncertainties do we need in bayesian deep learning for computer vision?,” </w:t>
      </w:r>
      <w:r w:rsidRPr="00706B67">
        <w:rPr>
          <w:rFonts w:asciiTheme="majorBidi" w:hAnsiTheme="majorBidi" w:cstheme="majorBidi"/>
          <w:i/>
          <w:iCs/>
          <w:noProof/>
          <w:sz w:val="20"/>
        </w:rPr>
        <w:t>Adv. Neural Inf. Process. Syst.</w:t>
      </w:r>
      <w:r w:rsidRPr="00706B67">
        <w:rPr>
          <w:rFonts w:asciiTheme="majorBidi" w:hAnsiTheme="majorBidi" w:cstheme="majorBidi"/>
          <w:noProof/>
          <w:sz w:val="20"/>
        </w:rPr>
        <w:t>, vol. 30, 2017.</w:t>
      </w:r>
    </w:p>
    <w:p w14:paraId="3AB685B4" w14:textId="2E62DD66"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B. Lakshminarayanan, A. Pritzel, and C. Blundell, “Simple and scalable predictive uncertainty estimation using deep ensembles,” </w:t>
      </w:r>
      <w:r w:rsidRPr="00706B67">
        <w:rPr>
          <w:rFonts w:asciiTheme="majorBidi" w:hAnsiTheme="majorBidi" w:cstheme="majorBidi"/>
          <w:i/>
          <w:iCs/>
          <w:noProof/>
          <w:sz w:val="20"/>
        </w:rPr>
        <w:t>Adv. Neural Inf. Process. Syst.</w:t>
      </w:r>
      <w:r w:rsidRPr="00706B67">
        <w:rPr>
          <w:rFonts w:asciiTheme="majorBidi" w:hAnsiTheme="majorBidi" w:cstheme="majorBidi"/>
          <w:noProof/>
          <w:sz w:val="20"/>
        </w:rPr>
        <w:t>, vol. 30, 2017.</w:t>
      </w:r>
    </w:p>
    <w:p w14:paraId="0734292E" w14:textId="4E0C459C"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Y. Ovadia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“Can you trust your model’s uncertainty? evaluating predictive uncertainty under dataset shift,” </w:t>
      </w:r>
      <w:r w:rsidRPr="00706B67">
        <w:rPr>
          <w:rFonts w:asciiTheme="majorBidi" w:hAnsiTheme="majorBidi" w:cstheme="majorBidi"/>
          <w:i/>
          <w:iCs/>
          <w:noProof/>
          <w:sz w:val="20"/>
        </w:rPr>
        <w:t>Adv. Neural Inf. Process. Syst.</w:t>
      </w:r>
      <w:r w:rsidRPr="00706B67">
        <w:rPr>
          <w:rFonts w:asciiTheme="majorBidi" w:hAnsiTheme="majorBidi" w:cstheme="majorBidi"/>
          <w:noProof/>
          <w:sz w:val="20"/>
        </w:rPr>
        <w:t>, vol. 32, 2019.</w:t>
      </w:r>
    </w:p>
    <w:p w14:paraId="771C7491" w14:textId="07AEEA77"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K. H. Brown, “Advanced Encryption Standard (AES),” </w:t>
      </w:r>
      <w:r w:rsidRPr="00706B67">
        <w:rPr>
          <w:rFonts w:asciiTheme="majorBidi" w:hAnsiTheme="majorBidi" w:cstheme="majorBidi"/>
          <w:i/>
          <w:iCs/>
          <w:noProof/>
          <w:sz w:val="20"/>
        </w:rPr>
        <w:t>Natl. Inst. Stand. Technol. Fed. Inf. Process. Stand. Publ. (FIPS 197), US Dep. Commer. Updat. May</w:t>
      </w:r>
      <w:r w:rsidRPr="00706B67">
        <w:rPr>
          <w:rFonts w:asciiTheme="majorBidi" w:hAnsiTheme="majorBidi" w:cstheme="majorBidi"/>
          <w:noProof/>
          <w:sz w:val="20"/>
        </w:rPr>
        <w:t>, vol. 9, 2023.</w:t>
      </w:r>
    </w:p>
    <w:p w14:paraId="19B0DAFC" w14:textId="5A4F72EB"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M. J. </w:t>
      </w:r>
      <w:r w:rsidRPr="00236294">
        <w:rPr>
          <w:rFonts w:asciiTheme="majorBidi" w:hAnsiTheme="majorBidi" w:cstheme="majorBidi"/>
          <w:i/>
          <w:iCs/>
          <w:noProof/>
          <w:sz w:val="20"/>
        </w:rPr>
        <w:t>Dworkin</w:t>
      </w:r>
      <w:r w:rsidRPr="00706B67">
        <w:rPr>
          <w:rFonts w:asciiTheme="majorBidi" w:hAnsiTheme="majorBidi" w:cstheme="majorBidi"/>
          <w:noProof/>
          <w:sz w:val="20"/>
        </w:rPr>
        <w:t xml:space="preserve">, </w:t>
      </w:r>
      <w:r w:rsidRPr="00706B67">
        <w:rPr>
          <w:rFonts w:asciiTheme="majorBidi" w:hAnsiTheme="majorBidi" w:cstheme="majorBidi"/>
          <w:i/>
          <w:iCs/>
          <w:noProof/>
          <w:sz w:val="20"/>
        </w:rPr>
        <w:t>Sp 800-38d. recommendation for block cipher modes of operation: Galois/counter mode (gcm) and gmac</w:t>
      </w:r>
      <w:r w:rsidRPr="00706B67">
        <w:rPr>
          <w:rFonts w:asciiTheme="majorBidi" w:hAnsiTheme="majorBidi" w:cstheme="majorBidi"/>
          <w:noProof/>
          <w:sz w:val="20"/>
        </w:rPr>
        <w:t>. National Institute of Standards &amp; Technology, 2007.</w:t>
      </w:r>
    </w:p>
    <w:p w14:paraId="30CDB636" w14:textId="7917B0B9"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N. </w:t>
      </w:r>
      <w:r w:rsidRPr="00236294">
        <w:rPr>
          <w:rFonts w:asciiTheme="majorBidi" w:hAnsiTheme="majorBidi" w:cstheme="majorBidi"/>
          <w:i/>
          <w:iCs/>
          <w:noProof/>
          <w:sz w:val="20"/>
        </w:rPr>
        <w:t>Tsiknakis</w:t>
      </w:r>
      <w:r w:rsidRPr="00706B67">
        <w:rPr>
          <w:rFonts w:asciiTheme="majorBidi" w:hAnsiTheme="majorBidi" w:cstheme="majorBidi"/>
          <w:noProof/>
          <w:sz w:val="20"/>
        </w:rPr>
        <w:t xml:space="preserve">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“Deep learning for diabetic retinopathy detection and classification based on fundus images: A review,” </w:t>
      </w:r>
      <w:r w:rsidRPr="00706B67">
        <w:rPr>
          <w:rFonts w:asciiTheme="majorBidi" w:hAnsiTheme="majorBidi" w:cstheme="majorBidi"/>
          <w:i/>
          <w:iCs/>
          <w:noProof/>
          <w:sz w:val="20"/>
        </w:rPr>
        <w:t>Comput. Biol. Med.</w:t>
      </w:r>
      <w:r w:rsidRPr="00706B67">
        <w:rPr>
          <w:rFonts w:asciiTheme="majorBidi" w:hAnsiTheme="majorBidi" w:cstheme="majorBidi"/>
          <w:noProof/>
          <w:sz w:val="20"/>
        </w:rPr>
        <w:t xml:space="preserve">, vol. 135, p. 104599, 2021, </w:t>
      </w:r>
      <w:r w:rsidRPr="001943B3">
        <w:rPr>
          <w:rFonts w:asciiTheme="majorBidi" w:hAnsiTheme="majorBidi" w:cstheme="majorBidi"/>
          <w:noProof/>
          <w:sz w:val="20"/>
        </w:rPr>
        <w:t>https://doi.org/10.1016/j.compbiomed.2021.104599</w:t>
      </w:r>
      <w:r w:rsidRPr="00706B67">
        <w:rPr>
          <w:rFonts w:asciiTheme="majorBidi" w:hAnsiTheme="majorBidi" w:cstheme="majorBidi"/>
          <w:noProof/>
          <w:sz w:val="20"/>
        </w:rPr>
        <w:t>.</w:t>
      </w:r>
    </w:p>
    <w:p w14:paraId="5ED40617" w14:textId="7C21C21E"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D. Bhulakshmi </w:t>
      </w:r>
      <w:r w:rsidRPr="00236294">
        <w:rPr>
          <w:rFonts w:asciiTheme="majorBidi" w:hAnsiTheme="majorBidi" w:cstheme="majorBidi"/>
          <w:i/>
          <w:iCs/>
          <w:noProof/>
          <w:sz w:val="20"/>
        </w:rPr>
        <w:t>and</w:t>
      </w:r>
      <w:r w:rsidRPr="00706B67">
        <w:rPr>
          <w:rFonts w:asciiTheme="majorBidi" w:hAnsiTheme="majorBidi" w:cstheme="majorBidi"/>
          <w:noProof/>
          <w:sz w:val="20"/>
        </w:rPr>
        <w:t xml:space="preserve"> D. S. Rajput, “A systematic review on diabetic retinopathy detection and classification based on deep learning techniques using fundus images,” </w:t>
      </w:r>
      <w:r w:rsidRPr="00706B67">
        <w:rPr>
          <w:rFonts w:asciiTheme="majorBidi" w:hAnsiTheme="majorBidi" w:cstheme="majorBidi"/>
          <w:i/>
          <w:iCs/>
          <w:noProof/>
          <w:sz w:val="20"/>
        </w:rPr>
        <w:t>PeerJ Comput. Sci.</w:t>
      </w:r>
      <w:r w:rsidRPr="00706B67">
        <w:rPr>
          <w:rFonts w:asciiTheme="majorBidi" w:hAnsiTheme="majorBidi" w:cstheme="majorBidi"/>
          <w:noProof/>
          <w:sz w:val="20"/>
        </w:rPr>
        <w:t>, vol. 10, p. e1947, 2024.</w:t>
      </w:r>
      <w:r>
        <w:rPr>
          <w:rFonts w:asciiTheme="majorBidi" w:hAnsiTheme="majorBidi" w:cstheme="majorBidi"/>
          <w:noProof/>
          <w:sz w:val="20"/>
        </w:rPr>
        <w:t xml:space="preserve"> </w:t>
      </w:r>
      <w:r w:rsidRPr="00355B9E">
        <w:rPr>
          <w:rFonts w:asciiTheme="majorBidi" w:hAnsiTheme="majorBidi" w:cstheme="majorBidi"/>
          <w:noProof/>
          <w:sz w:val="20"/>
        </w:rPr>
        <w:t>https://doi.org/10.7717/peerj-cs.1947</w:t>
      </w:r>
    </w:p>
    <w:p w14:paraId="06FA7D58" w14:textId="15606EE5"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M. H. Al-</w:t>
      </w:r>
      <w:r w:rsidRPr="00236294">
        <w:rPr>
          <w:rFonts w:asciiTheme="majorBidi" w:hAnsiTheme="majorBidi" w:cstheme="majorBidi"/>
          <w:i/>
          <w:iCs/>
          <w:noProof/>
          <w:sz w:val="20"/>
        </w:rPr>
        <w:t>Adhaileh</w:t>
      </w:r>
      <w:r w:rsidRPr="00706B67">
        <w:rPr>
          <w:rFonts w:asciiTheme="majorBidi" w:hAnsiTheme="majorBidi" w:cstheme="majorBidi"/>
          <w:noProof/>
          <w:sz w:val="20"/>
        </w:rPr>
        <w:t xml:space="preserve">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“DLAAD-deep learning algorithms assisted diagnosis of chest disease using </w:t>
      </w:r>
      <w:r w:rsidRPr="00706B67">
        <w:rPr>
          <w:rFonts w:asciiTheme="majorBidi" w:hAnsiTheme="majorBidi" w:cstheme="majorBidi"/>
          <w:noProof/>
          <w:sz w:val="20"/>
        </w:rPr>
        <w:t xml:space="preserve">radiographic medical images,” </w:t>
      </w:r>
      <w:r w:rsidRPr="00706B67">
        <w:rPr>
          <w:rFonts w:asciiTheme="majorBidi" w:hAnsiTheme="majorBidi" w:cstheme="majorBidi"/>
          <w:i/>
          <w:iCs/>
          <w:noProof/>
          <w:sz w:val="20"/>
        </w:rPr>
        <w:t>Front. Med.</w:t>
      </w:r>
      <w:r w:rsidRPr="00706B67">
        <w:rPr>
          <w:rFonts w:asciiTheme="majorBidi" w:hAnsiTheme="majorBidi" w:cstheme="majorBidi"/>
          <w:noProof/>
          <w:sz w:val="20"/>
        </w:rPr>
        <w:t xml:space="preserve">, vol. Volume 11, 2025, </w:t>
      </w:r>
      <w:r w:rsidRPr="00026266">
        <w:rPr>
          <w:rFonts w:asciiTheme="majorBidi" w:hAnsiTheme="majorBidi" w:cstheme="majorBidi"/>
          <w:noProof/>
          <w:sz w:val="20"/>
        </w:rPr>
        <w:t>https://doi.org/10.3389/fmed.2024.1511389</w:t>
      </w:r>
      <w:r w:rsidRPr="00706B67">
        <w:rPr>
          <w:rFonts w:asciiTheme="majorBidi" w:hAnsiTheme="majorBidi" w:cstheme="majorBidi"/>
          <w:noProof/>
          <w:sz w:val="20"/>
        </w:rPr>
        <w:t>.</w:t>
      </w:r>
    </w:p>
    <w:p w14:paraId="52A75C67" w14:textId="70533E40"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S. Showkat and S. Qureshi, “Efficacy of Transfer Learning-based ResNet models in Chest X-ray </w:t>
      </w:r>
      <w:r w:rsidRPr="00236294">
        <w:rPr>
          <w:rFonts w:asciiTheme="majorBidi" w:hAnsiTheme="majorBidi" w:cstheme="majorBidi"/>
          <w:i/>
          <w:iCs/>
          <w:noProof/>
          <w:sz w:val="20"/>
        </w:rPr>
        <w:t>image</w:t>
      </w:r>
      <w:r w:rsidRPr="00706B67">
        <w:rPr>
          <w:rFonts w:asciiTheme="majorBidi" w:hAnsiTheme="majorBidi" w:cstheme="majorBidi"/>
          <w:noProof/>
          <w:sz w:val="20"/>
        </w:rPr>
        <w:t xml:space="preserve"> classification for detecting COVID-19 Pneumonia,” </w:t>
      </w:r>
      <w:r w:rsidRPr="00706B67">
        <w:rPr>
          <w:rFonts w:asciiTheme="majorBidi" w:hAnsiTheme="majorBidi" w:cstheme="majorBidi"/>
          <w:i/>
          <w:iCs/>
          <w:noProof/>
          <w:sz w:val="20"/>
        </w:rPr>
        <w:t>Chemom. Intell. Lab. Syst.</w:t>
      </w:r>
      <w:r w:rsidRPr="00706B67">
        <w:rPr>
          <w:rFonts w:asciiTheme="majorBidi" w:hAnsiTheme="majorBidi" w:cstheme="majorBidi"/>
          <w:noProof/>
          <w:sz w:val="20"/>
        </w:rPr>
        <w:t>, vol. 224, p. 104534, 2022, doi: https://doi.org/10.1016/j.chemolab.2022.104534.</w:t>
      </w:r>
    </w:p>
    <w:p w14:paraId="7990C789" w14:textId="7B554A63"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Y. Pan </w:t>
      </w:r>
      <w:r w:rsidRPr="00706B67">
        <w:rPr>
          <w:rFonts w:asciiTheme="majorBidi" w:hAnsiTheme="majorBidi" w:cstheme="majorBidi"/>
          <w:i/>
          <w:iCs/>
          <w:noProof/>
          <w:sz w:val="20"/>
        </w:rPr>
        <w:t>et al.</w:t>
      </w:r>
      <w:r w:rsidRPr="00706B67">
        <w:rPr>
          <w:rFonts w:asciiTheme="majorBidi" w:hAnsiTheme="majorBidi" w:cstheme="majorBidi"/>
          <w:noProof/>
          <w:sz w:val="20"/>
        </w:rPr>
        <w:t xml:space="preserve">, “Fundus image classification using </w:t>
      </w:r>
      <w:r w:rsidRPr="00236294">
        <w:rPr>
          <w:rFonts w:asciiTheme="majorBidi" w:hAnsiTheme="majorBidi" w:cstheme="majorBidi"/>
          <w:i/>
          <w:iCs/>
          <w:noProof/>
          <w:sz w:val="20"/>
        </w:rPr>
        <w:t>Inception</w:t>
      </w:r>
      <w:r w:rsidRPr="00706B67">
        <w:rPr>
          <w:rFonts w:asciiTheme="majorBidi" w:hAnsiTheme="majorBidi" w:cstheme="majorBidi"/>
          <w:noProof/>
          <w:sz w:val="20"/>
        </w:rPr>
        <w:t xml:space="preserve"> V3 and ResNet-50 for the early diagnostics of fundus diseases,” </w:t>
      </w:r>
      <w:r w:rsidRPr="00706B67">
        <w:rPr>
          <w:rFonts w:asciiTheme="majorBidi" w:hAnsiTheme="majorBidi" w:cstheme="majorBidi"/>
          <w:i/>
          <w:iCs/>
          <w:noProof/>
          <w:sz w:val="20"/>
        </w:rPr>
        <w:t>Front. Physiol.</w:t>
      </w:r>
      <w:r w:rsidRPr="00706B67">
        <w:rPr>
          <w:rFonts w:asciiTheme="majorBidi" w:hAnsiTheme="majorBidi" w:cstheme="majorBidi"/>
          <w:noProof/>
          <w:sz w:val="20"/>
        </w:rPr>
        <w:t xml:space="preserve">, vol. Volume 14, 2023, </w:t>
      </w:r>
      <w:r w:rsidRPr="001F23C1">
        <w:rPr>
          <w:rFonts w:asciiTheme="majorBidi" w:hAnsiTheme="majorBidi" w:cstheme="majorBidi"/>
          <w:noProof/>
          <w:sz w:val="20"/>
        </w:rPr>
        <w:t>https://doi.org/10.3389/fphys.2023.1126780</w:t>
      </w:r>
      <w:r w:rsidRPr="00706B67">
        <w:rPr>
          <w:rFonts w:asciiTheme="majorBidi" w:hAnsiTheme="majorBidi" w:cstheme="majorBidi"/>
          <w:noProof/>
          <w:sz w:val="20"/>
        </w:rPr>
        <w:t>.</w:t>
      </w:r>
    </w:p>
    <w:p w14:paraId="4243D718" w14:textId="69900177"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A. Fitriatuzzahra, N. Rosmawarni, and P. Hamonangan Kinantan, “Implementation of Efficientnet-B0 CNN Architecture for Classification of Eye Diseases Based on Fundus Image: Normal, Cataract, Diabetic Retinopathy, and Glaucoma,” in </w:t>
      </w:r>
      <w:r w:rsidRPr="00706B67">
        <w:rPr>
          <w:rFonts w:asciiTheme="majorBidi" w:hAnsiTheme="majorBidi" w:cstheme="majorBidi"/>
          <w:i/>
          <w:iCs/>
          <w:noProof/>
          <w:sz w:val="20"/>
        </w:rPr>
        <w:t>2024 International Conference on Informatics, Multimedia, Cyber and Information System (ICIMCIS)</w:t>
      </w:r>
      <w:r w:rsidRPr="00706B67">
        <w:rPr>
          <w:rFonts w:asciiTheme="majorBidi" w:hAnsiTheme="majorBidi" w:cstheme="majorBidi"/>
          <w:noProof/>
          <w:sz w:val="20"/>
        </w:rPr>
        <w:t xml:space="preserve">, 2024, pp. 543–546, </w:t>
      </w:r>
      <w:r w:rsidRPr="00E7750F">
        <w:rPr>
          <w:rFonts w:asciiTheme="majorBidi" w:hAnsiTheme="majorBidi" w:cstheme="majorBidi"/>
          <w:noProof/>
          <w:sz w:val="20"/>
        </w:rPr>
        <w:t>https://doi.org/10.1109/ICIMCIS63449.2024.10956479</w:t>
      </w:r>
      <w:r w:rsidRPr="00706B67">
        <w:rPr>
          <w:rFonts w:asciiTheme="majorBidi" w:hAnsiTheme="majorBidi" w:cstheme="majorBidi"/>
          <w:noProof/>
          <w:sz w:val="20"/>
        </w:rPr>
        <w:t>.</w:t>
      </w:r>
    </w:p>
    <w:p w14:paraId="3F9F852B" w14:textId="5B5F26D4"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R. Alsohemi and S. Dardouri, “Fundus Image-Based Eye Disease Detection Using EfficientNetB3 </w:t>
      </w:r>
      <w:r w:rsidRPr="00236294">
        <w:rPr>
          <w:rFonts w:asciiTheme="majorBidi" w:hAnsiTheme="majorBidi" w:cstheme="majorBidi"/>
          <w:i/>
          <w:iCs/>
          <w:noProof/>
          <w:sz w:val="20"/>
        </w:rPr>
        <w:t>Architecture</w:t>
      </w:r>
      <w:r w:rsidRPr="00706B67">
        <w:rPr>
          <w:rFonts w:asciiTheme="majorBidi" w:hAnsiTheme="majorBidi" w:cstheme="majorBidi"/>
          <w:noProof/>
          <w:sz w:val="20"/>
        </w:rPr>
        <w:t xml:space="preserve">,” </w:t>
      </w:r>
      <w:r w:rsidRPr="00706B67">
        <w:rPr>
          <w:rFonts w:asciiTheme="majorBidi" w:hAnsiTheme="majorBidi" w:cstheme="majorBidi"/>
          <w:i/>
          <w:iCs/>
          <w:noProof/>
          <w:sz w:val="20"/>
        </w:rPr>
        <w:t>J. Imaging</w:t>
      </w:r>
      <w:r w:rsidRPr="00706B67">
        <w:rPr>
          <w:rFonts w:asciiTheme="majorBidi" w:hAnsiTheme="majorBidi" w:cstheme="majorBidi"/>
          <w:noProof/>
          <w:sz w:val="20"/>
        </w:rPr>
        <w:t xml:space="preserve">, vol. 11, no. 8, 2025, </w:t>
      </w:r>
      <w:r w:rsidRPr="00D34ED1">
        <w:rPr>
          <w:rFonts w:asciiTheme="majorBidi" w:hAnsiTheme="majorBidi" w:cstheme="majorBidi"/>
          <w:noProof/>
          <w:sz w:val="20"/>
        </w:rPr>
        <w:t>https://www.mdpi.com/2313-433X/11/8/279#</w:t>
      </w:r>
      <w:r w:rsidRPr="00706B67">
        <w:rPr>
          <w:rFonts w:asciiTheme="majorBidi" w:hAnsiTheme="majorBidi" w:cstheme="majorBidi"/>
          <w:noProof/>
          <w:sz w:val="20"/>
        </w:rPr>
        <w:t>.</w:t>
      </w:r>
    </w:p>
    <w:p w14:paraId="65C4871B" w14:textId="2A15A416"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M. Ghassemi, L. Oakden-Rayner, and A. L. Beam, “The </w:t>
      </w:r>
      <w:r w:rsidRPr="00236294">
        <w:rPr>
          <w:rFonts w:asciiTheme="majorBidi" w:hAnsiTheme="majorBidi" w:cstheme="majorBidi"/>
          <w:i/>
          <w:iCs/>
          <w:noProof/>
          <w:sz w:val="20"/>
        </w:rPr>
        <w:t>false</w:t>
      </w:r>
      <w:r w:rsidRPr="00706B67">
        <w:rPr>
          <w:rFonts w:asciiTheme="majorBidi" w:hAnsiTheme="majorBidi" w:cstheme="majorBidi"/>
          <w:noProof/>
          <w:sz w:val="20"/>
        </w:rPr>
        <w:t xml:space="preserve"> hope of current approaches to explainable artificial intelligence in health care,” </w:t>
      </w:r>
      <w:r w:rsidRPr="00706B67">
        <w:rPr>
          <w:rFonts w:asciiTheme="majorBidi" w:hAnsiTheme="majorBidi" w:cstheme="majorBidi"/>
          <w:i/>
          <w:iCs/>
          <w:noProof/>
          <w:sz w:val="20"/>
        </w:rPr>
        <w:t>lancet Digit. Heal.</w:t>
      </w:r>
      <w:r w:rsidRPr="00706B67">
        <w:rPr>
          <w:rFonts w:asciiTheme="majorBidi" w:hAnsiTheme="majorBidi" w:cstheme="majorBidi"/>
          <w:noProof/>
          <w:sz w:val="20"/>
        </w:rPr>
        <w:t>, vol. 3, no. 11, pp. e745–e750, 2021.</w:t>
      </w:r>
    </w:p>
    <w:p w14:paraId="3F7FF166" w14:textId="0BCBCF5F"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C. </w:t>
      </w:r>
      <w:r w:rsidRPr="00236294">
        <w:rPr>
          <w:rFonts w:asciiTheme="majorBidi" w:hAnsiTheme="majorBidi" w:cstheme="majorBidi"/>
          <w:i/>
          <w:iCs/>
          <w:noProof/>
          <w:sz w:val="20"/>
        </w:rPr>
        <w:t>Pascoe</w:t>
      </w:r>
      <w:r w:rsidRPr="00706B67">
        <w:rPr>
          <w:rFonts w:asciiTheme="majorBidi" w:hAnsiTheme="majorBidi" w:cstheme="majorBidi"/>
          <w:noProof/>
          <w:sz w:val="20"/>
        </w:rPr>
        <w:t>, S. Quinn, and K. Scarfone, “The NIST cybersecurity framework (CSF) 2.0,” 2024.</w:t>
      </w:r>
    </w:p>
    <w:p w14:paraId="2A5CA0AF" w14:textId="46FB24A3"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E. Tabassi, “Artificial intelligence risk management framework (AI RMF 1.0),” 2023.</w:t>
      </w:r>
    </w:p>
    <w:p w14:paraId="3E8D301E" w14:textId="7A15C08E"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D. I. C. O. M. S. Committee, “DICOM PS3.15 2024d — Security and System Management Profiles,” </w:t>
      </w:r>
      <w:r w:rsidRPr="00706B67">
        <w:rPr>
          <w:rFonts w:asciiTheme="majorBidi" w:hAnsiTheme="majorBidi" w:cstheme="majorBidi"/>
          <w:i/>
          <w:iCs/>
          <w:noProof/>
          <w:sz w:val="20"/>
        </w:rPr>
        <w:t>NEMA</w:t>
      </w:r>
      <w:r w:rsidRPr="00706B67">
        <w:rPr>
          <w:rFonts w:asciiTheme="majorBidi" w:hAnsiTheme="majorBidi" w:cstheme="majorBidi"/>
          <w:noProof/>
          <w:sz w:val="20"/>
        </w:rPr>
        <w:t>, [Online]. Available: https://dicom.nema.org/medical/Dicom/2024d/output/chtml/part15/PS3.15.html.</w:t>
      </w:r>
    </w:p>
    <w:p w14:paraId="497BC0DF" w14:textId="5CFF0B3A"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U. S. D. Health and H. Services, “The HIPAA Security Rule,” in </w:t>
      </w:r>
      <w:r w:rsidRPr="00706B67">
        <w:rPr>
          <w:rFonts w:asciiTheme="majorBidi" w:hAnsiTheme="majorBidi" w:cstheme="majorBidi"/>
          <w:i/>
          <w:iCs/>
          <w:noProof/>
          <w:sz w:val="20"/>
        </w:rPr>
        <w:t>45 CFR Parts 160</w:t>
      </w:r>
      <w:r w:rsidRPr="00706B67">
        <w:rPr>
          <w:rFonts w:asciiTheme="majorBidi" w:hAnsiTheme="majorBidi" w:cstheme="majorBidi"/>
          <w:noProof/>
          <w:sz w:val="20"/>
        </w:rPr>
        <w:t>, p. 164.</w:t>
      </w:r>
    </w:p>
    <w:p w14:paraId="2BA2F9EA" w14:textId="53A103E0" w:rsidR="009D5A7A" w:rsidRPr="00706B67"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S. A. Jassim, “Enhancing S-box Generation Using African Buffalo Optimization Algorithm Techniques.,” </w:t>
      </w:r>
      <w:r w:rsidRPr="00706B67">
        <w:rPr>
          <w:rFonts w:asciiTheme="majorBidi" w:hAnsiTheme="majorBidi" w:cstheme="majorBidi"/>
          <w:i/>
          <w:iCs/>
          <w:noProof/>
          <w:sz w:val="20"/>
        </w:rPr>
        <w:t>Int. J. Intell. Eng. Syst.</w:t>
      </w:r>
      <w:r w:rsidRPr="00706B67">
        <w:rPr>
          <w:rFonts w:asciiTheme="majorBidi" w:hAnsiTheme="majorBidi" w:cstheme="majorBidi"/>
          <w:noProof/>
          <w:sz w:val="20"/>
        </w:rPr>
        <w:t>, vol. 18, no. 3, 2025.</w:t>
      </w:r>
    </w:p>
    <w:p w14:paraId="265A43C0" w14:textId="4AF3DD8B" w:rsidR="009D5A7A" w:rsidRDefault="009D5A7A" w:rsidP="00236294">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706B67">
        <w:rPr>
          <w:rFonts w:asciiTheme="majorBidi" w:hAnsiTheme="majorBidi" w:cstheme="majorBidi"/>
          <w:noProof/>
          <w:sz w:val="20"/>
        </w:rPr>
        <w:t xml:space="preserve">S. A. Jassim, A. H. Zwiad, and Z. M. S. Al-Beder, “A Chaotic-Initiated Discrete Optimization Framework for Cryptographically Strong AES S-Box Generation,” </w:t>
      </w:r>
      <w:r w:rsidRPr="00706B67">
        <w:rPr>
          <w:rFonts w:asciiTheme="majorBidi" w:hAnsiTheme="majorBidi" w:cstheme="majorBidi"/>
          <w:i/>
          <w:iCs/>
          <w:noProof/>
          <w:sz w:val="20"/>
        </w:rPr>
        <w:t>Cybern. Inf. Technol.</w:t>
      </w:r>
      <w:r w:rsidRPr="00706B67">
        <w:rPr>
          <w:rFonts w:asciiTheme="majorBidi" w:hAnsiTheme="majorBidi" w:cstheme="majorBidi"/>
          <w:noProof/>
          <w:sz w:val="20"/>
        </w:rPr>
        <w:t>, vol. 26, no. 2, pp. 132–153, 2026.</w:t>
      </w:r>
    </w:p>
    <w:p w14:paraId="765A4679" w14:textId="4E6AD844" w:rsidR="00801470" w:rsidRPr="001F50FC" w:rsidRDefault="001F50FC" w:rsidP="001F50FC">
      <w:pPr>
        <w:pStyle w:val="ListParagraph"/>
        <w:numPr>
          <w:ilvl w:val="0"/>
          <w:numId w:val="9"/>
        </w:numPr>
        <w:tabs>
          <w:tab w:val="left" w:pos="6186"/>
        </w:tabs>
        <w:spacing w:after="0" w:line="240" w:lineRule="auto"/>
        <w:ind w:left="346" w:hanging="346"/>
        <w:contextualSpacing w:val="0"/>
        <w:jc w:val="both"/>
        <w:rPr>
          <w:rFonts w:asciiTheme="majorBidi" w:hAnsiTheme="majorBidi" w:cstheme="majorBidi"/>
          <w:noProof/>
          <w:sz w:val="20"/>
        </w:rPr>
      </w:pPr>
      <w:r w:rsidRPr="001F50FC">
        <w:rPr>
          <w:rFonts w:asciiTheme="majorBidi" w:hAnsiTheme="majorBidi" w:cstheme="majorBidi"/>
          <w:noProof/>
          <w:sz w:val="20"/>
        </w:rPr>
        <w:t xml:space="preserve">S. A. Jassim, S. Q. Abd Al-Rahman, and A. A. Nafea, “Lightweight IOT-friendly image encryption scheme based on Latin square and dynamic DNA coding,” </w:t>
      </w:r>
      <w:r w:rsidRPr="001F50FC">
        <w:rPr>
          <w:rFonts w:asciiTheme="majorBidi" w:hAnsiTheme="majorBidi" w:cstheme="majorBidi"/>
          <w:i/>
          <w:iCs/>
          <w:noProof/>
          <w:sz w:val="20"/>
        </w:rPr>
        <w:t>Eng. Appl. Sci. Res.</w:t>
      </w:r>
      <w:r w:rsidRPr="001F50FC">
        <w:rPr>
          <w:rFonts w:asciiTheme="majorBidi" w:hAnsiTheme="majorBidi" w:cstheme="majorBidi"/>
          <w:noProof/>
          <w:sz w:val="20"/>
        </w:rPr>
        <w:t>, vol. 53, no. 2, pp. 223–234, 2026.</w:t>
      </w:r>
    </w:p>
    <w:p>
      <w:pPr>
        <w:pStyle w:val="ListParagraph"/>
        <w:numPr>
          <w:ilvl w:val="0"/>
          <w:numId w:val="9"/>
        </w:numPr>
        <w:spacing w:after="0"/>
      </w:pPr>
      <w:r>
        <w:rPr>
          <w:color w:val="FF0000"/>
          <w:sz w:val="18"/>
        </w:rPr>
        <w:t>H. Vishwakarma, G. Jain, and V. Raikwar, “Detection of Pneumonia Disease using Chest Radiograph Image Dataset,” Mendeley Data, Version 1, 2025, doi: 10.17632/kpg5yz77gj.1.</w:t>
      </w:r>
    </w:p>
    <w:p>
      <w:pPr>
        <w:pStyle w:val="ListParagraph"/>
        <w:numPr>
          <w:ilvl w:val="0"/>
          <w:numId w:val="9"/>
        </w:numPr>
        <w:spacing w:after="0"/>
      </w:pPr>
      <w:r>
        <w:rPr>
          <w:color w:val="FF0000"/>
          <w:sz w:val="18"/>
        </w:rPr>
        <w:t>M. T. Hayder, M. F. Hossan, and S. Sagor, “A Multi-Class Retinal Fundus Image Dataset for Deep Learning-Based Ocular Disease Diagnosis,” Mendeley Data, Version 1, 2026, doi: 10.17632/z227d626vm.1.</w:t>
      </w:r>
    </w:p>
    <w:p>
      <w:pPr>
        <w:pStyle w:val="ListParagraph"/>
        <w:numPr>
          <w:ilvl w:val="0"/>
          <w:numId w:val="9"/>
        </w:numPr>
        <w:spacing w:after="0"/>
      </w:pPr>
      <w:r>
        <w:rPr>
          <w:color w:val="FF0000"/>
          <w:sz w:val="18"/>
        </w:rPr>
        <w:t>S. K. Prabhakar, “Cataract DR normal glaucoma fundus images dataset,” Kaggle, 2022. [Online]. Available: https://www.kaggle.com/datasets/drskprabhakar/cataract-dr-normal-glaucoma-fundus-images-dataset.</w:t>
      </w:r>
    </w:p>
    <w:p>
      <w:pPr>
        <w:pStyle w:val="ListParagraph"/>
        <w:numPr>
          <w:ilvl w:val="0"/>
          <w:numId w:val="9"/>
        </w:numPr>
        <w:spacing w:after="0"/>
      </w:pPr>
      <w:r>
        <w:rPr>
          <w:color w:val="FF0000"/>
          <w:sz w:val="18"/>
        </w:rPr>
        <w:t>Priyanka, N. Baranwal, K. N. Singh, and A. K. Singh, “YOLO-based ROI selection for joint encryption and compression of medical images with reconstruction through super-resolution network,” Future Gener. Comput. Syst., vol. 150, pp. 1–9, 2024, doi: 10.1016/j.future.2023.08.018.</w:t>
      </w:r>
    </w:p>
    <w:p>
      <w:pPr>
        <w:pStyle w:val="ListParagraph"/>
        <w:numPr>
          <w:ilvl w:val="0"/>
          <w:numId w:val="9"/>
        </w:numPr>
        <w:spacing w:after="0"/>
      </w:pPr>
      <w:r>
        <w:rPr>
          <w:color w:val="FF0000"/>
          <w:sz w:val="18"/>
        </w:rPr>
        <w:t>K. N. Singh, N. Baranwal, O. P. Singh, and A. K. Singh, “DeepENC: Deep Learning-Based ROI Selection for Encryption of Medical Images Through Key Generation With Multimodal Information Fusion,” IEEE Trans. Consum. Electron., vol. 70, no. 3, pp. 6149–6156, 2024, doi: 10.1109/TCE.2024.3406963.</w:t>
      </w:r>
    </w:p>
    <w:p>
      <w:pPr>
        <w:pStyle w:val="ListParagraph"/>
        <w:numPr>
          <w:ilvl w:val="0"/>
          <w:numId w:val="9"/>
        </w:numPr>
        <w:spacing w:after="0"/>
      </w:pPr>
      <w:r>
        <w:rPr>
          <w:color w:val="FF0000"/>
          <w:sz w:val="18"/>
        </w:rPr>
        <w:t>B. Zhou, A. Khosla, A. Lapedriza, A. Oliva, and A. Torralba, “Learning Deep Features for Discriminative Localization,” in Proc. IEEE Conf. Comput. Vis. Pattern Recognit. (CVPR), 2016, pp. 2921–2929, doi: 10.1109/CVPR.2016.319.</w:t>
      </w:r>
    </w:p>
    <w:sectPr w:rsidR="00801470" w:rsidRPr="001F50FC" w:rsidSect="00187323">
      <w:type w:val="continuous"/>
      <w:pgSz w:w="11906" w:h="16838" w:code="9"/>
      <w:pgMar w:top="1440" w:right="1080" w:bottom="1440" w:left="1080" w:header="850" w:footer="567"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E163CB" w14:textId="77777777" w:rsidR="005053C9" w:rsidRDefault="005053C9" w:rsidP="00683763">
      <w:pPr>
        <w:spacing w:after="0" w:line="240" w:lineRule="auto"/>
      </w:pPr>
      <w:r>
        <w:separator/>
      </w:r>
    </w:p>
  </w:endnote>
  <w:endnote w:type="continuationSeparator" w:id="0">
    <w:p w14:paraId="07207EE0" w14:textId="77777777" w:rsidR="005053C9" w:rsidRDefault="005053C9" w:rsidP="00683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3852B" w14:textId="77777777" w:rsidR="00605582" w:rsidRDefault="0014223D" w:rsidP="00477503">
    <w:pPr>
      <w:pStyle w:val="NoSpacing"/>
      <w:rPr>
        <w:rFonts w:ascii="Times New Roman" w:hAnsi="Times New Roman" w:cs="Times New Roman"/>
        <w:sz w:val="16"/>
        <w:szCs w:val="16"/>
      </w:rPr>
    </w:pPr>
    <w:r>
      <w:rPr>
        <w:rFonts w:ascii="Times New Roman" w:hAnsi="Times New Roman"/>
        <w:i/>
        <w:sz w:val="20"/>
      </w:rPr>
      <w:t xml:space="preserve">International Journal of Intelligent Engineering and </w:t>
    </w:r>
    <w:r w:rsidR="0084207F">
      <w:rPr>
        <w:rFonts w:ascii="Times New Roman" w:hAnsi="Times New Roman"/>
        <w:i/>
        <w:sz w:val="20"/>
      </w:rPr>
      <w:t xml:space="preserve">Systems, </w:t>
    </w:r>
    <w:proofErr w:type="spellStart"/>
    <w:r w:rsidR="0084207F">
      <w:rPr>
        <w:rFonts w:ascii="Times New Roman" w:hAnsi="Times New Roman"/>
        <w:i/>
        <w:sz w:val="20"/>
      </w:rPr>
      <w:t>Vol.x</w:t>
    </w:r>
    <w:proofErr w:type="spellEnd"/>
    <w:r>
      <w:rPr>
        <w:rFonts w:ascii="Times New Roman" w:hAnsi="Times New Roman"/>
        <w:i/>
        <w:sz w:val="20"/>
      </w:rPr>
      <w:t xml:space="preserve">, </w:t>
    </w:r>
    <w:proofErr w:type="spellStart"/>
    <w:r>
      <w:rPr>
        <w:rFonts w:ascii="Times New Roman" w:hAnsi="Times New Roman"/>
        <w:i/>
        <w:sz w:val="20"/>
      </w:rPr>
      <w:t>No.</w:t>
    </w:r>
    <w:r w:rsidR="0084207F">
      <w:rPr>
        <w:rFonts w:ascii="Times New Roman" w:hAnsi="Times New Roman" w:hint="eastAsia"/>
        <w:i/>
        <w:sz w:val="20"/>
        <w:lang w:eastAsia="ja-JP"/>
      </w:rPr>
      <w:t>x</w:t>
    </w:r>
    <w:proofErr w:type="spellEnd"/>
    <w:r w:rsidR="0084207F">
      <w:rPr>
        <w:rFonts w:ascii="Times New Roman" w:hAnsi="Times New Roman"/>
        <w:i/>
        <w:sz w:val="20"/>
      </w:rPr>
      <w:t xml:space="preserve">, 20xx    </w:t>
    </w:r>
    <w:r w:rsidR="0084207F">
      <w:rPr>
        <w:rFonts w:ascii="Times New Roman" w:hAnsi="Times New Roman" w:hint="eastAsia"/>
        <w:i/>
        <w:sz w:val="20"/>
        <w:lang w:eastAsia="ja-JP"/>
      </w:rPr>
      <w:t xml:space="preserve"> </w:t>
    </w:r>
    <w:r w:rsidR="0084207F">
      <w:rPr>
        <w:rFonts w:ascii="Times New Roman" w:hAnsi="Times New Roman" w:hint="eastAsia"/>
        <w:sz w:val="20"/>
        <w:lang w:eastAsia="ja-JP"/>
      </w:rPr>
      <w:t xml:space="preserve">    </w:t>
    </w:r>
    <w:r w:rsidR="00E95782">
      <w:rPr>
        <w:rFonts w:ascii="Times New Roman" w:hAnsi="Times New Roman"/>
        <w:sz w:val="20"/>
        <w:lang w:eastAsia="ja-JP"/>
      </w:rPr>
      <w:t xml:space="preserve"> </w:t>
    </w:r>
    <w:r w:rsidR="00F00E54">
      <w:rPr>
        <w:rFonts w:ascii="Times New Roman" w:hAnsi="Times New Roman"/>
        <w:sz w:val="20"/>
        <w:lang w:eastAsia="ja-JP"/>
      </w:rPr>
      <w:t xml:space="preserve">   </w:t>
    </w:r>
    <w:r w:rsidR="00E95782">
      <w:rPr>
        <w:rFonts w:ascii="Times New Roman" w:hAnsi="Times New Roman"/>
        <w:sz w:val="20"/>
        <w:lang w:eastAsia="ja-JP"/>
      </w:rPr>
      <w:t>DOI: 10.22266/ijies201</w:t>
    </w:r>
    <w:r w:rsidR="007E7265">
      <w:rPr>
        <w:rFonts w:ascii="Times New Roman" w:hAnsi="Times New Roman"/>
        <w:sz w:val="20"/>
        <w:lang w:eastAsia="ja-JP"/>
      </w:rPr>
      <w:t>9</w:t>
    </w:r>
    <w:r w:rsidR="0084207F">
      <w:rPr>
        <w:rFonts w:ascii="Times New Roman" w:hAnsi="Times New Roman"/>
        <w:sz w:val="20"/>
        <w:lang w:eastAsia="ja-JP"/>
      </w:rPr>
      <w:t>.xxxx.xx</w:t>
    </w:r>
    <w:r w:rsidR="00477503">
      <w:rPr>
        <w:rFonts w:ascii="Times New Roman" w:hAnsi="Times New Roman"/>
        <w:sz w:val="20"/>
        <w:lang w:eastAsia="ja-JP"/>
      </w:rPr>
      <w:br/>
    </w:r>
  </w:p>
  <w:p w14:paraId="49272F0B" w14:textId="54EFAAAD" w:rsidR="00477503" w:rsidRPr="00477503" w:rsidRDefault="00477503" w:rsidP="00477503">
    <w:pPr>
      <w:pStyle w:val="NoSpacing"/>
      <w:rPr>
        <w:rFonts w:ascii="Times New Roman" w:hAnsi="Times New Roman" w:cs="Times New Roman"/>
        <w:sz w:val="16"/>
        <w:szCs w:val="16"/>
      </w:rPr>
    </w:pPr>
    <w:r w:rsidRPr="00477503">
      <w:rPr>
        <w:rFonts w:ascii="Times New Roman" w:hAnsi="Times New Roman" w:cs="Times New Roman"/>
        <w:sz w:val="16"/>
        <w:szCs w:val="16"/>
      </w:rPr>
      <w:t xml:space="preserve">This article is licensed under a Creative Commons Attribution-ShareAlike 4.0 International License. </w:t>
    </w:r>
  </w:p>
  <w:p w14:paraId="715B63B0" w14:textId="7C65D25E" w:rsidR="0014223D" w:rsidRDefault="00477503" w:rsidP="00605582">
    <w:pPr>
      <w:pStyle w:val="NoSpacing"/>
      <w:rPr>
        <w:lang w:eastAsia="ja-JP"/>
      </w:rPr>
    </w:pPr>
    <w:r w:rsidRPr="00477503">
      <w:rPr>
        <w:rFonts w:ascii="Times New Roman" w:hAnsi="Times New Roman" w:cs="Times New Roman"/>
        <w:sz w:val="16"/>
        <w:szCs w:val="16"/>
      </w:rPr>
      <w:t>License details: 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33B32F" w14:textId="77777777" w:rsidR="005053C9" w:rsidRDefault="005053C9" w:rsidP="00683763">
      <w:pPr>
        <w:spacing w:after="0" w:line="240" w:lineRule="auto"/>
      </w:pPr>
      <w:r>
        <w:separator/>
      </w:r>
    </w:p>
  </w:footnote>
  <w:footnote w:type="continuationSeparator" w:id="0">
    <w:p w14:paraId="509CAB44" w14:textId="77777777" w:rsidR="005053C9" w:rsidRDefault="005053C9" w:rsidP="00683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CE611F" w14:textId="77777777" w:rsidR="0014223D" w:rsidRPr="00683763" w:rsidRDefault="007218D9" w:rsidP="00917D26">
    <w:pPr>
      <w:pStyle w:val="Header"/>
      <w:wordWrap w:val="0"/>
      <w:jc w:val="right"/>
      <w:rPr>
        <w:rFonts w:ascii="Times New Roman" w:hAnsi="Times New Roman" w:cs="Times New Roman"/>
        <w:sz w:val="20"/>
        <w:szCs w:val="20"/>
      </w:rPr>
    </w:pPr>
    <w:r w:rsidRPr="007218D9">
      <w:rPr>
        <w:rFonts w:ascii="Times New Roman" w:hAnsi="Times New Roman" w:cs="Times New Roman"/>
        <w:sz w:val="20"/>
        <w:szCs w:val="20"/>
      </w:rPr>
      <w:t>Received:  October 18, 20</w:t>
    </w:r>
    <w:r>
      <w:rPr>
        <w:rFonts w:ascii="Times New Roman" w:hAnsi="Times New Roman" w:cs="Times New Roman"/>
        <w:sz w:val="20"/>
        <w:szCs w:val="20"/>
      </w:rPr>
      <w:t>2</w:t>
    </w:r>
    <w:r w:rsidR="001B0753">
      <w:rPr>
        <w:rFonts w:ascii="Times New Roman" w:hAnsi="Times New Roman" w:cs="Times New Roman"/>
        <w:sz w:val="20"/>
        <w:szCs w:val="20"/>
      </w:rPr>
      <w:t>1</w:t>
    </w:r>
    <w:r w:rsidRPr="007218D9">
      <w:rPr>
        <w:rFonts w:ascii="Times New Roman" w:hAnsi="Times New Roman" w:cs="Times New Roman"/>
        <w:sz w:val="20"/>
        <w:szCs w:val="20"/>
      </w:rPr>
      <w:t>.     Revised: December 20, 20</w:t>
    </w:r>
    <w:r>
      <w:rPr>
        <w:rFonts w:ascii="Times New Roman" w:hAnsi="Times New Roman" w:cs="Times New Roman"/>
        <w:sz w:val="20"/>
        <w:szCs w:val="20"/>
      </w:rPr>
      <w:t>2</w:t>
    </w:r>
    <w:r w:rsidR="001B0753">
      <w:rPr>
        <w:rFonts w:ascii="Times New Roman" w:hAnsi="Times New Roman" w:cs="Times New Roman"/>
        <w:sz w:val="20"/>
        <w:szCs w:val="20"/>
      </w:rPr>
      <w:t>1</w:t>
    </w:r>
    <w:r w:rsidRPr="007218D9">
      <w:rPr>
        <w:rFonts w:ascii="Times New Roman" w:hAnsi="Times New Roman" w:cs="Times New Roman"/>
        <w:sz w:val="20"/>
        <w:szCs w:val="20"/>
      </w:rPr>
      <w:t>.</w:t>
    </w:r>
    <w:r>
      <w:rPr>
        <w:rFonts w:ascii="Times New Roman" w:hAnsi="Times New Roman" w:cs="Times New Roman"/>
        <w:sz w:val="20"/>
        <w:szCs w:val="20"/>
      </w:rPr>
      <w:t xml:space="preserve">         </w:t>
    </w:r>
    <w:r w:rsidR="00917D26">
      <w:rPr>
        <w:rFonts w:ascii="Times New Roman" w:hAnsi="Times New Roman" w:cs="Times New Roman"/>
        <w:sz w:val="20"/>
        <w:szCs w:val="20"/>
      </w:rPr>
      <w:t xml:space="preserve">                                                                                   </w:t>
    </w:r>
    <w:sdt>
      <w:sdtPr>
        <w:rPr>
          <w:rFonts w:ascii="Times New Roman" w:hAnsi="Times New Roman" w:cs="Times New Roman"/>
          <w:sz w:val="20"/>
          <w:szCs w:val="20"/>
        </w:rPr>
        <w:id w:val="1583253042"/>
        <w:docPartObj>
          <w:docPartGallery w:val="Page Numbers (Top of Page)"/>
          <w:docPartUnique/>
        </w:docPartObj>
      </w:sdtPr>
      <w:sdtEndPr/>
      <w:sdtContent>
        <w:r w:rsidR="00267044" w:rsidRPr="00683763">
          <w:rPr>
            <w:rFonts w:ascii="Times New Roman" w:hAnsi="Times New Roman" w:cs="Times New Roman"/>
            <w:sz w:val="20"/>
            <w:szCs w:val="20"/>
          </w:rPr>
          <w:fldChar w:fldCharType="begin"/>
        </w:r>
        <w:r w:rsidR="0014223D" w:rsidRPr="00683763">
          <w:rPr>
            <w:rFonts w:ascii="Times New Roman" w:hAnsi="Times New Roman" w:cs="Times New Roman"/>
            <w:sz w:val="20"/>
            <w:szCs w:val="20"/>
          </w:rPr>
          <w:instrText>PAGE   \* MERGEFORMAT</w:instrText>
        </w:r>
        <w:r w:rsidR="00267044" w:rsidRPr="00683763">
          <w:rPr>
            <w:rFonts w:ascii="Times New Roman" w:hAnsi="Times New Roman" w:cs="Times New Roman"/>
            <w:sz w:val="20"/>
            <w:szCs w:val="20"/>
          </w:rPr>
          <w:fldChar w:fldCharType="separate"/>
        </w:r>
        <w:r w:rsidR="00196477" w:rsidRPr="00196477">
          <w:rPr>
            <w:rFonts w:ascii="Times New Roman" w:hAnsi="Times New Roman" w:cs="Times New Roman"/>
            <w:noProof/>
            <w:sz w:val="20"/>
            <w:szCs w:val="20"/>
            <w:lang w:val="ja-JP" w:eastAsia="ja-JP"/>
          </w:rPr>
          <w:t>1</w:t>
        </w:r>
        <w:r w:rsidR="00267044" w:rsidRPr="00683763">
          <w:rPr>
            <w:rFonts w:ascii="Times New Roman" w:hAnsi="Times New Roman" w:cs="Times New Roman"/>
            <w:sz w:val="20"/>
            <w:szCs w:val="20"/>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8565A7"/>
    <w:multiLevelType w:val="hybridMultilevel"/>
    <w:tmpl w:val="F2C402E2"/>
    <w:lvl w:ilvl="0" w:tplc="99468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5E348F"/>
    <w:multiLevelType w:val="hybridMultilevel"/>
    <w:tmpl w:val="43B01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2F2F34"/>
    <w:multiLevelType w:val="hybridMultilevel"/>
    <w:tmpl w:val="6C186B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5F3748"/>
    <w:multiLevelType w:val="hybridMultilevel"/>
    <w:tmpl w:val="11508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6714B0"/>
    <w:multiLevelType w:val="hybridMultilevel"/>
    <w:tmpl w:val="9ED60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2C3D2D"/>
    <w:multiLevelType w:val="multilevel"/>
    <w:tmpl w:val="6C86BD74"/>
    <w:lvl w:ilvl="0">
      <w:start w:val="1"/>
      <w:numFmt w:val="none"/>
      <w:suff w:val="space"/>
      <w:lvlText w:val="7."/>
      <w:lvlJc w:val="left"/>
      <w:pPr>
        <w:ind w:left="0" w:firstLine="0"/>
      </w:pPr>
      <w:rPr>
        <w:rFonts w:ascii="Times New Roman" w:hAnsi="Times New Roman" w:hint="default"/>
        <w:b/>
        <w:i w:val="0"/>
        <w:color w:val="000000"/>
        <w:spacing w:val="0"/>
        <w:w w:val="100"/>
        <w:kern w:val="0"/>
        <w:position w:val="0"/>
        <w:sz w:val="24"/>
        <w:szCs w:val="24"/>
      </w:rPr>
    </w:lvl>
    <w:lvl w:ilvl="1">
      <w:start w:val="1"/>
      <w:numFmt w:val="decimal"/>
      <w:pStyle w:val="SectionHeading"/>
      <w:suff w:val="space"/>
      <w:lvlText w:val="7.%2"/>
      <w:lvlJc w:val="left"/>
      <w:pPr>
        <w:ind w:left="0" w:firstLine="0"/>
      </w:pPr>
      <w:rPr>
        <w:rFonts w:ascii="Times New Roman" w:hAnsi="Times New Roman" w:hint="default"/>
        <w:b/>
        <w:i w:val="0"/>
        <w:color w:val="000000"/>
        <w:spacing w:val="0"/>
        <w:w w:val="100"/>
        <w:position w:val="0"/>
        <w:sz w:val="22"/>
        <w:szCs w:val="22"/>
      </w:rPr>
    </w:lvl>
    <w:lvl w:ilvl="2">
      <w:start w:val="1"/>
      <w:numFmt w:val="decimal"/>
      <w:suff w:val="space"/>
      <w:lvlText w:val="%17.%2.%3."/>
      <w:lvlJc w:val="left"/>
      <w:pPr>
        <w:ind w:left="0" w:firstLine="0"/>
      </w:pPr>
      <w:rPr>
        <w:rFonts w:ascii="Times New Roman" w:hAnsi="Times New Roman" w:hint="default"/>
        <w:b/>
        <w:i w:val="0"/>
        <w:color w:val="000000"/>
        <w:spacing w:val="0"/>
        <w:w w:val="100"/>
        <w:position w:val="0"/>
        <w:sz w:val="20"/>
        <w:szCs w:val="20"/>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49DD7832"/>
    <w:multiLevelType w:val="hybridMultilevel"/>
    <w:tmpl w:val="5AACDE2A"/>
    <w:lvl w:ilvl="0" w:tplc="22187E44">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FCD4003"/>
    <w:multiLevelType w:val="hybridMultilevel"/>
    <w:tmpl w:val="9BEE8266"/>
    <w:lvl w:ilvl="0" w:tplc="8114563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8" w15:restartNumberingAfterBreak="0">
    <w:nsid w:val="53EC50EC"/>
    <w:multiLevelType w:val="hybridMultilevel"/>
    <w:tmpl w:val="C590A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F536BA"/>
    <w:multiLevelType w:val="hybridMultilevel"/>
    <w:tmpl w:val="0B4CC51E"/>
    <w:lvl w:ilvl="0" w:tplc="E736A0E6">
      <w:numFmt w:val="bullet"/>
      <w:lvlText w:val="□"/>
      <w:lvlJc w:val="left"/>
      <w:pPr>
        <w:ind w:left="360" w:hanging="360"/>
      </w:pPr>
      <w:rPr>
        <w:rFonts w:ascii="MS Mincho" w:eastAsia="MS Mincho" w:hAnsi="MS Mincho" w:cs="Tahoma"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62C02348"/>
    <w:multiLevelType w:val="hybridMultilevel"/>
    <w:tmpl w:val="67B6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5B69DF"/>
    <w:multiLevelType w:val="hybridMultilevel"/>
    <w:tmpl w:val="9EC8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114CC"/>
    <w:multiLevelType w:val="multilevel"/>
    <w:tmpl w:val="1EB8CCF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13" w15:restartNumberingAfterBreak="0">
    <w:nsid w:val="7AE201F6"/>
    <w:multiLevelType w:val="hybridMultilevel"/>
    <w:tmpl w:val="3692EF9C"/>
    <w:lvl w:ilvl="0" w:tplc="9F78252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abstractNumId w:val="1"/>
  </w:num>
  <w:num w:numId="2">
    <w:abstractNumId w:val="8"/>
  </w:num>
  <w:num w:numId="3">
    <w:abstractNumId w:val="10"/>
  </w:num>
  <w:num w:numId="4">
    <w:abstractNumId w:val="4"/>
  </w:num>
  <w:num w:numId="5">
    <w:abstractNumId w:val="11"/>
  </w:num>
  <w:num w:numId="6">
    <w:abstractNumId w:val="2"/>
  </w:num>
  <w:num w:numId="7">
    <w:abstractNumId w:val="12"/>
  </w:num>
  <w:num w:numId="8">
    <w:abstractNumId w:val="3"/>
  </w:num>
  <w:num w:numId="9">
    <w:abstractNumId w:val="0"/>
  </w:num>
  <w:num w:numId="10">
    <w:abstractNumId w:val="5"/>
  </w:num>
  <w:num w:numId="11">
    <w:abstractNumId w:val="9"/>
  </w:num>
  <w:num w:numId="12">
    <w:abstractNumId w:val="6"/>
  </w:num>
  <w:num w:numId="13">
    <w:abstractNumId w:val="7"/>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jE1MTI1NjMyMDQH8pR0lIJTi4sz8/NACgxrAZTKNK8sAAAA"/>
  </w:docVars>
  <w:rsids>
    <w:rsidRoot w:val="00FE5191"/>
    <w:rsid w:val="00000BDB"/>
    <w:rsid w:val="00001B11"/>
    <w:rsid w:val="00011029"/>
    <w:rsid w:val="00027B23"/>
    <w:rsid w:val="00044D61"/>
    <w:rsid w:val="00046BF4"/>
    <w:rsid w:val="00051AF6"/>
    <w:rsid w:val="00073EFF"/>
    <w:rsid w:val="000904E8"/>
    <w:rsid w:val="00091F5A"/>
    <w:rsid w:val="00095CC6"/>
    <w:rsid w:val="00096006"/>
    <w:rsid w:val="000A255D"/>
    <w:rsid w:val="000A2DD7"/>
    <w:rsid w:val="000A32ED"/>
    <w:rsid w:val="000A403E"/>
    <w:rsid w:val="000A4734"/>
    <w:rsid w:val="000A4B1A"/>
    <w:rsid w:val="000A58F5"/>
    <w:rsid w:val="000B0D88"/>
    <w:rsid w:val="000B2191"/>
    <w:rsid w:val="000B2AC6"/>
    <w:rsid w:val="000B3077"/>
    <w:rsid w:val="000B4103"/>
    <w:rsid w:val="000B5CEA"/>
    <w:rsid w:val="000C03D8"/>
    <w:rsid w:val="000C4722"/>
    <w:rsid w:val="000D0C8F"/>
    <w:rsid w:val="000F0020"/>
    <w:rsid w:val="0010361A"/>
    <w:rsid w:val="0011144B"/>
    <w:rsid w:val="00114C4E"/>
    <w:rsid w:val="00117EEB"/>
    <w:rsid w:val="00123FD0"/>
    <w:rsid w:val="001303BC"/>
    <w:rsid w:val="00136F4E"/>
    <w:rsid w:val="00137692"/>
    <w:rsid w:val="00140517"/>
    <w:rsid w:val="0014223D"/>
    <w:rsid w:val="00144B54"/>
    <w:rsid w:val="00150380"/>
    <w:rsid w:val="001626E3"/>
    <w:rsid w:val="00163CA4"/>
    <w:rsid w:val="00174C47"/>
    <w:rsid w:val="00182601"/>
    <w:rsid w:val="00182BB6"/>
    <w:rsid w:val="00187006"/>
    <w:rsid w:val="00187323"/>
    <w:rsid w:val="00187DBA"/>
    <w:rsid w:val="001917D5"/>
    <w:rsid w:val="00191D30"/>
    <w:rsid w:val="00196477"/>
    <w:rsid w:val="001A2F05"/>
    <w:rsid w:val="001A6540"/>
    <w:rsid w:val="001B0753"/>
    <w:rsid w:val="001C3839"/>
    <w:rsid w:val="001D4801"/>
    <w:rsid w:val="001E179E"/>
    <w:rsid w:val="001E1883"/>
    <w:rsid w:val="001F50FC"/>
    <w:rsid w:val="002004F3"/>
    <w:rsid w:val="00201C8B"/>
    <w:rsid w:val="00202E34"/>
    <w:rsid w:val="00211603"/>
    <w:rsid w:val="00212453"/>
    <w:rsid w:val="0022139F"/>
    <w:rsid w:val="00233978"/>
    <w:rsid w:val="00236294"/>
    <w:rsid w:val="00244480"/>
    <w:rsid w:val="00250350"/>
    <w:rsid w:val="00260D13"/>
    <w:rsid w:val="002621D5"/>
    <w:rsid w:val="00267044"/>
    <w:rsid w:val="00274444"/>
    <w:rsid w:val="00274C6E"/>
    <w:rsid w:val="00275C15"/>
    <w:rsid w:val="00275DC9"/>
    <w:rsid w:val="00280FCF"/>
    <w:rsid w:val="002910E7"/>
    <w:rsid w:val="002B4F86"/>
    <w:rsid w:val="002C1A97"/>
    <w:rsid w:val="002E2B91"/>
    <w:rsid w:val="002F3F26"/>
    <w:rsid w:val="00311287"/>
    <w:rsid w:val="00311489"/>
    <w:rsid w:val="0031287B"/>
    <w:rsid w:val="00313CE1"/>
    <w:rsid w:val="003154C2"/>
    <w:rsid w:val="00322601"/>
    <w:rsid w:val="003324D8"/>
    <w:rsid w:val="00337443"/>
    <w:rsid w:val="003407CB"/>
    <w:rsid w:val="00345591"/>
    <w:rsid w:val="003635B9"/>
    <w:rsid w:val="00363EC1"/>
    <w:rsid w:val="00373CA0"/>
    <w:rsid w:val="00381594"/>
    <w:rsid w:val="00382564"/>
    <w:rsid w:val="003836D4"/>
    <w:rsid w:val="00387604"/>
    <w:rsid w:val="003877F2"/>
    <w:rsid w:val="0039261C"/>
    <w:rsid w:val="003A07F5"/>
    <w:rsid w:val="003A0F33"/>
    <w:rsid w:val="003A1774"/>
    <w:rsid w:val="003A3874"/>
    <w:rsid w:val="003A406D"/>
    <w:rsid w:val="003A5E74"/>
    <w:rsid w:val="003A5F4D"/>
    <w:rsid w:val="003B26C1"/>
    <w:rsid w:val="003C36AA"/>
    <w:rsid w:val="003C521D"/>
    <w:rsid w:val="003D429C"/>
    <w:rsid w:val="003E483F"/>
    <w:rsid w:val="003E4E82"/>
    <w:rsid w:val="003E58EF"/>
    <w:rsid w:val="00420A0E"/>
    <w:rsid w:val="0042354F"/>
    <w:rsid w:val="00424839"/>
    <w:rsid w:val="0042755F"/>
    <w:rsid w:val="00432B4F"/>
    <w:rsid w:val="004336B1"/>
    <w:rsid w:val="00437286"/>
    <w:rsid w:val="00444049"/>
    <w:rsid w:val="00446143"/>
    <w:rsid w:val="00447B7D"/>
    <w:rsid w:val="00447D62"/>
    <w:rsid w:val="00451E6A"/>
    <w:rsid w:val="00475BDB"/>
    <w:rsid w:val="00477503"/>
    <w:rsid w:val="004804D1"/>
    <w:rsid w:val="00480E6D"/>
    <w:rsid w:val="004816C9"/>
    <w:rsid w:val="004838C6"/>
    <w:rsid w:val="00484347"/>
    <w:rsid w:val="004848AF"/>
    <w:rsid w:val="00494FD2"/>
    <w:rsid w:val="004A10FA"/>
    <w:rsid w:val="004A4FB2"/>
    <w:rsid w:val="004B073A"/>
    <w:rsid w:val="004B1D0F"/>
    <w:rsid w:val="004C5C4C"/>
    <w:rsid w:val="004C79AB"/>
    <w:rsid w:val="004D0113"/>
    <w:rsid w:val="004E4044"/>
    <w:rsid w:val="004F45D9"/>
    <w:rsid w:val="004F5EEE"/>
    <w:rsid w:val="0050340D"/>
    <w:rsid w:val="005053C9"/>
    <w:rsid w:val="005109C7"/>
    <w:rsid w:val="00512C4F"/>
    <w:rsid w:val="0051537F"/>
    <w:rsid w:val="00517E07"/>
    <w:rsid w:val="00520B16"/>
    <w:rsid w:val="005233D1"/>
    <w:rsid w:val="0053310F"/>
    <w:rsid w:val="005432CB"/>
    <w:rsid w:val="005448CC"/>
    <w:rsid w:val="00551B27"/>
    <w:rsid w:val="005536F6"/>
    <w:rsid w:val="00574DF9"/>
    <w:rsid w:val="00576596"/>
    <w:rsid w:val="00577C7D"/>
    <w:rsid w:val="005836DC"/>
    <w:rsid w:val="00584D6A"/>
    <w:rsid w:val="00595B42"/>
    <w:rsid w:val="00596082"/>
    <w:rsid w:val="005A34A6"/>
    <w:rsid w:val="005B7E47"/>
    <w:rsid w:val="005C061C"/>
    <w:rsid w:val="005C1D32"/>
    <w:rsid w:val="005C2E16"/>
    <w:rsid w:val="005C3F86"/>
    <w:rsid w:val="005C4441"/>
    <w:rsid w:val="005E2092"/>
    <w:rsid w:val="005E258E"/>
    <w:rsid w:val="005E29F3"/>
    <w:rsid w:val="005F2FE1"/>
    <w:rsid w:val="005F3120"/>
    <w:rsid w:val="005F5328"/>
    <w:rsid w:val="00603681"/>
    <w:rsid w:val="0060489B"/>
    <w:rsid w:val="00605582"/>
    <w:rsid w:val="00620972"/>
    <w:rsid w:val="006236B0"/>
    <w:rsid w:val="00623A13"/>
    <w:rsid w:val="006321CB"/>
    <w:rsid w:val="0063355E"/>
    <w:rsid w:val="00635DA2"/>
    <w:rsid w:val="006419AB"/>
    <w:rsid w:val="00657464"/>
    <w:rsid w:val="006637AE"/>
    <w:rsid w:val="00664D3A"/>
    <w:rsid w:val="0066772C"/>
    <w:rsid w:val="00675422"/>
    <w:rsid w:val="006762CB"/>
    <w:rsid w:val="00676948"/>
    <w:rsid w:val="00676D75"/>
    <w:rsid w:val="00683763"/>
    <w:rsid w:val="006912FB"/>
    <w:rsid w:val="00695B2D"/>
    <w:rsid w:val="006A4B7F"/>
    <w:rsid w:val="006A4DE7"/>
    <w:rsid w:val="006A739C"/>
    <w:rsid w:val="006B0498"/>
    <w:rsid w:val="006B2697"/>
    <w:rsid w:val="006B2F83"/>
    <w:rsid w:val="006B54C6"/>
    <w:rsid w:val="006C41AB"/>
    <w:rsid w:val="006C4E0D"/>
    <w:rsid w:val="006C65C7"/>
    <w:rsid w:val="006D6AB6"/>
    <w:rsid w:val="006F678E"/>
    <w:rsid w:val="007007DB"/>
    <w:rsid w:val="00702532"/>
    <w:rsid w:val="00703545"/>
    <w:rsid w:val="007046AD"/>
    <w:rsid w:val="007046ED"/>
    <w:rsid w:val="00707737"/>
    <w:rsid w:val="00710A98"/>
    <w:rsid w:val="007110D0"/>
    <w:rsid w:val="00713C12"/>
    <w:rsid w:val="007159DB"/>
    <w:rsid w:val="00715C7E"/>
    <w:rsid w:val="007218D9"/>
    <w:rsid w:val="007229A1"/>
    <w:rsid w:val="00725C0C"/>
    <w:rsid w:val="00731239"/>
    <w:rsid w:val="0073333B"/>
    <w:rsid w:val="00734FD6"/>
    <w:rsid w:val="00740DA8"/>
    <w:rsid w:val="007410E7"/>
    <w:rsid w:val="007425D9"/>
    <w:rsid w:val="00756731"/>
    <w:rsid w:val="007600F7"/>
    <w:rsid w:val="00762387"/>
    <w:rsid w:val="00763DE7"/>
    <w:rsid w:val="00775DBD"/>
    <w:rsid w:val="00783364"/>
    <w:rsid w:val="00785AF6"/>
    <w:rsid w:val="00791A49"/>
    <w:rsid w:val="007927CC"/>
    <w:rsid w:val="007A512A"/>
    <w:rsid w:val="007A5E5D"/>
    <w:rsid w:val="007B6B6A"/>
    <w:rsid w:val="007B7684"/>
    <w:rsid w:val="007D4607"/>
    <w:rsid w:val="007D78AA"/>
    <w:rsid w:val="007E3EF1"/>
    <w:rsid w:val="007E7265"/>
    <w:rsid w:val="007F0001"/>
    <w:rsid w:val="007F5691"/>
    <w:rsid w:val="007F739E"/>
    <w:rsid w:val="007F79D5"/>
    <w:rsid w:val="00801470"/>
    <w:rsid w:val="008079A3"/>
    <w:rsid w:val="008106B4"/>
    <w:rsid w:val="00812DED"/>
    <w:rsid w:val="00813DD6"/>
    <w:rsid w:val="00814AF2"/>
    <w:rsid w:val="00816BBA"/>
    <w:rsid w:val="00822A46"/>
    <w:rsid w:val="00825FFA"/>
    <w:rsid w:val="00826EFF"/>
    <w:rsid w:val="00837A14"/>
    <w:rsid w:val="0084207F"/>
    <w:rsid w:val="008542E2"/>
    <w:rsid w:val="008554D8"/>
    <w:rsid w:val="008643F7"/>
    <w:rsid w:val="008660BD"/>
    <w:rsid w:val="00867450"/>
    <w:rsid w:val="00867B28"/>
    <w:rsid w:val="00867D6C"/>
    <w:rsid w:val="008756A9"/>
    <w:rsid w:val="00876067"/>
    <w:rsid w:val="0087669A"/>
    <w:rsid w:val="00880F85"/>
    <w:rsid w:val="008852F1"/>
    <w:rsid w:val="0088670F"/>
    <w:rsid w:val="00887194"/>
    <w:rsid w:val="008A3A4E"/>
    <w:rsid w:val="008A4AE9"/>
    <w:rsid w:val="008C2F67"/>
    <w:rsid w:val="008C397C"/>
    <w:rsid w:val="008D1E10"/>
    <w:rsid w:val="008D27A3"/>
    <w:rsid w:val="008E1003"/>
    <w:rsid w:val="008E5CD2"/>
    <w:rsid w:val="008F3A4E"/>
    <w:rsid w:val="0090021D"/>
    <w:rsid w:val="00904BBE"/>
    <w:rsid w:val="0090732E"/>
    <w:rsid w:val="00917D26"/>
    <w:rsid w:val="00923488"/>
    <w:rsid w:val="0092724E"/>
    <w:rsid w:val="009306BD"/>
    <w:rsid w:val="00933290"/>
    <w:rsid w:val="00945699"/>
    <w:rsid w:val="00952961"/>
    <w:rsid w:val="00962A2C"/>
    <w:rsid w:val="009730CC"/>
    <w:rsid w:val="009765CF"/>
    <w:rsid w:val="00984857"/>
    <w:rsid w:val="00990D2D"/>
    <w:rsid w:val="009A5162"/>
    <w:rsid w:val="009B21C6"/>
    <w:rsid w:val="009B59BF"/>
    <w:rsid w:val="009B63CF"/>
    <w:rsid w:val="009C4919"/>
    <w:rsid w:val="009C605C"/>
    <w:rsid w:val="009C6F7D"/>
    <w:rsid w:val="009D5A7A"/>
    <w:rsid w:val="009D614C"/>
    <w:rsid w:val="009F1CA2"/>
    <w:rsid w:val="009F48C9"/>
    <w:rsid w:val="00A0361C"/>
    <w:rsid w:val="00A05BEE"/>
    <w:rsid w:val="00A10C9F"/>
    <w:rsid w:val="00A135B4"/>
    <w:rsid w:val="00A158E6"/>
    <w:rsid w:val="00A26FAF"/>
    <w:rsid w:val="00A32250"/>
    <w:rsid w:val="00A3315D"/>
    <w:rsid w:val="00A413B3"/>
    <w:rsid w:val="00A41DDF"/>
    <w:rsid w:val="00A425E5"/>
    <w:rsid w:val="00A46D43"/>
    <w:rsid w:val="00A50043"/>
    <w:rsid w:val="00A50B27"/>
    <w:rsid w:val="00A6002A"/>
    <w:rsid w:val="00A616F6"/>
    <w:rsid w:val="00A62E36"/>
    <w:rsid w:val="00A62FD7"/>
    <w:rsid w:val="00A65308"/>
    <w:rsid w:val="00A675DC"/>
    <w:rsid w:val="00A73591"/>
    <w:rsid w:val="00A73A9B"/>
    <w:rsid w:val="00A75D34"/>
    <w:rsid w:val="00A8558B"/>
    <w:rsid w:val="00A8764A"/>
    <w:rsid w:val="00A9622A"/>
    <w:rsid w:val="00AA1C55"/>
    <w:rsid w:val="00AA5584"/>
    <w:rsid w:val="00AA74FF"/>
    <w:rsid w:val="00AB4DFF"/>
    <w:rsid w:val="00AC0CF4"/>
    <w:rsid w:val="00AC7CBD"/>
    <w:rsid w:val="00AD2772"/>
    <w:rsid w:val="00AD6091"/>
    <w:rsid w:val="00AE0A4D"/>
    <w:rsid w:val="00AE70EA"/>
    <w:rsid w:val="00AF2ED3"/>
    <w:rsid w:val="00AF3965"/>
    <w:rsid w:val="00AF7AF7"/>
    <w:rsid w:val="00B05B8C"/>
    <w:rsid w:val="00B10073"/>
    <w:rsid w:val="00B1026A"/>
    <w:rsid w:val="00B117C1"/>
    <w:rsid w:val="00B11C6F"/>
    <w:rsid w:val="00B1395E"/>
    <w:rsid w:val="00B22AA5"/>
    <w:rsid w:val="00B27BE1"/>
    <w:rsid w:val="00B30B1F"/>
    <w:rsid w:val="00B36B62"/>
    <w:rsid w:val="00B5380F"/>
    <w:rsid w:val="00B638BB"/>
    <w:rsid w:val="00B75909"/>
    <w:rsid w:val="00B76978"/>
    <w:rsid w:val="00B7731E"/>
    <w:rsid w:val="00B834EC"/>
    <w:rsid w:val="00B8682D"/>
    <w:rsid w:val="00B876E6"/>
    <w:rsid w:val="00B9077F"/>
    <w:rsid w:val="00B91E89"/>
    <w:rsid w:val="00B96723"/>
    <w:rsid w:val="00BB2ABF"/>
    <w:rsid w:val="00BC0E67"/>
    <w:rsid w:val="00BD49CF"/>
    <w:rsid w:val="00BD59AA"/>
    <w:rsid w:val="00BD62F1"/>
    <w:rsid w:val="00BE22D7"/>
    <w:rsid w:val="00BE4233"/>
    <w:rsid w:val="00BE54E9"/>
    <w:rsid w:val="00BE5999"/>
    <w:rsid w:val="00BE6706"/>
    <w:rsid w:val="00BF0B78"/>
    <w:rsid w:val="00BF561A"/>
    <w:rsid w:val="00C0222D"/>
    <w:rsid w:val="00C070DB"/>
    <w:rsid w:val="00C11B40"/>
    <w:rsid w:val="00C13F3E"/>
    <w:rsid w:val="00C14729"/>
    <w:rsid w:val="00C23BE8"/>
    <w:rsid w:val="00C23FDC"/>
    <w:rsid w:val="00C24540"/>
    <w:rsid w:val="00C31B47"/>
    <w:rsid w:val="00C350C7"/>
    <w:rsid w:val="00C42C77"/>
    <w:rsid w:val="00C4478D"/>
    <w:rsid w:val="00C6526C"/>
    <w:rsid w:val="00C70CB0"/>
    <w:rsid w:val="00C72296"/>
    <w:rsid w:val="00C749BE"/>
    <w:rsid w:val="00C774EB"/>
    <w:rsid w:val="00C839FB"/>
    <w:rsid w:val="00C84600"/>
    <w:rsid w:val="00C93221"/>
    <w:rsid w:val="00C941CD"/>
    <w:rsid w:val="00C95F64"/>
    <w:rsid w:val="00CA408B"/>
    <w:rsid w:val="00CA6379"/>
    <w:rsid w:val="00CB19A1"/>
    <w:rsid w:val="00CB4709"/>
    <w:rsid w:val="00CC1A6C"/>
    <w:rsid w:val="00CC3EF6"/>
    <w:rsid w:val="00CC4F68"/>
    <w:rsid w:val="00CC654B"/>
    <w:rsid w:val="00CD4C88"/>
    <w:rsid w:val="00CD5651"/>
    <w:rsid w:val="00CE1491"/>
    <w:rsid w:val="00CE31F4"/>
    <w:rsid w:val="00CE3E0D"/>
    <w:rsid w:val="00CE7FC8"/>
    <w:rsid w:val="00CF5CC8"/>
    <w:rsid w:val="00D007BF"/>
    <w:rsid w:val="00D046B1"/>
    <w:rsid w:val="00D06777"/>
    <w:rsid w:val="00D17DA0"/>
    <w:rsid w:val="00D2006D"/>
    <w:rsid w:val="00D266DB"/>
    <w:rsid w:val="00D41248"/>
    <w:rsid w:val="00D42F47"/>
    <w:rsid w:val="00D62310"/>
    <w:rsid w:val="00D63E80"/>
    <w:rsid w:val="00D74046"/>
    <w:rsid w:val="00D75BD5"/>
    <w:rsid w:val="00D868F8"/>
    <w:rsid w:val="00D911AB"/>
    <w:rsid w:val="00D96D69"/>
    <w:rsid w:val="00DA25A9"/>
    <w:rsid w:val="00DB3B22"/>
    <w:rsid w:val="00DC336F"/>
    <w:rsid w:val="00DD083C"/>
    <w:rsid w:val="00DD1561"/>
    <w:rsid w:val="00DD1CC0"/>
    <w:rsid w:val="00DD4A29"/>
    <w:rsid w:val="00DE1C8A"/>
    <w:rsid w:val="00DF031E"/>
    <w:rsid w:val="00E0320B"/>
    <w:rsid w:val="00E03977"/>
    <w:rsid w:val="00E03DEE"/>
    <w:rsid w:val="00E06FE7"/>
    <w:rsid w:val="00E13D90"/>
    <w:rsid w:val="00E21530"/>
    <w:rsid w:val="00E21ADF"/>
    <w:rsid w:val="00E261DE"/>
    <w:rsid w:val="00E30B0A"/>
    <w:rsid w:val="00E353A9"/>
    <w:rsid w:val="00E3636C"/>
    <w:rsid w:val="00E40A19"/>
    <w:rsid w:val="00E425B2"/>
    <w:rsid w:val="00E42B17"/>
    <w:rsid w:val="00E4311A"/>
    <w:rsid w:val="00E47558"/>
    <w:rsid w:val="00E47B6B"/>
    <w:rsid w:val="00E55409"/>
    <w:rsid w:val="00E578F9"/>
    <w:rsid w:val="00E641B8"/>
    <w:rsid w:val="00E667AD"/>
    <w:rsid w:val="00E66BFD"/>
    <w:rsid w:val="00E7466D"/>
    <w:rsid w:val="00E8243B"/>
    <w:rsid w:val="00E937B1"/>
    <w:rsid w:val="00E93B37"/>
    <w:rsid w:val="00E95782"/>
    <w:rsid w:val="00E97510"/>
    <w:rsid w:val="00E97D8E"/>
    <w:rsid w:val="00EA2F30"/>
    <w:rsid w:val="00EA3051"/>
    <w:rsid w:val="00EA4434"/>
    <w:rsid w:val="00EB24C3"/>
    <w:rsid w:val="00EB25CD"/>
    <w:rsid w:val="00EB411D"/>
    <w:rsid w:val="00EB49CD"/>
    <w:rsid w:val="00EC0BC5"/>
    <w:rsid w:val="00EC43B5"/>
    <w:rsid w:val="00EC600E"/>
    <w:rsid w:val="00EC7220"/>
    <w:rsid w:val="00ED5583"/>
    <w:rsid w:val="00ED671F"/>
    <w:rsid w:val="00EE33DC"/>
    <w:rsid w:val="00EE71BF"/>
    <w:rsid w:val="00EF60CF"/>
    <w:rsid w:val="00EF6CD4"/>
    <w:rsid w:val="00EF6EBA"/>
    <w:rsid w:val="00F002A8"/>
    <w:rsid w:val="00F00E54"/>
    <w:rsid w:val="00F0342A"/>
    <w:rsid w:val="00F0357E"/>
    <w:rsid w:val="00F04A99"/>
    <w:rsid w:val="00F127C6"/>
    <w:rsid w:val="00F161D7"/>
    <w:rsid w:val="00F323CF"/>
    <w:rsid w:val="00F3294B"/>
    <w:rsid w:val="00F331E7"/>
    <w:rsid w:val="00F33DD0"/>
    <w:rsid w:val="00F43DEF"/>
    <w:rsid w:val="00F43ED8"/>
    <w:rsid w:val="00F501F8"/>
    <w:rsid w:val="00F53239"/>
    <w:rsid w:val="00F542AF"/>
    <w:rsid w:val="00F622C4"/>
    <w:rsid w:val="00F630E4"/>
    <w:rsid w:val="00F63CD7"/>
    <w:rsid w:val="00F64F03"/>
    <w:rsid w:val="00F7033A"/>
    <w:rsid w:val="00F723B2"/>
    <w:rsid w:val="00F735AD"/>
    <w:rsid w:val="00F849F6"/>
    <w:rsid w:val="00F863A6"/>
    <w:rsid w:val="00F969A7"/>
    <w:rsid w:val="00FA17AA"/>
    <w:rsid w:val="00FB7E5A"/>
    <w:rsid w:val="00FC1C28"/>
    <w:rsid w:val="00FC5B87"/>
    <w:rsid w:val="00FC6C60"/>
    <w:rsid w:val="00FD3372"/>
    <w:rsid w:val="00FD3A57"/>
    <w:rsid w:val="00FD560B"/>
    <w:rsid w:val="00FE01FF"/>
    <w:rsid w:val="00FE5191"/>
    <w:rsid w:val="00FF569D"/>
    <w:rsid w:val="00FF5795"/>
    <w:rsid w:val="00FF672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rules v:ext="edit">
        <o:r id="V:Rule1" type="connector" idref="#_x0000_s1149"/>
        <o:r id="V:Rule2" type="connector" idref="#_x0000_s1148"/>
      </o:rules>
    </o:shapelayout>
  </w:shapeDefaults>
  <w:decimalSymbol w:val="."/>
  <w:listSeparator w:val=","/>
  <w14:docId w14:val="22A191A0"/>
  <w15:docId w15:val="{F29E36FB-95E6-4F85-BBB2-761F9FCE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E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978"/>
    <w:pPr>
      <w:ind w:left="720"/>
      <w:contextualSpacing/>
    </w:pPr>
    <w:rPr>
      <w:rFonts w:ascii="Times New Roman" w:eastAsiaTheme="minorHAnsi" w:hAnsi="Times New Roman" w:cs="Times New Roman"/>
      <w:color w:val="000000" w:themeColor="text1"/>
      <w:sz w:val="24"/>
      <w:szCs w:val="24"/>
      <w:lang w:eastAsia="en-US"/>
    </w:rPr>
  </w:style>
  <w:style w:type="paragraph" w:styleId="BalloonText">
    <w:name w:val="Balloon Text"/>
    <w:basedOn w:val="Normal"/>
    <w:link w:val="BalloonTextChar"/>
    <w:uiPriority w:val="99"/>
    <w:semiHidden/>
    <w:unhideWhenUsed/>
    <w:rsid w:val="00233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978"/>
    <w:rPr>
      <w:rFonts w:ascii="Tahoma" w:hAnsi="Tahoma" w:cs="Tahoma"/>
      <w:sz w:val="16"/>
      <w:szCs w:val="16"/>
    </w:rPr>
  </w:style>
  <w:style w:type="character" w:customStyle="1" w:styleId="apple-converted-space">
    <w:name w:val="apple-converted-space"/>
    <w:basedOn w:val="DefaultParagraphFont"/>
    <w:rsid w:val="00584D6A"/>
  </w:style>
  <w:style w:type="character" w:customStyle="1" w:styleId="snippet">
    <w:name w:val="snippet"/>
    <w:basedOn w:val="DefaultParagraphFont"/>
    <w:rsid w:val="001E1883"/>
  </w:style>
  <w:style w:type="character" w:customStyle="1" w:styleId="nw1">
    <w:name w:val="nw1"/>
    <w:rsid w:val="001E1883"/>
  </w:style>
  <w:style w:type="paragraph" w:customStyle="1" w:styleId="Default">
    <w:name w:val="Default"/>
    <w:rsid w:val="001E1883"/>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Hyperlink">
    <w:name w:val="Hyperlink"/>
    <w:basedOn w:val="DefaultParagraphFont"/>
    <w:uiPriority w:val="99"/>
    <w:unhideWhenUsed/>
    <w:rsid w:val="001E1883"/>
    <w:rPr>
      <w:color w:val="0000FF"/>
      <w:u w:val="single"/>
    </w:rPr>
  </w:style>
  <w:style w:type="paragraph" w:styleId="Header">
    <w:name w:val="header"/>
    <w:basedOn w:val="Normal"/>
    <w:link w:val="HeaderChar"/>
    <w:uiPriority w:val="99"/>
    <w:unhideWhenUsed/>
    <w:rsid w:val="00683763"/>
    <w:pPr>
      <w:tabs>
        <w:tab w:val="center" w:pos="4252"/>
        <w:tab w:val="right" w:pos="8504"/>
      </w:tabs>
      <w:snapToGrid w:val="0"/>
    </w:pPr>
  </w:style>
  <w:style w:type="character" w:customStyle="1" w:styleId="HeaderChar">
    <w:name w:val="Header Char"/>
    <w:basedOn w:val="DefaultParagraphFont"/>
    <w:link w:val="Header"/>
    <w:uiPriority w:val="99"/>
    <w:rsid w:val="00683763"/>
  </w:style>
  <w:style w:type="paragraph" w:styleId="Footer">
    <w:name w:val="footer"/>
    <w:basedOn w:val="Normal"/>
    <w:link w:val="FooterChar"/>
    <w:uiPriority w:val="99"/>
    <w:unhideWhenUsed/>
    <w:rsid w:val="00683763"/>
    <w:pPr>
      <w:tabs>
        <w:tab w:val="center" w:pos="4252"/>
        <w:tab w:val="right" w:pos="8504"/>
      </w:tabs>
      <w:snapToGrid w:val="0"/>
    </w:pPr>
  </w:style>
  <w:style w:type="character" w:customStyle="1" w:styleId="FooterChar">
    <w:name w:val="Footer Char"/>
    <w:basedOn w:val="DefaultParagraphFont"/>
    <w:link w:val="Footer"/>
    <w:uiPriority w:val="99"/>
    <w:rsid w:val="00683763"/>
  </w:style>
  <w:style w:type="table" w:styleId="TableGrid">
    <w:name w:val="Table Grid"/>
    <w:basedOn w:val="TableNormal"/>
    <w:uiPriority w:val="59"/>
    <w:rsid w:val="00B1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Heading"/>
    <w:basedOn w:val="Normal"/>
    <w:rsid w:val="003A0F33"/>
    <w:pPr>
      <w:keepNext/>
      <w:keepLines/>
      <w:numPr>
        <w:ilvl w:val="1"/>
        <w:numId w:val="10"/>
      </w:numPr>
      <w:spacing w:before="200" w:line="240" w:lineRule="auto"/>
      <w:jc w:val="both"/>
    </w:pPr>
    <w:rPr>
      <w:rFonts w:ascii="Times New Roman" w:eastAsia="MS Mincho" w:hAnsi="Times New Roman" w:cs="Times New Roman"/>
      <w:kern w:val="28"/>
      <w:lang w:val="en-US" w:eastAsia="ja-JP"/>
    </w:rPr>
  </w:style>
  <w:style w:type="paragraph" w:customStyle="1" w:styleId="TextBody">
    <w:name w:val="TextBody"/>
    <w:basedOn w:val="Normal"/>
    <w:rsid w:val="00AC7CBD"/>
    <w:pPr>
      <w:spacing w:after="0" w:line="240" w:lineRule="auto"/>
      <w:ind w:firstLine="397"/>
      <w:jc w:val="both"/>
    </w:pPr>
    <w:rPr>
      <w:rFonts w:ascii="Times New Roman" w:eastAsia="MS Mincho" w:hAnsi="Times New Roman" w:cs="Times New Roman"/>
      <w:sz w:val="20"/>
      <w:szCs w:val="20"/>
      <w:lang w:val="en-US" w:eastAsia="en-US"/>
    </w:rPr>
  </w:style>
  <w:style w:type="paragraph" w:customStyle="1" w:styleId="ChapterTitle">
    <w:name w:val="Chapter Title"/>
    <w:basedOn w:val="Normal"/>
    <w:next w:val="Normal"/>
    <w:rsid w:val="00AC7CBD"/>
    <w:pPr>
      <w:keepNext/>
      <w:spacing w:before="400" w:line="240" w:lineRule="auto"/>
      <w:ind w:left="282" w:hangingChars="117" w:hanging="282"/>
    </w:pPr>
    <w:rPr>
      <w:rFonts w:ascii="Times New Roman" w:eastAsia="MS Mincho" w:hAnsi="Times New Roman" w:cs="Times New Roman"/>
      <w:b/>
      <w:bCs/>
      <w:kern w:val="28"/>
      <w:sz w:val="24"/>
      <w:szCs w:val="24"/>
      <w:lang w:val="en-US" w:eastAsia="ja-JP"/>
    </w:rPr>
  </w:style>
  <w:style w:type="paragraph" w:customStyle="1" w:styleId="ReferenceHeading">
    <w:name w:val="Reference Heading"/>
    <w:basedOn w:val="Normal"/>
    <w:next w:val="Normal"/>
    <w:rsid w:val="00AC7CBD"/>
    <w:pPr>
      <w:keepNext/>
      <w:spacing w:after="0" w:line="240" w:lineRule="auto"/>
      <w:ind w:left="235" w:hangingChars="117" w:hanging="235"/>
      <w:jc w:val="both"/>
    </w:pPr>
    <w:rPr>
      <w:rFonts w:ascii="Times New Roman" w:eastAsia="MS Mincho" w:hAnsi="Times New Roman" w:cs="Times New Roman"/>
      <w:b/>
      <w:bCs/>
      <w:kern w:val="28"/>
      <w:sz w:val="20"/>
      <w:szCs w:val="20"/>
      <w:lang w:val="en-US" w:eastAsia="ja-JP"/>
    </w:rPr>
  </w:style>
  <w:style w:type="paragraph" w:styleId="NoSpacing">
    <w:name w:val="No Spacing"/>
    <w:uiPriority w:val="1"/>
    <w:qFormat/>
    <w:rsid w:val="00BD59AA"/>
    <w:pPr>
      <w:spacing w:after="0" w:line="240" w:lineRule="auto"/>
    </w:pPr>
  </w:style>
  <w:style w:type="paragraph" w:styleId="NormalWeb">
    <w:name w:val="Normal (Web)"/>
    <w:basedOn w:val="Normal"/>
    <w:rsid w:val="00933290"/>
    <w:pPr>
      <w:spacing w:before="100" w:beforeAutospacing="1" w:after="100" w:afterAutospacing="1" w:line="240" w:lineRule="auto"/>
    </w:pPr>
    <w:rPr>
      <w:rFonts w:ascii="Times New Roman" w:eastAsia="MS Mincho" w:hAnsi="Times New Roman" w:cs="Times New Roman"/>
      <w:sz w:val="24"/>
      <w:szCs w:val="24"/>
      <w:lang w:val="tr-TR" w:eastAsia="tr-TR"/>
    </w:rPr>
  </w:style>
  <w:style w:type="paragraph" w:styleId="BodyText3">
    <w:name w:val="Body Text 3"/>
    <w:basedOn w:val="Normal"/>
    <w:link w:val="BodyText3Char"/>
    <w:uiPriority w:val="99"/>
    <w:unhideWhenUsed/>
    <w:rsid w:val="008C2F67"/>
    <w:pPr>
      <w:spacing w:after="120" w:line="259" w:lineRule="auto"/>
      <w:jc w:val="both"/>
    </w:pPr>
    <w:rPr>
      <w:rFonts w:ascii="Times New Roman" w:hAnsi="Times New Roman"/>
      <w:sz w:val="16"/>
      <w:szCs w:val="16"/>
      <w:lang w:val="en-US" w:eastAsia="en-US"/>
    </w:rPr>
  </w:style>
  <w:style w:type="character" w:customStyle="1" w:styleId="BodyText3Char">
    <w:name w:val="Body Text 3 Char"/>
    <w:basedOn w:val="DefaultParagraphFont"/>
    <w:link w:val="BodyText3"/>
    <w:uiPriority w:val="99"/>
    <w:rsid w:val="008C2F67"/>
    <w:rPr>
      <w:rFonts w:ascii="Times New Roman" w:hAnsi="Times New Roman"/>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BB907D-B9DE-4125-BDEE-D9F7C015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14</Pages>
  <Words>48903</Words>
  <Characters>278752</Characters>
  <Application>Microsoft Office Word</Application>
  <DocSecurity>0</DocSecurity>
  <Lines>2322</Lines>
  <Paragraphs>654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XYZ</dc:creator>
  <cp:lastModifiedBy>sameeh sameeh</cp:lastModifiedBy>
  <cp:revision>378</cp:revision>
  <dcterms:created xsi:type="dcterms:W3CDTF">2014-11-25T06:09:00Z</dcterms:created>
  <dcterms:modified xsi:type="dcterms:W3CDTF">2026-09-22T15:25:00Z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http://www.zotero.org/styles/apa-cv</vt:lpwstr>
  </property>
  <property fmtid="{D5CDD505-2E9C-101B-9397-08002B2CF9AE}" pid="3" name="Mendeley Recent Style Name 0_1">
    <vt:lpwstr>APA Style 7th edition (curriculum vitae, sorted by descending date)</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http://www.zotero.org/styles/baghdad-science-journal</vt:lpwstr>
  </property>
  <property fmtid="{D5CDD505-2E9C-101B-9397-08002B2CF9AE}" pid="7" name="Mendeley Recent Style Name 2_1">
    <vt:lpwstr>Baghdad Science Journal</vt:lpwstr>
  </property>
  <property fmtid="{D5CDD505-2E9C-101B-9397-08002B2CF9AE}" pid="8" name="Mendeley Recent Style Id 3_1">
    <vt:lpwstr>http://www.zotero.org/styles/cell</vt:lpwstr>
  </property>
  <property fmtid="{D5CDD505-2E9C-101B-9397-08002B2CF9AE}" pid="9" name="Mendeley Recent Style Name 3_1">
    <vt:lpwstr>Cell</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http://www.zotero.org/styles/chicago-note-bibliography</vt:lpwstr>
  </property>
  <property fmtid="{D5CDD505-2E9C-101B-9397-08002B2CF9AE}" pid="13" name="Mendeley Recent Style Name 5_1">
    <vt:lpwstr>Chicago Manual of Style 17th edition (note)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http://www.zotero.org/styles/ieee-transactions-on-cybernetics</vt:lpwstr>
  </property>
  <property fmtid="{D5CDD505-2E9C-101B-9397-08002B2CF9AE}" pid="17" name="Mendeley Recent Style Name 7_1">
    <vt:lpwstr>IEEE Transactions on Cybernetics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http://csl.mendeley.com/styles/596987321/baghdad-Dr-sameeh</vt:lpwstr>
  </property>
  <property fmtid="{D5CDD505-2E9C-101B-9397-08002B2CF9AE}" pid="21" name="Mendeley Recent Style Name 9_1">
    <vt:lpwstr>NLM/Vancouver: Citing Medicine 2nd edition (citation-sequence, superscript, brackets, year-only dates)</vt:lpwstr>
  </property>
  <property fmtid="{D5CDD505-2E9C-101B-9397-08002B2CF9AE}" pid="22" name="Mendeley Document_1">
    <vt:lpwstr>True</vt:lpwstr>
  </property>
  <property fmtid="{D5CDD505-2E9C-101B-9397-08002B2CF9AE}" pid="23" name="Mendeley Unique User Id_1">
    <vt:lpwstr>92b20049-eba8-3b9d-b16e-05ce3a3ecb9e</vt:lpwstr>
  </property>
  <property fmtid="{D5CDD505-2E9C-101B-9397-08002B2CF9AE}" pid="24" name="Mendeley Citation Style_1">
    <vt:lpwstr>http://www.zotero.org/styles/ieee</vt:lpwstr>
  </property>
</Properties>
</file>