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D74A3" w:rsidRDefault="003D74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103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6"/>
      </w:tblGrid>
      <w:tr w:rsidR="003D74A3">
        <w:tc>
          <w:tcPr>
            <w:tcW w:w="10306" w:type="dxa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Sintesi delle attività dell’anno 2019 </w:t>
            </w: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DOCUMENTAZIONE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(SALVATORI)</w:t>
            </w: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Questo il </w:t>
            </w:r>
            <w:hyperlink r:id="rId7">
              <w:r>
                <w:rPr>
                  <w:rFonts w:ascii="Courier New" w:eastAsia="Courier New" w:hAnsi="Courier New" w:cs="Courier New"/>
                  <w:b/>
                  <w:color w:val="1155CC"/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relativo agli aggiornamenti normativi. DA AGGIORNARE AL 2019</w:t>
            </w: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FORMAZIONE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(SALVATORI)</w:t>
            </w: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-45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Inviare file della formazione. Ad esempio per l’anno presedente avevamo per Rampini questo file (</w:t>
            </w:r>
            <w:hyperlink r:id="rId8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)      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-45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-45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3D74A3">
        <w:tc>
          <w:tcPr>
            <w:tcW w:w="10306" w:type="dxa"/>
            <w:shd w:val="clear" w:color="auto" w:fill="D9D9D9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Verifica del piano di miglioramento anno 2018 e proposta di obiettivi per l’anno 2019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(SALVATORI)</w:t>
            </w:r>
          </w:p>
        </w:tc>
      </w:tr>
      <w:tr w:rsidR="003D74A3"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Questo è il </w:t>
            </w:r>
            <w:hyperlink r:id="rId9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all’analisi SWOT aggiornata al 2018. Aggiornarla al 2019.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Per creare un altro record attenersi a questa semplice illustrazione: cliccare sull’ultima riga con il tasto dx del mouse e poi cliccare su “duplicate record”. Una volta duplicato il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recor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 modificare il duplicato a proprio piacimento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noProof/>
                <w:sz w:val="24"/>
                <w:szCs w:val="24"/>
              </w:rPr>
              <w:drawing>
                <wp:inline distT="114300" distB="114300" distL="114300" distR="114300">
                  <wp:extent cx="4276014" cy="20716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014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RISCHI E PIANIFICAZIONE DEGLI OBIETTIVI PER IL 2019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INDICARE IN ROSSO QUALCHE COMMENTO A FRONTE DEGLI OBIETTIVI DELL’ANNO PIANIFICATI L’ANNO SCORSO</w:t>
            </w:r>
          </w:p>
          <w:p w:rsidR="003D74A3" w:rsidRDefault="00F75194">
            <w:pPr>
              <w:numPr>
                <w:ilvl w:val="0"/>
                <w:numId w:val="2"/>
              </w:numPr>
              <w:tabs>
                <w:tab w:val="center" w:pos="4819"/>
                <w:tab w:val="right" w:pos="9638"/>
              </w:tabs>
              <w:spacing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In merito agli aspetti di natura economica nel 2017 erano presenti alcuni elementi di natura debitoria che avrebbero potuto pregiudicare seriamente il normale sv</w:t>
            </w:r>
            <w:r w:rsidR="008E212D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lgimento delle attività. L’avanzamento positivo in questo aspetto ha fatto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si</w:t>
            </w:r>
            <w:proofErr w:type="spellEnd"/>
            <w:r w:rsidR="008E212D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che il debito v/banche si sia ridotto notevolmente. </w:t>
            </w:r>
            <w:r w:rsidR="008E212D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Nel 2018 è stato chiuso uno dei due debiti con il Fisco, rimane solo un debito rateizzato con quattro rate da pagare entro il 2020.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L’obiettivo per il 2019 è quello di far ricorso meno possibile al credito nella gestione ordinaria in merito al ciclo di pagamenti fornitori / collaboratori -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SALVATORI COMMENTARE IN ROSSO</w:t>
            </w:r>
          </w:p>
          <w:p w:rsidR="003D74A3" w:rsidRDefault="00F75194">
            <w:pPr>
              <w:numPr>
                <w:ilvl w:val="0"/>
                <w:numId w:val="2"/>
              </w:num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In merito all’attività di progettazione si constata che rispetto al 2018 si è rilevato un aumento dei costi della produzione. T</w:t>
            </w:r>
            <w:r w:rsidR="008E212D">
              <w:rPr>
                <w:rFonts w:ascii="Courier New" w:eastAsia="Courier New" w:hAnsi="Courier New" w:cs="Courier New"/>
                <w:sz w:val="24"/>
                <w:szCs w:val="24"/>
              </w:rPr>
              <w:t>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le aspetto dunque assume per il 2019 un’importanza particolare e l’obiettivo sarà dunque quello di un controllo della produzione e verificare con attenzione delle offerte in caso di gare. Tale aspetto ha condotto a definire un’azione strategica in merito allo studio di un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analsi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di fattibilità (o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analis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costi) in fase di studio gara (azione n°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29)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SALVATORI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 COMMENTARE IN ROSSO</w:t>
            </w:r>
            <w:r w:rsidR="008E212D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 La nuova commessa di progettazione, committente Ambasciata USA, e quelle relative alla RAI al momento presentano aspetti positivi di produzione, le correzioni e l’attenzione nel formulare le offerte ha dato i primi riscontri.  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trike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trike/>
                <w:sz w:val="24"/>
                <w:szCs w:val="24"/>
              </w:rPr>
              <w:t>OPPORTUNITA’ E VALUTAZIONE DEGLI OBIETTIVI 2017 - 2018</w:t>
            </w:r>
          </w:p>
          <w:p w:rsidR="003D74A3" w:rsidRDefault="00F75194">
            <w:pPr>
              <w:numPr>
                <w:ilvl w:val="0"/>
                <w:numId w:val="5"/>
              </w:num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b/>
                <w:strike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 xml:space="preserve">Tra le opportunità rilevate nell’anno precedente va segnalato il mantenimento di rapporti di qualità tra Modus e Collaboratori e consulenti. Tale aspetto era stato visto come elemento cruciale per la definizione di buoni rapporti con il cliente. Tale aspetto risulta raggiunto. 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OPPORTUNITA’ E PIANIFICAZIONE DEGLI OBIETTIVI PER IL 2019</w:t>
            </w:r>
          </w:p>
          <w:p w:rsidR="003D74A3" w:rsidRDefault="00F75194">
            <w:pPr>
              <w:numPr>
                <w:ilvl w:val="0"/>
                <w:numId w:val="3"/>
              </w:numPr>
              <w:tabs>
                <w:tab w:val="center" w:pos="4819"/>
                <w:tab w:val="right" w:pos="9638"/>
              </w:tabs>
              <w:spacing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Tra le opportunità rilevate nell’anno precedente va segnalato il mantenimento di rapporti di qualità tra Modus e Collaboratori e consulenti. Tale aspetto era stato visto come elemento cruciale per la definizione di buoni rapporti con il cliente. Tale aspetto risulta raggiunto e risulta da monitorare anche per l’anno 2019. In particolare l’e</w:t>
            </w:r>
            <w:r w:rsidR="008E212D">
              <w:rPr>
                <w:rFonts w:ascii="Courier New" w:eastAsia="Courier New" w:hAnsi="Courier New" w:cs="Courier New"/>
                <w:sz w:val="24"/>
                <w:szCs w:val="24"/>
              </w:rPr>
              <w:t>le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mento da tenere sotto controllo in quanto critico risulta essere relativo ai tempi di consegna degli elaborati</w:t>
            </w:r>
            <w:r w:rsidR="008E212D">
              <w:rPr>
                <w:rFonts w:ascii="Courier New" w:eastAsia="Courier New" w:hAnsi="Courier New" w:cs="Courier New"/>
                <w:sz w:val="24"/>
                <w:szCs w:val="24"/>
              </w:rPr>
              <w:t xml:space="preserve">. </w:t>
            </w:r>
            <w:r w:rsidR="008E212D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Si ritiene importante anche approfondire la ricerca di nuove risorse nei neo laureati/giovani professionisti per implementare la produzione anche con capacità di gestione delle nuove tecnologie e software. Le esperienze </w:t>
            </w:r>
            <w:r w:rsidR="008C7046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ad oggi hanno dato in alcuni casi ottimi risultati, anche se il periodo di permanenza in attività nel nostro studio non si prolunga non p</w:t>
            </w:r>
            <w:r w:rsidR="00116400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</w:t>
            </w:r>
            <w:r w:rsidR="008C7046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tendo offrire opportunità di lavoro continuativa. L’obbiettivo è quello di aumentare i contatti in questo settore e trovare nuove risorse junior da affiancare ai senior. </w:t>
            </w:r>
            <w:r w:rsidR="008E212D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SALVATORI COMMENTARE IN ROSSO</w:t>
            </w:r>
          </w:p>
          <w:p w:rsidR="003D74A3" w:rsidRDefault="00F75194">
            <w:pPr>
              <w:numPr>
                <w:ilvl w:val="0"/>
                <w:numId w:val="3"/>
              </w:num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Altra Opportunità è quella mirata ad ottenere un giudizio positivo dagli Istituti coinvolti per svolgere l'attività. L’obiettivo è quella di otten</w:t>
            </w:r>
            <w:r w:rsidR="008A539B"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re 4 incarichi annuali nel 2019</w:t>
            </w:r>
            <w:r w:rsidR="008A539B">
              <w:rPr>
                <w:rFonts w:ascii="Courier New" w:eastAsia="Courier New" w:hAnsi="Courier New" w:cs="Courier New"/>
                <w:sz w:val="24"/>
                <w:szCs w:val="24"/>
              </w:rPr>
              <w:t xml:space="preserve">. </w:t>
            </w:r>
            <w:r w:rsidR="008A539B" w:rsidRPr="008A539B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Obbiettivo già raggiunto nel 2018 e quindi da confermare</w:t>
            </w:r>
            <w:r w:rsidRPr="008A539B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SALVATORI COMMENTARE IN ROSSO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AZIONI STRATEGICHE PER IL 2019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- 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 CURA DI MAURO BASSOTTI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6/5/2018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KNOWLEDGE MNG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AUDIT INTERNO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Alla data attuale non risulta aggiornato l'elenco delle commesse - rimasto aggiornato al 2017 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6/5/2018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KNOWLEDGE MNG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AUDIT INTERNO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Alla data attuale non risulta aggiornato il report di manutenzione ed il report della strumentazione</w:t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1/6/2018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LEGALE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AUDIT INTERNO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Seppur esiste il documento programmatico sulla sicurezza per gli studi professionali, va verificato che lo stesso sia conforme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ala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recente normativa in tema di Data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Protection</w:t>
            </w:r>
            <w:proofErr w:type="spellEnd"/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2/6/2018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KNOWLEDGE MNG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AUDIT INTERNO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VALUTARE LA POSSIBILITA' DI EFFETTUARE UN'ANALISI DI FATTIBILITA' SISTEMATICA IN FASE DI STUDIO GARA AL FINE DI CALIBRARE I COSTI DI COMMESSA TENENDO CONTO DELLE RISORSE INTERNE ED ESTERNE</w:t>
            </w:r>
          </w:p>
          <w:p w:rsidR="003D74A3" w:rsidRDefault="003D74A3">
            <w:pPr>
              <w:tabs>
                <w:tab w:val="center" w:pos="4819"/>
                <w:tab w:val="right" w:pos="9638"/>
              </w:tabs>
              <w:spacing w:after="280"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3D74A3" w:rsidRDefault="00F751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lastRenderedPageBreak/>
        <w:br w:type="page"/>
      </w:r>
    </w:p>
    <w:tbl>
      <w:tblPr>
        <w:tblStyle w:val="a0"/>
        <w:tblW w:w="103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6"/>
      </w:tblGrid>
      <w:tr w:rsidR="003D74A3">
        <w:trPr>
          <w:trHeight w:val="300"/>
        </w:trPr>
        <w:tc>
          <w:tcPr>
            <w:tcW w:w="10306" w:type="dxa"/>
            <w:shd w:val="clear" w:color="auto" w:fill="C0C0C0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lastRenderedPageBreak/>
              <w:t xml:space="preserve">Risultati delle Verifiche Ispettive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A CURA DI MAURO BASSOTTI</w:t>
            </w: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FFFFFF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Nel corso del 2018 sono stati pianificati i seguenti audit interni: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MANTENIMENTO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EFFETTUATA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8/1/2018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8/2/2018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7.5 ,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8.2.1 , 8.2.4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Verificare lo Stato dell'elenco delle commesse. Verifica della gestione dei fornitori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MANTENIMENTO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EFFETTUATA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8/1/2018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8/2/2018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5.3 ,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7.1 , 7.1.2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Verifica dei fornitori, gestione delle risorse interne ed esterne. Elenco delle competenze. Gestione degli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outsources</w:t>
            </w:r>
            <w:proofErr w:type="spellEnd"/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MANTENIMENTO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PIANIFICATA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6/5/2018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7 ,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7.1.1 , 7.5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In relazione alla riorganizzazione dell'intero sito e della sistematizzazione del SGQ in merito agli strumenti di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Frontend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cioè gli strumenti che l'azienda può utilizzare per la gestione del Sistema Qualità) e gli strumenti di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Backend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(gli strumenti cioè di pianificazione monitoraggio utilizzati per intervenire tecnicamente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asul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SGQ), si intende valutare la loro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efficiacia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nel giro di tre mesi dalla presente data ed a valle dell'audit di certificazione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STRAORDINARIA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EFFETTUATA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6/5/2018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 xml:space="preserve">7.1.3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Da verificare lo stato di aggiornamento delle manutenzioni sul sistema HW/SW e lo stato della strumentazione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STRAORDINARIA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1/6/2018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1/6/2018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4.2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ab/>
              <w:t>VERIFICA DELLA CONFORMITA' LEGISLATIVA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In generale il sistema risulta ben implementato e conforme alla norma di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riferiemnto</w:t>
            </w:r>
            <w:proofErr w:type="spellEnd"/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3D74A3">
        <w:trPr>
          <w:trHeight w:val="300"/>
        </w:trPr>
        <w:tc>
          <w:tcPr>
            <w:tcW w:w="10306" w:type="dxa"/>
            <w:shd w:val="clear" w:color="auto" w:fill="C0C0C0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 xml:space="preserve">Analisi Non Conformità, Reclami, Azioni Preventive e Correttive, Analisi dati -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A CURA DI MAURO BASSOTTI</w:t>
            </w:r>
          </w:p>
        </w:tc>
      </w:tr>
      <w:tr w:rsidR="003D74A3">
        <w:trPr>
          <w:trHeight w:val="520"/>
        </w:trPr>
        <w:tc>
          <w:tcPr>
            <w:tcW w:w="10306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Nel corso del 2017/2018 sono emerse le azioni identificate nel seguente </w:t>
            </w:r>
            <w:hyperlink r:id="rId11">
              <w:r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u w:val="single"/>
                </w:rPr>
                <w:t>LINK</w:t>
              </w:r>
            </w:hyperlink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. Non si segnalano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criticitá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di rilievo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3D74A3" w:rsidRDefault="003D7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1"/>
        <w:tblW w:w="10326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6"/>
      </w:tblGrid>
      <w:tr w:rsidR="003D74A3">
        <w:tc>
          <w:tcPr>
            <w:tcW w:w="10326" w:type="dxa"/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t>Formazione ed addestramento erogata</w:t>
            </w:r>
          </w:p>
        </w:tc>
      </w:tr>
      <w:tr w:rsidR="003D74A3">
        <w:trPr>
          <w:trHeight w:val="640"/>
        </w:trPr>
        <w:tc>
          <w:tcPr>
            <w:tcW w:w="1032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trike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>In merito alla formazione si sottolinea come sia in corso l’elaborazione di un portale in grado di tenere sotto controllo la scadenza di tutti i corsi di formazione del personale, oltre che tener traccia delle competenze.</w:t>
            </w: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trike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>I corsi obbligatori per legge risultano tutti correttamente effettuati</w:t>
            </w:r>
          </w:p>
        </w:tc>
      </w:tr>
    </w:tbl>
    <w:p w:rsidR="003D74A3" w:rsidRDefault="003D7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3D74A3" w:rsidRDefault="003D7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2"/>
        <w:tblW w:w="103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8"/>
      </w:tblGrid>
      <w:tr w:rsidR="003D74A3">
        <w:trPr>
          <w:trHeight w:val="300"/>
        </w:trPr>
        <w:tc>
          <w:tcPr>
            <w:tcW w:w="10348" w:type="dxa"/>
            <w:shd w:val="clear" w:color="auto" w:fill="CCCCCC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4"/>
                <w:szCs w:val="24"/>
              </w:rPr>
              <w:lastRenderedPageBreak/>
              <w:t xml:space="preserve">Valutazione dei fornitori </w:t>
            </w:r>
          </w:p>
        </w:tc>
      </w:tr>
      <w:tr w:rsidR="003D74A3">
        <w:trPr>
          <w:trHeight w:val="620"/>
        </w:trPr>
        <w:tc>
          <w:tcPr>
            <w:tcW w:w="10348" w:type="dxa"/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trike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 xml:space="preserve">Tutti i fornitori critici sono stati valutati dall’Organizzazione. </w:t>
            </w:r>
            <w:proofErr w:type="gramStart"/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>E’</w:t>
            </w:r>
            <w:proofErr w:type="gramEnd"/>
            <w:r>
              <w:rPr>
                <w:rFonts w:ascii="Courier New" w:eastAsia="Courier New" w:hAnsi="Courier New" w:cs="Courier New"/>
                <w:strike/>
                <w:sz w:val="24"/>
                <w:szCs w:val="24"/>
              </w:rPr>
              <w:t xml:space="preserve"> migliorato il sistema di gestione dei fornitori attraverso il monitoraggio per singola tipologia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trike/>
                <w:sz w:val="24"/>
                <w:szCs w:val="24"/>
              </w:rPr>
            </w:pPr>
          </w:p>
          <w:p w:rsidR="003D74A3" w:rsidRDefault="00F751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Altri documenti da aggiornare </w:t>
            </w:r>
            <w:r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A CURA DI MAURO SALVATORI</w:t>
            </w:r>
          </w:p>
          <w:p w:rsidR="003D74A3" w:rsidRPr="006754E1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color w:val="1155CC"/>
                <w:sz w:val="24"/>
                <w:szCs w:val="24"/>
                <w:highlight w:val="green"/>
                <w:u w:val="single"/>
              </w:rPr>
            </w:pPr>
            <w:hyperlink r:id="rId12">
              <w:r w:rsidR="00F75194" w:rsidRPr="006754E1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ELENCO COMMESSE</w:t>
              </w:r>
            </w:hyperlink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3">
              <w:r w:rsidR="00F75194" w:rsidRPr="00951D52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DPS</w:t>
              </w:r>
            </w:hyperlink>
            <w:r w:rsidR="00F75194" w:rsidRPr="00951D52">
              <w:rPr>
                <w:rFonts w:ascii="Courier New" w:eastAsia="Courier New" w:hAnsi="Courier New" w:cs="Courier New"/>
                <w:color w:val="1155CC"/>
                <w:sz w:val="24"/>
                <w:szCs w:val="24"/>
                <w:highlight w:val="green"/>
                <w:u w:val="single"/>
              </w:rPr>
              <w:t xml:space="preserve"> 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(VERIFICARE SE VI </w:t>
            </w:r>
            <w:proofErr w:type="gramStart"/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E’</w:t>
            </w:r>
            <w:proofErr w:type="gramEnd"/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 ULTIMO AGGIORNAMENTO</w:t>
            </w:r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4">
              <w:r w:rsidR="00F75194" w:rsidRPr="00856011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BOZZA DI INCARICO</w:t>
              </w:r>
            </w:hyperlink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(VERIFICARE SE VI </w:t>
            </w:r>
            <w:proofErr w:type="gramStart"/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E’</w:t>
            </w:r>
            <w:proofErr w:type="gramEnd"/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 ULTIMO AGGIORNAMENTO</w:t>
            </w:r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5">
              <w:r w:rsidR="00F75194" w:rsidRPr="006754E1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MONITORAGGIO FORNITORI</w:t>
              </w:r>
            </w:hyperlink>
            <w:r w:rsidR="00F75194" w:rsidRPr="006754E1">
              <w:rPr>
                <w:rFonts w:ascii="Courier New" w:eastAsia="Courier New" w:hAnsi="Courier New" w:cs="Courier New"/>
                <w:color w:val="1155CC"/>
                <w:sz w:val="24"/>
                <w:szCs w:val="24"/>
                <w:highlight w:val="green"/>
                <w:u w:val="single"/>
              </w:rPr>
              <w:t xml:space="preserve"> 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(SICURAMENTE DA AGGIORNARE</w:t>
            </w:r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6">
              <w:r w:rsidR="00F75194" w:rsidRPr="00951D52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SCHEDA PERSONALE</w:t>
              </w:r>
            </w:hyperlink>
            <w:r w:rsidR="00F75194" w:rsidRPr="00951D52">
              <w:rPr>
                <w:rFonts w:ascii="Courier New" w:eastAsia="Courier New" w:hAnsi="Courier New" w:cs="Courier New"/>
                <w:color w:val="1155CC"/>
                <w:sz w:val="24"/>
                <w:szCs w:val="24"/>
                <w:highlight w:val="green"/>
                <w:u w:val="single"/>
              </w:rPr>
              <w:t xml:space="preserve"> 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(DA AGGIORNARE</w:t>
            </w:r>
            <w:proofErr w:type="gramStart"/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. </w:t>
            </w:r>
            <w:proofErr w:type="gramEnd"/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7">
              <w:r w:rsidR="00F75194" w:rsidRPr="006754E1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DOCUMENTO GESTIONE FILE</w:t>
              </w:r>
            </w:hyperlink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9914D9" w:rsidRPr="006754E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 xml:space="preserve">Si rimane da </w:t>
            </w:r>
            <w:proofErr w:type="gramStart"/>
            <w:r w:rsidR="006754E1" w:rsidRPr="006754E1">
              <w:rPr>
                <w:rFonts w:ascii="Courier New" w:eastAsia="Courier New" w:hAnsi="Courier New" w:cs="Courier New"/>
                <w:b/>
                <w:color w:val="FF0000"/>
                <w:sz w:val="24"/>
                <w:szCs w:val="24"/>
              </w:rPr>
              <w:t>riagganciare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End"/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MAURO .. NON RICORDO: LO SOPPRIMIAMO O LO AGGIORNIAMO)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8">
              <w:r w:rsidR="00F75194" w:rsidRPr="001356F4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ELENCO STRUMENTAZION</w:t>
              </w:r>
            </w:hyperlink>
            <w:r w:rsidR="00F75194" w:rsidRPr="001356F4">
              <w:rPr>
                <w:rFonts w:ascii="Courier New" w:eastAsia="Courier New" w:hAnsi="Courier New" w:cs="Courier New"/>
                <w:sz w:val="24"/>
                <w:szCs w:val="24"/>
                <w:highlight w:val="green"/>
              </w:rPr>
              <w:t>E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 (DA AGGIORNARE</w:t>
            </w:r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3D74A3" w:rsidRDefault="00086B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hyperlink r:id="rId19">
              <w:r w:rsidR="00F75194" w:rsidRPr="001356F4">
                <w:rPr>
                  <w:rFonts w:ascii="Courier New" w:eastAsia="Courier New" w:hAnsi="Courier New" w:cs="Courier New"/>
                  <w:color w:val="1155CC"/>
                  <w:sz w:val="24"/>
                  <w:szCs w:val="24"/>
                  <w:highlight w:val="green"/>
                  <w:u w:val="single"/>
                </w:rPr>
                <w:t>REPORT MANUTENZIONE</w:t>
              </w:r>
            </w:hyperlink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 xml:space="preserve"> (D AGGIORNARE</w:t>
            </w:r>
            <w:r w:rsidR="00951D52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r w:rsidR="00951D52" w:rsidRPr="00951D52"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aggiornato</w:t>
            </w:r>
            <w:r w:rsidR="00F75194">
              <w:rPr>
                <w:rFonts w:ascii="Courier New" w:eastAsia="Courier New" w:hAnsi="Courier New" w:cs="Courier New"/>
                <w:sz w:val="24"/>
                <w:szCs w:val="24"/>
              </w:rPr>
              <w:t>)</w:t>
            </w:r>
          </w:p>
          <w:p w:rsidR="003D74A3" w:rsidRDefault="003D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7"/>
              </w:tabs>
              <w:spacing w:line="240" w:lineRule="auto"/>
              <w:ind w:right="851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3D74A3" w:rsidRDefault="003D7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3D74A3" w:rsidRDefault="00F751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trike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Data:  </w:t>
      </w:r>
      <w:r>
        <w:rPr>
          <w:rFonts w:ascii="Courier New" w:eastAsia="Courier New" w:hAnsi="Courier New" w:cs="Courier New"/>
          <w:strike/>
          <w:sz w:val="24"/>
          <w:szCs w:val="24"/>
        </w:rPr>
        <w:t>20</w:t>
      </w:r>
      <w:proofErr w:type="gramEnd"/>
      <w:r>
        <w:rPr>
          <w:rFonts w:ascii="Courier New" w:eastAsia="Courier New" w:hAnsi="Courier New" w:cs="Courier New"/>
          <w:strike/>
          <w:sz w:val="24"/>
          <w:szCs w:val="24"/>
        </w:rPr>
        <w:t xml:space="preserve"> maggio 2018</w:t>
      </w:r>
    </w:p>
    <w:p w:rsidR="003D74A3" w:rsidRDefault="003D74A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3D74A3" w:rsidRDefault="00F751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Firma della Direzione</w:t>
      </w:r>
      <w:bookmarkStart w:id="0" w:name="_GoBack"/>
      <w:bookmarkEnd w:id="0"/>
    </w:p>
    <w:sectPr w:rsidR="003D74A3">
      <w:headerReference w:type="default" r:id="rId20"/>
      <w:footerReference w:type="default" r:id="rId21"/>
      <w:pgSz w:w="11907" w:h="16840"/>
      <w:pgMar w:top="1843" w:right="851" w:bottom="709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B16" w:rsidRDefault="00086B16">
      <w:pPr>
        <w:spacing w:line="240" w:lineRule="auto"/>
      </w:pPr>
      <w:r>
        <w:separator/>
      </w:r>
    </w:p>
  </w:endnote>
  <w:endnote w:type="continuationSeparator" w:id="0">
    <w:p w:rsidR="00086B16" w:rsidRDefault="00086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A3" w:rsidRDefault="00086B1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  <w:r>
      <w:pict>
        <v:rect id="_x0000_i1025" style="width:0;height:1.5pt" o:hralign="center" o:hrstd="t" o:hr="t" fillcolor="#a0a0a0" stroked="f"/>
      </w:pict>
    </w:r>
    <w:r w:rsidR="00F75194">
      <w:rPr>
        <w:sz w:val="16"/>
        <w:szCs w:val="16"/>
      </w:rPr>
      <w:t>RDD</w:t>
    </w:r>
    <w:r w:rsidR="00F75194">
      <w:rPr>
        <w:sz w:val="16"/>
        <w:szCs w:val="16"/>
      </w:rPr>
      <w:tab/>
      <w:t>Rev.00</w:t>
    </w:r>
    <w:r w:rsidR="00F75194">
      <w:rPr>
        <w:sz w:val="16"/>
        <w:szCs w:val="16"/>
      </w:rPr>
      <w:tab/>
      <w:t xml:space="preserve">Pagina </w:t>
    </w:r>
    <w:r w:rsidR="00F75194">
      <w:rPr>
        <w:sz w:val="16"/>
        <w:szCs w:val="16"/>
      </w:rPr>
      <w:fldChar w:fldCharType="begin"/>
    </w:r>
    <w:r w:rsidR="00F75194">
      <w:rPr>
        <w:sz w:val="16"/>
        <w:szCs w:val="16"/>
      </w:rPr>
      <w:instrText>PAGE</w:instrText>
    </w:r>
    <w:r w:rsidR="00F75194">
      <w:rPr>
        <w:sz w:val="16"/>
        <w:szCs w:val="16"/>
      </w:rPr>
      <w:fldChar w:fldCharType="separate"/>
    </w:r>
    <w:r w:rsidR="008E212D">
      <w:rPr>
        <w:noProof/>
        <w:sz w:val="16"/>
        <w:szCs w:val="16"/>
      </w:rPr>
      <w:t>1</w:t>
    </w:r>
    <w:r w:rsidR="00F75194">
      <w:rPr>
        <w:sz w:val="16"/>
        <w:szCs w:val="16"/>
      </w:rPr>
      <w:fldChar w:fldCharType="end"/>
    </w:r>
    <w:r w:rsidR="00F75194">
      <w:rPr>
        <w:sz w:val="16"/>
        <w:szCs w:val="16"/>
      </w:rPr>
      <w:t xml:space="preserve"> di </w:t>
    </w:r>
    <w:r w:rsidR="00F75194">
      <w:rPr>
        <w:sz w:val="16"/>
        <w:szCs w:val="16"/>
      </w:rPr>
      <w:fldChar w:fldCharType="begin"/>
    </w:r>
    <w:r w:rsidR="00F75194">
      <w:rPr>
        <w:sz w:val="16"/>
        <w:szCs w:val="16"/>
      </w:rPr>
      <w:instrText>NUMPAGES</w:instrText>
    </w:r>
    <w:r w:rsidR="00F75194">
      <w:rPr>
        <w:sz w:val="16"/>
        <w:szCs w:val="16"/>
      </w:rPr>
      <w:fldChar w:fldCharType="separate"/>
    </w:r>
    <w:r w:rsidR="008E212D">
      <w:rPr>
        <w:noProof/>
        <w:sz w:val="16"/>
        <w:szCs w:val="16"/>
      </w:rPr>
      <w:t>1</w:t>
    </w:r>
    <w:r w:rsidR="00F75194">
      <w:rPr>
        <w:sz w:val="16"/>
        <w:szCs w:val="16"/>
      </w:rPr>
      <w:fldChar w:fldCharType="end"/>
    </w:r>
  </w:p>
  <w:p w:rsidR="003D74A3" w:rsidRDefault="00F75194">
    <w:pPr>
      <w:pBdr>
        <w:top w:val="nil"/>
        <w:left w:val="nil"/>
        <w:bottom w:val="nil"/>
        <w:right w:val="nil"/>
        <w:between w:val="nil"/>
      </w:pBdr>
      <w:tabs>
        <w:tab w:val="right" w:pos="10065"/>
      </w:tabs>
      <w:spacing w:line="240" w:lineRule="auto"/>
    </w:pPr>
    <w:r>
      <w:rPr>
        <w:rFonts w:ascii="Times New Roman" w:eastAsia="Times New Roman" w:hAnsi="Times New Roman" w:cs="Times New Roman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B16" w:rsidRDefault="00086B16">
      <w:pPr>
        <w:spacing w:line="240" w:lineRule="auto"/>
      </w:pPr>
      <w:r>
        <w:separator/>
      </w:r>
    </w:p>
  </w:footnote>
  <w:footnote w:type="continuationSeparator" w:id="0">
    <w:p w:rsidR="00086B16" w:rsidRDefault="00086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4A3" w:rsidRDefault="003D74A3">
    <w:pPr>
      <w:widowControl w:val="0"/>
      <w:pBdr>
        <w:top w:val="nil"/>
        <w:left w:val="nil"/>
        <w:bottom w:val="nil"/>
        <w:right w:val="nil"/>
        <w:between w:val="nil"/>
      </w:pBdr>
      <w:spacing w:after="200"/>
    </w:pPr>
  </w:p>
  <w:tbl>
    <w:tblPr>
      <w:tblStyle w:val="a3"/>
      <w:tblW w:w="10277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048"/>
      <w:gridCol w:w="4820"/>
      <w:gridCol w:w="2409"/>
    </w:tblGrid>
    <w:tr w:rsidR="003D74A3">
      <w:trPr>
        <w:trHeight w:val="1420"/>
      </w:trPr>
      <w:tc>
        <w:tcPr>
          <w:tcW w:w="3048" w:type="dxa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3D74A3" w:rsidRDefault="00F75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line="240" w:lineRule="auto"/>
            <w:jc w:val="center"/>
          </w:pPr>
          <w:r>
            <w:rPr>
              <w:b/>
              <w:sz w:val="28"/>
              <w:szCs w:val="28"/>
            </w:rPr>
            <w:t>MODUS ENGINEERING SRL</w:t>
          </w:r>
        </w:p>
      </w:tc>
      <w:tc>
        <w:tcPr>
          <w:tcW w:w="4820" w:type="dxa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3D74A3" w:rsidRDefault="00F7519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Documentazione Preparatoria</w:t>
          </w:r>
        </w:p>
      </w:tc>
      <w:tc>
        <w:tcPr>
          <w:tcW w:w="2409" w:type="dxa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:rsidR="003D74A3" w:rsidRDefault="00F751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77"/>
            </w:tabs>
            <w:spacing w:line="240" w:lineRule="auto"/>
            <w:ind w:right="73"/>
            <w:jc w:val="center"/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Anno 2019 </w:t>
          </w:r>
        </w:p>
        <w:p w:rsidR="003D74A3" w:rsidRDefault="003D74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77"/>
            </w:tabs>
            <w:spacing w:line="240" w:lineRule="auto"/>
            <w:ind w:right="73"/>
            <w:jc w:val="center"/>
          </w:pPr>
        </w:p>
      </w:tc>
    </w:tr>
  </w:tbl>
  <w:p w:rsidR="003D74A3" w:rsidRDefault="003D74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1769"/>
    <w:multiLevelType w:val="multilevel"/>
    <w:tmpl w:val="7E668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FF4D05"/>
    <w:multiLevelType w:val="multilevel"/>
    <w:tmpl w:val="E3748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AB45AB"/>
    <w:multiLevelType w:val="multilevel"/>
    <w:tmpl w:val="C5D62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538AD"/>
    <w:multiLevelType w:val="multilevel"/>
    <w:tmpl w:val="2028F6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9F4448"/>
    <w:multiLevelType w:val="multilevel"/>
    <w:tmpl w:val="A1DCF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A3"/>
    <w:rsid w:val="00086B16"/>
    <w:rsid w:val="00116400"/>
    <w:rsid w:val="001356F4"/>
    <w:rsid w:val="003D74A3"/>
    <w:rsid w:val="006754E1"/>
    <w:rsid w:val="00752960"/>
    <w:rsid w:val="007A5B7B"/>
    <w:rsid w:val="007D3ACC"/>
    <w:rsid w:val="00856011"/>
    <w:rsid w:val="008A539B"/>
    <w:rsid w:val="008C7046"/>
    <w:rsid w:val="008E212D"/>
    <w:rsid w:val="00951D52"/>
    <w:rsid w:val="009914D9"/>
    <w:rsid w:val="009A2DC0"/>
    <w:rsid w:val="00A23A23"/>
    <w:rsid w:val="00CA2490"/>
    <w:rsid w:val="00DF02FC"/>
    <w:rsid w:val="00F7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D1B9F"/>
  <w15:docId w15:val="{B1A3A13F-FD3D-4BD5-96EB-F9A85985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1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ettazionemauro/modus_sgq/blob/master/9001_2015/2018/Formazione_evidenze/ALL%201%20CFP%20RAMPINI%20-%20CREDITI%202017-18.pdf" TargetMode="External"/><Relationship Id="rId13" Type="http://schemas.openxmlformats.org/officeDocument/2006/relationships/hyperlink" Target="https://github.com/progettazionemauro/modus_sgq/blob/master/9001_2015/2018/servizio/dps%20modus%20definitivo%202018%20da%20aggiornare.doc" TargetMode="External"/><Relationship Id="rId18" Type="http://schemas.openxmlformats.org/officeDocument/2006/relationships/hyperlink" Target="https://github.com/progettazionemauro/modus_sgq/blob/master/9001_2015/2018/supporto/M.6.3.1%20-%20Elenco%20Strumentazione_Rev09%20AGGIORNATO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ropbox.com/s/zv8a77hkj1mfe48/M.4.1.3%20-%20Raccolta%20normativa%20e%20Leggi.xls?dl=0" TargetMode="External"/><Relationship Id="rId12" Type="http://schemas.openxmlformats.org/officeDocument/2006/relationships/hyperlink" Target="https://github.com/progettazionemauro/modus_sgq/blob/master/9001_2015/2018/servizio/ELENCO%20COMMESSE%20AGGIORNATO.XLSX" TargetMode="External"/><Relationship Id="rId17" Type="http://schemas.openxmlformats.org/officeDocument/2006/relationships/hyperlink" Target="https://github.com/progettazionemauro/modus_sgq/blob/master/9001_2015/2018/supporto/M.%206.1.1%20-%20scheda%20del%20personale%20rev.%205%20%20del%2024.02.17%20da%20aggiornare.x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gettazionemauro/modus_sgq/blob/master/9001_2015/2018/supporto/M.%206.1.1%20-%20scheda%20del%20personale%20rev.%205%20%20del%2024.02.17%20da%20aggiornare.xl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6yuox90qw7rbrp3/Analisi_NC_AC_AP_REC_OSS.pdf?dl=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rogettazionemauro/modus_sgq/blob/master/9001_2015/2018/supporto/MONITORAGGIO_FORNITORI%202018%20AGGIORNATO.XLS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progettazionemauro/modus_sgq/blob/master/9001_2015/2018/supporto/M.6.3.2%20-%20Report%20Manutenzione%20%2005.2018%20AGGIORNATO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rtable.com/shrKWnx3eqIwcECGV" TargetMode="External"/><Relationship Id="rId14" Type="http://schemas.openxmlformats.org/officeDocument/2006/relationships/hyperlink" Target="https://github.com/progettazionemauro/modus_sgq/blob/master/9001_2015/2018/servizio/Bozza%20%20incarico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Salvatori</dc:creator>
  <cp:lastModifiedBy>Mauro Salvatori</cp:lastModifiedBy>
  <cp:revision>6</cp:revision>
  <dcterms:created xsi:type="dcterms:W3CDTF">2019-05-02T12:47:00Z</dcterms:created>
  <dcterms:modified xsi:type="dcterms:W3CDTF">2019-05-09T16:31:00Z</dcterms:modified>
</cp:coreProperties>
</file>