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149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2693"/>
        <w:gridCol w:w="2693"/>
        <w:gridCol w:w="2544"/>
        <w:gridCol w:w="3552"/>
        <w:gridCol w:w="1537"/>
      </w:tblGrid>
      <w:tr w:rsidR="00212F6A" w:rsidTr="00615740">
        <w:trPr>
          <w:trHeight w:val="8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Default="00847B4C" w:rsidP="00A25D7B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AREA / CONTESTO AZIENDALE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Default="00847B4C" w:rsidP="00A25D7B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DETTAGLIARE LE OPPORTUNITA' NELL'AREA (SE PRESENTI)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Default="00847B4C" w:rsidP="00A25D7B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DETTAGLIARE I RISCHI NELL'AREA (SE PRESENTI)</w:t>
            </w:r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Default="00847B4C" w:rsidP="00A25D7B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ANALISI - COMMENTI</w:t>
            </w: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Default="00A25D7B" w:rsidP="00A25D7B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OBIETTIVI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Default="00847B4C" w:rsidP="00A25D7B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TEMPI DI RAGGIUNGIMENTO (IN MESI)</w:t>
            </w:r>
          </w:p>
        </w:tc>
      </w:tr>
      <w:tr w:rsidR="00212F6A" w:rsidRPr="00A25D7B" w:rsidTr="00615740">
        <w:trPr>
          <w:trHeight w:val="5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97795" w:rsidRDefault="00847B4C" w:rsidP="00A25D7B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  <w:lang w:val="en-US"/>
              </w:rPr>
            </w:pPr>
            <w:r w:rsidRPr="00A25D7B">
              <w:rPr>
                <w:i w:val="0"/>
                <w:sz w:val="20"/>
                <w:szCs w:val="20"/>
                <w:lang w:val="en-US"/>
              </w:rPr>
              <w:t>AREA VENDITE E CUSTOMER CARE</w:t>
            </w:r>
          </w:p>
          <w:p w:rsidR="00212F6A" w:rsidRPr="00197795" w:rsidRDefault="00212F6A" w:rsidP="00197795">
            <w:pPr>
              <w:ind w:firstLine="720"/>
              <w:rPr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Pr="00197795" w:rsidRDefault="006D2C93" w:rsidP="00A25D7B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Una migliore capacità di team </w:t>
            </w:r>
            <w:proofErr w:type="spellStart"/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working</w:t>
            </w:r>
            <w:proofErr w:type="spellEnd"/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 e gestione del cliente possono fornire un vantaggio competitivo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Pr="00197795" w:rsidRDefault="00141FAE" w:rsidP="00141FAE">
            <w:pPr>
              <w:pStyle w:val="Puntoelenco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La perdita di</w:t>
            </w:r>
            <w:r w:rsidR="0009595C"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 efficienza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dell’orientamento</w:t>
            </w:r>
            <w:r w:rsidR="009300F6"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di </w:t>
            </w:r>
            <w:r w:rsidR="00421DBD" w:rsidRPr="00197795">
              <w:rPr>
                <w:rFonts w:asciiTheme="majorHAnsi" w:hAnsiTheme="majorHAnsi"/>
                <w:i w:val="0"/>
                <w:sz w:val="20"/>
                <w:szCs w:val="20"/>
              </w:rPr>
              <w:t>sale management</w:t>
            </w:r>
            <w:r w:rsidR="009300F6"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può determinare la possibilità di perdere quote di mercato.</w:t>
            </w:r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Pr="00197795" w:rsidRDefault="00DE507B" w:rsidP="00A25D7B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Nell’attuale scenario del </w:t>
            </w:r>
            <w:r w:rsidR="00BE4B24"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mercato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, la gestione del cliente può risultare un fattore di vantaggio competitivo estremamente importante </w:t>
            </w:r>
            <w:r w:rsidR="00BE4B24"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p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e</w:t>
            </w:r>
            <w:r w:rsidR="00BE4B24"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r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 determinare risultati visibili in termini di volumi di vendita.</w:t>
            </w: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31A6A" w:rsidRPr="00197795" w:rsidRDefault="00731A6A" w:rsidP="00731A6A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Evidenziare il valore del lavoro di squadra</w:t>
            </w:r>
          </w:p>
          <w:p w:rsidR="00212F6A" w:rsidRPr="00197795" w:rsidRDefault="00731A6A" w:rsidP="00731A6A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Migliorare le capacità di gestione del cliente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12F6A" w:rsidRPr="00731A6A" w:rsidRDefault="00615740" w:rsidP="00615740">
            <w:pPr>
              <w:widowControl w:val="0"/>
              <w:spacing w:after="0" w:line="276" w:lineRule="auto"/>
              <w:ind w:left="0"/>
              <w:jc w:val="center"/>
              <w:rPr>
                <w:i w:val="0"/>
                <w:sz w:val="20"/>
                <w:szCs w:val="20"/>
                <w:lang w:val="it-IT"/>
              </w:rPr>
            </w:pPr>
            <w:r>
              <w:rPr>
                <w:i w:val="0"/>
                <w:sz w:val="20"/>
                <w:szCs w:val="20"/>
                <w:lang w:val="it-IT"/>
              </w:rPr>
              <w:t>12</w:t>
            </w:r>
          </w:p>
        </w:tc>
      </w:tr>
      <w:tr w:rsidR="00615740" w:rsidTr="00615740">
        <w:trPr>
          <w:trHeight w:val="8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Default="00615740" w:rsidP="00615740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ASPETTI TECNOLOGICI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24257E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nessuna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B04C6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Superamento</w:t>
            </w:r>
            <w:r w:rsidR="006D2C93"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della dotazione informatica (hardware e software)</w:t>
            </w:r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Verificare la rispondenza delle strumentazioni informatiche in dotazione alle esigenze mutevoli del mercato</w:t>
            </w:r>
          </w:p>
          <w:p w:rsidR="00615740" w:rsidRPr="00197795" w:rsidRDefault="00615740" w:rsidP="006B04C6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Individuare eventuali nuove strumentazioni in grado di sostituire quelle deteriorate o </w:t>
            </w:r>
            <w:r w:rsidR="006B04C6"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superate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Default="00615740" w:rsidP="00615740">
            <w:pPr>
              <w:jc w:val="center"/>
            </w:pPr>
            <w:r w:rsidRPr="001614A8">
              <w:rPr>
                <w:i w:val="0"/>
                <w:sz w:val="20"/>
                <w:szCs w:val="20"/>
                <w:lang w:val="it-IT"/>
              </w:rPr>
              <w:t>12</w:t>
            </w:r>
          </w:p>
        </w:tc>
      </w:tr>
      <w:tr w:rsidR="0024257E" w:rsidTr="00615740">
        <w:trPr>
          <w:trHeight w:val="72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Default="0024257E" w:rsidP="0024257E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ASPETTI SOCIALI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Pr="00197795" w:rsidRDefault="0024257E" w:rsidP="0024257E">
            <w:pPr>
              <w:rPr>
                <w:rFonts w:asciiTheme="majorHAnsi" w:hAnsiTheme="majorHAnsi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nessuna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Pr="00197795" w:rsidRDefault="0024257E" w:rsidP="0024257E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nessuno</w:t>
            </w:r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Pr="00197795" w:rsidRDefault="0024257E" w:rsidP="0024257E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La struttura sociale dell’organizzazione è piuttosto omogenea e non presenta al momento aree di criticità</w:t>
            </w:r>
            <w:r w:rsidR="00DE507B" w:rsidRPr="00197795">
              <w:rPr>
                <w:rFonts w:asciiTheme="majorHAnsi" w:hAnsiTheme="majorHAnsi"/>
                <w:i w:val="0"/>
                <w:sz w:val="20"/>
                <w:szCs w:val="20"/>
              </w:rPr>
              <w:t>.</w:t>
            </w: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Pr="00197795" w:rsidRDefault="0024257E" w:rsidP="0024257E">
            <w:pPr>
              <w:pStyle w:val="Paragrafoelenco"/>
              <w:widowControl w:val="0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Monitorare la struttura sociale del team di lavoro per individuarne le esigenze</w:t>
            </w:r>
          </w:p>
          <w:p w:rsidR="0024257E" w:rsidRPr="00197795" w:rsidRDefault="0024257E" w:rsidP="0024257E">
            <w:pPr>
              <w:pStyle w:val="Paragrafoelenco"/>
              <w:widowControl w:val="0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Attivare eventuali azioni per rispondere alle esigenze che dovessero emergere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Default="0024257E" w:rsidP="0024257E">
            <w:pPr>
              <w:jc w:val="center"/>
            </w:pPr>
            <w:r w:rsidRPr="001614A8">
              <w:rPr>
                <w:i w:val="0"/>
                <w:sz w:val="20"/>
                <w:szCs w:val="20"/>
                <w:lang w:val="it-IT"/>
              </w:rPr>
              <w:t>12</w:t>
            </w:r>
          </w:p>
        </w:tc>
      </w:tr>
      <w:tr w:rsidR="0024257E" w:rsidTr="00615740">
        <w:trPr>
          <w:trHeight w:val="76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Default="0024257E" w:rsidP="0024257E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ASPETTI LEGALI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Pr="00197795" w:rsidRDefault="0024257E" w:rsidP="0024257E">
            <w:pPr>
              <w:rPr>
                <w:rFonts w:asciiTheme="majorHAnsi" w:hAnsiTheme="majorHAnsi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nessuna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Pr="00197795" w:rsidRDefault="0024257E" w:rsidP="00646832">
            <w:pPr>
              <w:pStyle w:val="Nessunaspaziatura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Mutamenti normativi repentini (es. nell’area della gestione della privacy e della tutela dei dati) richiedono adempimenti.</w:t>
            </w:r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Pr="00197795" w:rsidRDefault="0024257E" w:rsidP="0024257E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Pr="00197795" w:rsidRDefault="0024257E" w:rsidP="0024257E">
            <w:pPr>
              <w:pStyle w:val="Paragrafoelenco"/>
              <w:widowControl w:val="0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Individuare le richieste di aggiornamento di procedure organizzative e/o documentazione in base a mutazioni del quadro normativo di riferimento</w:t>
            </w:r>
          </w:p>
          <w:p w:rsidR="0024257E" w:rsidRPr="00197795" w:rsidRDefault="0024257E" w:rsidP="0024257E">
            <w:pPr>
              <w:pStyle w:val="Paragrafoelenco"/>
              <w:widowControl w:val="0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Attuare le relative azioni per  adeguare procedure organizzative e/o adempimenti a quanto richiesto dalle norme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4257E" w:rsidRDefault="0024257E" w:rsidP="0024257E">
            <w:pPr>
              <w:jc w:val="center"/>
            </w:pPr>
            <w:r w:rsidRPr="001614A8">
              <w:rPr>
                <w:i w:val="0"/>
                <w:sz w:val="20"/>
                <w:szCs w:val="20"/>
                <w:lang w:val="it-IT"/>
              </w:rPr>
              <w:t>12</w:t>
            </w:r>
          </w:p>
        </w:tc>
      </w:tr>
      <w:tr w:rsidR="00615740" w:rsidTr="00615740">
        <w:trPr>
          <w:trHeight w:val="574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Default="00615740" w:rsidP="00615740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lastRenderedPageBreak/>
              <w:t>AREA PROGETTAZIONE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393520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Il continuo adeguamento della proposta di prodotti commerciali risulta strategica per adeguare l’offerta al mercato in continuo mutamento.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21DBD" w:rsidRPr="00197795" w:rsidRDefault="00421DBD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L’obsolescenza di alcuni prodotti può determinare la possibilità di perdere quote di mercato.</w:t>
            </w:r>
          </w:p>
          <w:p w:rsidR="00615740" w:rsidRPr="00197795" w:rsidRDefault="00393520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Alcuni prodotti possono diventare obsoleti e possono aver bisogni di adeguamento nella struttura e/o nella comunicazione al cliente</w:t>
            </w:r>
            <w:r w:rsidR="00421DBD" w:rsidRPr="00197795">
              <w:rPr>
                <w:rFonts w:asciiTheme="majorHAnsi" w:hAnsiTheme="majorHAnsi"/>
                <w:i w:val="0"/>
                <w:sz w:val="20"/>
                <w:szCs w:val="20"/>
              </w:rPr>
              <w:t>.</w:t>
            </w:r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Sulla base delle informazioni rilevate dall’area Marketing (monitoraggio delle mutazioni del mercato) e dai report sull’andamento delle attività, sviluppare </w:t>
            </w:r>
            <w:proofErr w:type="spellStart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miglioramnti</w:t>
            </w:r>
            <w:proofErr w:type="spellEnd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dei prodotti esistenti e/o sviluppare nuovi prodotti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12</w:t>
            </w:r>
          </w:p>
        </w:tc>
      </w:tr>
      <w:tr w:rsidR="00615740" w:rsidTr="00615740">
        <w:trPr>
          <w:trHeight w:val="10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Default="00615740" w:rsidP="00615740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AREA MANAGEMENT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393520" w:rsidP="003C3CB6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Un</w:t>
            </w:r>
            <w:r w:rsidR="003C3CB6"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diverso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</w:t>
            </w:r>
            <w:r w:rsidR="003C3CB6" w:rsidRPr="00197795">
              <w:rPr>
                <w:rFonts w:asciiTheme="majorHAnsi" w:hAnsiTheme="majorHAnsi"/>
                <w:i w:val="0"/>
                <w:sz w:val="20"/>
                <w:szCs w:val="20"/>
              </w:rPr>
              <w:t>orientamento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 manageriale in ter</w:t>
            </w:r>
            <w:r w:rsidR="003C3CB6" w:rsidRPr="00197795">
              <w:rPr>
                <w:rFonts w:asciiTheme="majorHAnsi" w:hAnsiTheme="majorHAnsi"/>
                <w:i w:val="0"/>
                <w:sz w:val="20"/>
                <w:szCs w:val="20"/>
              </w:rPr>
              <w:t>mini di gestione delle attività e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delle RU può aiutare a migliorare la </w:t>
            </w:r>
            <w:r w:rsidR="003C3CB6" w:rsidRPr="00197795">
              <w:rPr>
                <w:rFonts w:asciiTheme="majorHAnsi" w:hAnsiTheme="majorHAnsi"/>
                <w:i w:val="0"/>
                <w:sz w:val="20"/>
                <w:szCs w:val="20"/>
              </w:rPr>
              <w:t>performance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generale dell’azienda.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9B6E77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>
              <w:rPr>
                <w:rFonts w:asciiTheme="majorHAnsi" w:hAnsiTheme="majorHAnsi"/>
                <w:i w:val="0"/>
                <w:sz w:val="20"/>
                <w:szCs w:val="20"/>
              </w:rPr>
              <w:t>nessuno</w:t>
            </w:r>
            <w:bookmarkStart w:id="0" w:name="_GoBack"/>
            <w:bookmarkEnd w:id="0"/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393520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Dal 2017 è in atto una attività di cambiamento culturale (</w:t>
            </w:r>
            <w:proofErr w:type="spellStart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change</w:t>
            </w:r>
            <w:proofErr w:type="spellEnd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management) accompagnato da una intensa attività di formazione su tutto il personale.</w:t>
            </w: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Individuare le aree di </w:t>
            </w:r>
            <w:proofErr w:type="spellStart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migliorabilità</w:t>
            </w:r>
            <w:proofErr w:type="spellEnd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in tutte le attività di management</w:t>
            </w:r>
          </w:p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5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Attivare azioni di adeguamento delle prassi e delle conoscenze di management alle suddette aree di miglioramento (es. attraverso </w:t>
            </w:r>
            <w:proofErr w:type="spellStart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coaching</w:t>
            </w:r>
            <w:proofErr w:type="spellEnd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, formazione, autoaggiornamento, </w:t>
            </w:r>
            <w:proofErr w:type="spellStart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etc</w:t>
            </w:r>
            <w:proofErr w:type="spellEnd"/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12</w:t>
            </w:r>
          </w:p>
        </w:tc>
      </w:tr>
      <w:tr w:rsidR="00615740" w:rsidTr="00615740">
        <w:trPr>
          <w:trHeight w:val="574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Default="00615740" w:rsidP="00615740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FORMAZIONE DEL PERSONALE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24257E" w:rsidP="00B15CB9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Attività di formazione continua (attualmente in essere) permette una forte stimolazione al cambiamento, all’autoaggiornamento e alla motivazione del personale.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421DBD" w:rsidP="006E175C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Comportamenti organizzativi possono diventare poco funzionali a causa di prassi e procedure fuori norma.</w:t>
            </w:r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1C1C9C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È </w:t>
            </w:r>
            <w:r w:rsidR="0024257E" w:rsidRPr="00197795">
              <w:rPr>
                <w:rFonts w:asciiTheme="majorHAnsi" w:hAnsiTheme="majorHAnsi"/>
                <w:i w:val="0"/>
                <w:sz w:val="20"/>
                <w:szCs w:val="20"/>
              </w:rPr>
              <w:t>in atto una intensa attività di formazione che ha coinvolto tutto il personale.</w:t>
            </w: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Effettuare una continua analisi dei bisogni formativi del personale in relazione alle mutazioni dei mercati di riferimento</w:t>
            </w:r>
          </w:p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Progettare e realizzare corsi di formazione per rispondere ai bisogni formativi individuati.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12</w:t>
            </w:r>
          </w:p>
        </w:tc>
      </w:tr>
      <w:tr w:rsidR="00615740" w:rsidTr="00615740">
        <w:trPr>
          <w:trHeight w:val="72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Default="00615740" w:rsidP="00615740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AREA FORNITORI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DE507B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L’aggiornamento dei fornitori può portare benefici tanto al costo e all’aggiornamento dei prodotti proposti quanto alla ricerca e sviluppo di nuovi prodotti.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421DBD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Il monitoraggio dei fornitori è una attività onerosa e talvolta percepita come poco prioritaria.</w:t>
            </w:r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Monitorare il mercato dei fornitori</w:t>
            </w:r>
          </w:p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Individuare </w:t>
            </w:r>
            <w:r w:rsidR="00B763E7"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fornitori, riguardo alcune destinazioni, 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con rapporto costo/</w:t>
            </w:r>
            <w:r w:rsidR="002B23D8"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qualità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 xml:space="preserve"> più competitivo rispetto agli attuali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12</w:t>
            </w:r>
          </w:p>
        </w:tc>
      </w:tr>
      <w:tr w:rsidR="00615740" w:rsidTr="007F29BA">
        <w:trPr>
          <w:trHeight w:val="177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Default="00615740" w:rsidP="00615740">
            <w:pPr>
              <w:widowControl w:val="0"/>
              <w:spacing w:after="0" w:line="276" w:lineRule="auto"/>
              <w:ind w:left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lastRenderedPageBreak/>
              <w:t>MARKETING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421DBD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Un puntuale aggiornamento della conoscenza e dell’analisi del mercato, dei prodotti e della concorrenza può determinare un aumento della quota di mercato.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BB0C58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La mancata</w:t>
            </w:r>
            <w:r w:rsidR="00421DBD"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conoscenza del mercato e della concorrenza può determinare la possibilità di perdere quote di mercato.</w:t>
            </w:r>
          </w:p>
          <w:p w:rsidR="00421DBD" w:rsidRPr="00197795" w:rsidRDefault="00421DBD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L’analisi del mercato e della concorrenza è una attività onerosa e talvolta percepita come poco</w:t>
            </w:r>
            <w:r w:rsidR="007F29BA" w:rsidRPr="00197795">
              <w:rPr>
                <w:rFonts w:asciiTheme="majorHAnsi" w:hAnsiTheme="majorHAnsi"/>
                <w:i w:val="0"/>
                <w:sz w:val="20"/>
                <w:szCs w:val="20"/>
              </w:rPr>
              <w:t xml:space="preserve"> </w:t>
            </w:r>
            <w:r w:rsidRPr="00197795">
              <w:rPr>
                <w:rFonts w:asciiTheme="majorHAnsi" w:hAnsiTheme="majorHAnsi"/>
                <w:i w:val="0"/>
                <w:sz w:val="20"/>
                <w:szCs w:val="20"/>
              </w:rPr>
              <w:t>prioritaria.</w:t>
            </w:r>
          </w:p>
        </w:tc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widowControl w:val="0"/>
              <w:spacing w:after="0" w:line="276" w:lineRule="auto"/>
              <w:ind w:left="0"/>
              <w:rPr>
                <w:rFonts w:asciiTheme="majorHAnsi" w:hAnsiTheme="majorHAnsi"/>
                <w:i w:val="0"/>
                <w:sz w:val="20"/>
                <w:szCs w:val="20"/>
              </w:rPr>
            </w:pPr>
          </w:p>
        </w:tc>
        <w:tc>
          <w:tcPr>
            <w:tcW w:w="3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Monitorare il mercato e individuarne le mutazioni</w:t>
            </w:r>
          </w:p>
          <w:p w:rsidR="00615740" w:rsidRPr="00197795" w:rsidRDefault="00615740" w:rsidP="00615740">
            <w:pPr>
              <w:pStyle w:val="Paragrafoelenco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</w:pPr>
            <w:r w:rsidRPr="00197795">
              <w:rPr>
                <w:rFonts w:asciiTheme="majorHAnsi" w:hAnsiTheme="majorHAnsi"/>
                <w:i w:val="0"/>
                <w:sz w:val="20"/>
                <w:szCs w:val="20"/>
                <w:lang w:val="it-IT"/>
              </w:rPr>
              <w:t>Individuare nuove opportunità di business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5740" w:rsidRDefault="00615740" w:rsidP="00615740">
            <w:pPr>
              <w:jc w:val="center"/>
            </w:pPr>
            <w:r w:rsidRPr="001614A8">
              <w:rPr>
                <w:i w:val="0"/>
                <w:sz w:val="20"/>
                <w:szCs w:val="20"/>
                <w:lang w:val="it-IT"/>
              </w:rPr>
              <w:t>12</w:t>
            </w:r>
          </w:p>
        </w:tc>
      </w:tr>
    </w:tbl>
    <w:p w:rsidR="00212F6A" w:rsidRDefault="00212F6A"/>
    <w:sectPr w:rsidR="00212F6A" w:rsidSect="001977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/>
      <w:pgMar w:top="142" w:right="1337" w:bottom="170" w:left="5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1B7" w:rsidRDefault="00A641B7" w:rsidP="00A25D7B">
      <w:pPr>
        <w:spacing w:after="0" w:line="240" w:lineRule="auto"/>
      </w:pPr>
      <w:r>
        <w:separator/>
      </w:r>
    </w:p>
  </w:endnote>
  <w:endnote w:type="continuationSeparator" w:id="0">
    <w:p w:rsidR="00A641B7" w:rsidRDefault="00A641B7" w:rsidP="00A2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5C" w:rsidRDefault="0009595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5C" w:rsidRDefault="0009595C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5C" w:rsidRDefault="0009595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1B7" w:rsidRDefault="00A641B7" w:rsidP="00A25D7B">
      <w:pPr>
        <w:spacing w:after="0" w:line="240" w:lineRule="auto"/>
      </w:pPr>
      <w:r>
        <w:separator/>
      </w:r>
    </w:p>
  </w:footnote>
  <w:footnote w:type="continuationSeparator" w:id="0">
    <w:p w:rsidR="00A641B7" w:rsidRDefault="00A641B7" w:rsidP="00A25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5C" w:rsidRDefault="0009595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5C" w:rsidRDefault="0009595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5C" w:rsidRDefault="0009595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FC070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7051F1"/>
    <w:multiLevelType w:val="hybridMultilevel"/>
    <w:tmpl w:val="AC2EF96C"/>
    <w:lvl w:ilvl="0" w:tplc="A4C8F6E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077654"/>
    <w:multiLevelType w:val="hybridMultilevel"/>
    <w:tmpl w:val="12385EDC"/>
    <w:lvl w:ilvl="0" w:tplc="A4C8F6E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2661EA"/>
    <w:multiLevelType w:val="hybridMultilevel"/>
    <w:tmpl w:val="478426EA"/>
    <w:lvl w:ilvl="0" w:tplc="A4C8F6E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03305"/>
    <w:multiLevelType w:val="hybridMultilevel"/>
    <w:tmpl w:val="F3D62418"/>
    <w:lvl w:ilvl="0" w:tplc="A4C8F6E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1C02DE"/>
    <w:multiLevelType w:val="hybridMultilevel"/>
    <w:tmpl w:val="3D12335A"/>
    <w:lvl w:ilvl="0" w:tplc="A4C8F6E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34459B"/>
    <w:multiLevelType w:val="hybridMultilevel"/>
    <w:tmpl w:val="8A369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isplayBackgroundShape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6A"/>
    <w:rsid w:val="0009595C"/>
    <w:rsid w:val="00141FAE"/>
    <w:rsid w:val="00197795"/>
    <w:rsid w:val="001C1C9C"/>
    <w:rsid w:val="00212F6A"/>
    <w:rsid w:val="0024257E"/>
    <w:rsid w:val="002B23D8"/>
    <w:rsid w:val="00304016"/>
    <w:rsid w:val="00393520"/>
    <w:rsid w:val="003C3CB6"/>
    <w:rsid w:val="00421DBD"/>
    <w:rsid w:val="00544585"/>
    <w:rsid w:val="00615740"/>
    <w:rsid w:val="00616EA2"/>
    <w:rsid w:val="00646832"/>
    <w:rsid w:val="006B04C6"/>
    <w:rsid w:val="006D2C93"/>
    <w:rsid w:val="006E175C"/>
    <w:rsid w:val="006E4FEF"/>
    <w:rsid w:val="0072567A"/>
    <w:rsid w:val="00731A6A"/>
    <w:rsid w:val="007F29BA"/>
    <w:rsid w:val="00847B4C"/>
    <w:rsid w:val="009300F6"/>
    <w:rsid w:val="00930DAE"/>
    <w:rsid w:val="009B6E77"/>
    <w:rsid w:val="00A25D7B"/>
    <w:rsid w:val="00A419B5"/>
    <w:rsid w:val="00A558BB"/>
    <w:rsid w:val="00A641B7"/>
    <w:rsid w:val="00AD5959"/>
    <w:rsid w:val="00B15CB9"/>
    <w:rsid w:val="00B763E7"/>
    <w:rsid w:val="00BB0C58"/>
    <w:rsid w:val="00BE4B24"/>
    <w:rsid w:val="00D11D92"/>
    <w:rsid w:val="00DE507B"/>
    <w:rsid w:val="00F4352C"/>
    <w:rsid w:val="00FB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i/>
        <w:sz w:val="18"/>
        <w:szCs w:val="18"/>
        <w:lang w:val="it" w:eastAsia="it-IT" w:bidi="ar-SA"/>
      </w:rPr>
    </w:rPrDefault>
    <w:pPrDefault>
      <w:pPr>
        <w:spacing w:after="4" w:line="249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after="0" w:line="259" w:lineRule="auto"/>
      <w:ind w:left="370" w:hanging="10"/>
      <w:outlineLvl w:val="0"/>
    </w:pPr>
    <w:rPr>
      <w:b/>
      <w:color w:val="000000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25D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5D7B"/>
  </w:style>
  <w:style w:type="paragraph" w:styleId="Pidipagina">
    <w:name w:val="footer"/>
    <w:basedOn w:val="Normale"/>
    <w:link w:val="PidipaginaCarattere"/>
    <w:uiPriority w:val="99"/>
    <w:unhideWhenUsed/>
    <w:rsid w:val="00A25D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5D7B"/>
  </w:style>
  <w:style w:type="paragraph" w:styleId="Paragrafoelenco">
    <w:name w:val="List Paragraph"/>
    <w:basedOn w:val="Normale"/>
    <w:uiPriority w:val="34"/>
    <w:qFormat/>
    <w:rsid w:val="00731A6A"/>
    <w:pPr>
      <w:ind w:left="720"/>
      <w:contextualSpacing/>
    </w:pPr>
  </w:style>
  <w:style w:type="paragraph" w:styleId="Puntoelenco">
    <w:name w:val="List Bullet"/>
    <w:basedOn w:val="Normale"/>
    <w:uiPriority w:val="99"/>
    <w:unhideWhenUsed/>
    <w:rsid w:val="00141FAE"/>
    <w:pPr>
      <w:numPr>
        <w:numId w:val="7"/>
      </w:numPr>
      <w:contextualSpacing/>
    </w:pPr>
  </w:style>
  <w:style w:type="paragraph" w:styleId="Nessunaspaziatura">
    <w:name w:val="No Spacing"/>
    <w:uiPriority w:val="1"/>
    <w:qFormat/>
    <w:rsid w:val="006468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i/>
        <w:sz w:val="18"/>
        <w:szCs w:val="18"/>
        <w:lang w:val="it" w:eastAsia="it-IT" w:bidi="ar-SA"/>
      </w:rPr>
    </w:rPrDefault>
    <w:pPrDefault>
      <w:pPr>
        <w:spacing w:after="4" w:line="249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after="0" w:line="259" w:lineRule="auto"/>
      <w:ind w:left="370" w:hanging="10"/>
      <w:outlineLvl w:val="0"/>
    </w:pPr>
    <w:rPr>
      <w:b/>
      <w:color w:val="000000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25D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5D7B"/>
  </w:style>
  <w:style w:type="paragraph" w:styleId="Pidipagina">
    <w:name w:val="footer"/>
    <w:basedOn w:val="Normale"/>
    <w:link w:val="PidipaginaCarattere"/>
    <w:uiPriority w:val="99"/>
    <w:unhideWhenUsed/>
    <w:rsid w:val="00A25D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5D7B"/>
  </w:style>
  <w:style w:type="paragraph" w:styleId="Paragrafoelenco">
    <w:name w:val="List Paragraph"/>
    <w:basedOn w:val="Normale"/>
    <w:uiPriority w:val="34"/>
    <w:qFormat/>
    <w:rsid w:val="00731A6A"/>
    <w:pPr>
      <w:ind w:left="720"/>
      <w:contextualSpacing/>
    </w:pPr>
  </w:style>
  <w:style w:type="paragraph" w:styleId="Puntoelenco">
    <w:name w:val="List Bullet"/>
    <w:basedOn w:val="Normale"/>
    <w:uiPriority w:val="99"/>
    <w:unhideWhenUsed/>
    <w:rsid w:val="00141FAE"/>
    <w:pPr>
      <w:numPr>
        <w:numId w:val="7"/>
      </w:numPr>
      <w:contextualSpacing/>
    </w:pPr>
  </w:style>
  <w:style w:type="paragraph" w:styleId="Nessunaspaziatura">
    <w:name w:val="No Spacing"/>
    <w:uiPriority w:val="1"/>
    <w:qFormat/>
    <w:rsid w:val="00646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Stefania</cp:lastModifiedBy>
  <cp:revision>37</cp:revision>
  <cp:lastPrinted>2019-10-14T13:09:00Z</cp:lastPrinted>
  <dcterms:created xsi:type="dcterms:W3CDTF">2019-10-12T09:32:00Z</dcterms:created>
  <dcterms:modified xsi:type="dcterms:W3CDTF">2019-10-14T13:19:00Z</dcterms:modified>
</cp:coreProperties>
</file>