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Questa breve scheda prende in esame due testi di Primo Levi e uno di Paolo Volponi per verificare se alcuni elementi tipici del genere della fiaba possano essere individuati anche nella narrativa distopica e postapocalittica, in particolare in quella a tema ecologico.</w:t>
      </w:r>
      <w:r>
        <w:rPr>
          <w:rStyle w:val="apple-converted-space"/>
          <w:rFonts w:eastAsia="" w:ascii="Garamond" w:hAnsi="Garamond" w:eastAsiaTheme="majorEastAsia"/>
          <w:color w:val="000000"/>
        </w:rPr>
        <w:t xml:space="preserve"> Se </w:t>
      </w:r>
      <w:hyperlink r:id="rId2">
        <w:r>
          <w:rPr>
            <w:rStyle w:val="Hyperlink"/>
            <w:rFonts w:eastAsia="" w:ascii="Garamond" w:hAnsi="Garamond" w:eastAsiaTheme="majorEastAsia"/>
            <w:i/>
            <w:iCs/>
            <w:color w:val="000000"/>
            <w:shd w:fill="81D41A" w:val="clear"/>
          </w:rPr>
          <w:t>Il pianeta irritabile</w:t>
        </w:r>
        <w:r>
          <w:rPr>
            <w:rStyle w:val="Hyperlink"/>
            <w:rFonts w:eastAsia="" w:ascii="Garamond" w:hAnsi="Garamond" w:eastAsiaTheme="majorEastAsia"/>
            <w:color w:val="000000"/>
            <w:shd w:fill="81D41A" w:val="clear"/>
          </w:rPr>
          <w:t> </w:t>
        </w:r>
      </w:hyperlink>
      <w:r>
        <w:rPr>
          <w:rFonts w:eastAsia="" w:ascii="Garamond" w:hAnsi="Garamond"/>
          <w:color w:val="000000"/>
          <w:shd w:fill="81D41A" w:val="clear"/>
        </w:rPr>
        <w:t xml:space="preserve">(1978) </w:t>
      </w:r>
      <w:r>
        <w:rPr>
          <w:rFonts w:ascii="Garamond" w:hAnsi="Garamond"/>
          <w:color w:val="000000"/>
        </w:rPr>
        <w:t>di Volponi può essere considerato una distopia apocalittica, nella misura in cui i protagonisti cercano di sopravvivere in un universo sconosciuto dopo un’esplosione atomica, per quanto riguarda invece i racconti di Primo Levi raccolti in</w:t>
      </w:r>
      <w:r>
        <w:rPr>
          <w:rStyle w:val="apple-converted-space"/>
          <w:rFonts w:eastAsia="" w:ascii="Garamond" w:hAnsi="Garamond" w:eastAsiaTheme="majorEastAsia"/>
          <w:color w:val="000000"/>
          <w:shd w:fill="auto" w:val="clear"/>
        </w:rPr>
        <w:t> </w:t>
      </w:r>
      <w:hyperlink r:id="rId3">
        <w:r>
          <w:rPr>
            <w:rStyle w:val="Hyperlink"/>
            <w:rFonts w:eastAsia="" w:ascii="Garamond" w:hAnsi="Garamond" w:eastAsiaTheme="majorEastAsia"/>
            <w:i/>
            <w:i/>
            <w:iCs/>
            <w:color w:val="000000"/>
            <w:shd w:fill="auto" w:val="clear"/>
          </w:rPr>
          <w:t>Storie Naturali</w:t>
        </w:r>
        <w:r>
          <w:rPr>
            <w:rStyle w:val="Hyperlink"/>
            <w:rFonts w:eastAsia="" w:ascii="Garamond" w:hAnsi="Garamond" w:eastAsiaTheme="majorEastAsia"/>
            <w:color w:val="000000"/>
            <w:shd w:fill="auto" w:val="clear"/>
          </w:rPr>
          <w:t> </w:t>
        </w:r>
        <w:r>
          <w:rPr>
            <w:rStyle w:val="Hyperlink"/>
            <w:rFonts w:ascii="Garamond" w:hAnsi="Garamond"/>
            <w:color w:val="000000"/>
            <w:shd w:fill="auto" w:val="clear"/>
          </w:rPr>
          <w:t>(1966)</w:t>
        </w:r>
        <w:r>
          <w:rPr>
            <w:rStyle w:val="Hyperlink"/>
            <w:rFonts w:eastAsia="" w:ascii="Garamond" w:hAnsi="Garamond" w:eastAsiaTheme="majorEastAsia"/>
            <w:color w:val="000000"/>
            <w:shd w:fill="auto" w:val="clear"/>
          </w:rPr>
          <w:t xml:space="preserve"> </w:t>
        </w:r>
        <w:r>
          <w:rPr>
            <w:rStyle w:val="Hyperlink"/>
            <w:rFonts w:eastAsia="" w:ascii="Garamond" w:hAnsi="Garamond" w:eastAsiaTheme="majorEastAsia"/>
            <w:color w:val="000000"/>
            <w:shd w:fill="auto" w:val="clear"/>
          </w:rPr>
          <w:t xml:space="preserve">e </w:t>
        </w:r>
        <w:r>
          <w:rPr>
            <w:rStyle w:val="Hyperlink"/>
            <w:rFonts w:eastAsia="" w:ascii="Garamond" w:hAnsi="Garamond" w:eastAsiaTheme="majorEastAsia"/>
            <w:i/>
            <w:i/>
            <w:iCs/>
            <w:color w:val="000000"/>
            <w:shd w:fill="auto" w:val="clear"/>
          </w:rPr>
          <w:t>Vizio di forma</w:t>
        </w:r>
        <w:r>
          <w:rPr>
            <w:rStyle w:val="Hyperlink"/>
            <w:rFonts w:eastAsia="" w:ascii="Garamond" w:hAnsi="Garamond" w:eastAsiaTheme="majorEastAsia"/>
            <w:color w:val="000000"/>
            <w:shd w:fill="auto" w:val="clear"/>
          </w:rPr>
          <w:t> </w:t>
        </w:r>
        <w:r>
          <w:rPr>
            <w:rStyle w:val="Hyperlink"/>
            <w:rFonts w:ascii="Garamond" w:hAnsi="Garamond"/>
            <w:color w:val="000000"/>
            <w:shd w:fill="auto" w:val="clear"/>
          </w:rPr>
          <w:t>(1971)</w:t>
        </w:r>
      </w:hyperlink>
      <w:r>
        <w:rPr>
          <w:rFonts w:ascii="Garamond" w:hAnsi="Garamond"/>
          <w:color w:val="000000"/>
          <w:shd w:fill="auto" w:val="clear"/>
        </w:rPr>
        <w:t xml:space="preserve">, e </w:t>
      </w:r>
      <w:r>
        <w:rPr>
          <w:rFonts w:ascii="Garamond" w:hAnsi="Garamond"/>
          <w:color w:val="000000"/>
          <w:shd w:fill="auto" w:val="clear"/>
        </w:rPr>
        <w:t>la critica ha parl</w:t>
      </w:r>
      <w:r>
        <w:rPr>
          <w:rFonts w:ascii="Garamond" w:hAnsi="Garamond"/>
          <w:color w:val="000000"/>
        </w:rPr>
        <w:t>ato di distopia tecnologica, di eco-distopia, di libri ecologici</w:t>
      </w:r>
      <w:r>
        <w:rPr>
          <w:rStyle w:val="FootnoteReference"/>
          <w:rFonts w:ascii="Garamond" w:hAnsi="Garamond"/>
        </w:rPr>
        <w:footnoteReference w:id="2"/>
      </w:r>
      <w:r>
        <w:rPr>
          <w:rFonts w:ascii="Garamond" w:hAnsi="Garamond"/>
          <w:color w:val="000000"/>
        </w:rPr>
        <w:t>, di fantabiologie</w:t>
      </w:r>
      <w:r>
        <w:rPr>
          <w:rStyle w:val="FootnoteReference"/>
          <w:rFonts w:ascii="Garamond" w:hAnsi="Garamond"/>
        </w:rPr>
        <w:footnoteReference w:id="3"/>
      </w:r>
      <w:r>
        <w:rPr>
          <w:rFonts w:ascii="Garamond" w:hAnsi="Garamond"/>
        </w:rPr>
        <w:t xml:space="preserve"> </w:t>
      </w:r>
      <w:r>
        <w:rPr>
          <w:rFonts w:ascii="Garamond" w:hAnsi="Garamond"/>
          <w:color w:val="000000"/>
        </w:rPr>
        <w:t>o persino di petrotesti</w:t>
      </w:r>
      <w:r>
        <w:rPr>
          <w:rStyle w:val="FootnoteReference"/>
          <w:rFonts w:ascii="Garamond" w:hAnsi="Garamond"/>
        </w:rPr>
        <w:footnoteReference w:id="4"/>
      </w:r>
      <w:r>
        <w:rPr>
          <w:rFonts w:ascii="Garamond" w:hAnsi="Garamond"/>
          <w:color w:val="000000"/>
        </w:rPr>
        <w:t xml:space="preserve">. In queste opere il rapporto tra individuo e ambiente si configura attraverso la costruzione letteraria di ecosistemi nei quali l’essere umano non occupa una posizione centrale, ma è soltanto uno degli elementi in gioco, privo di un’agency privilegiata rispetto agli altri attanti – </w:t>
      </w:r>
      <w:hyperlink r:id="rId4">
        <w:r>
          <w:rPr>
            <w:rStyle w:val="Hyperlink"/>
            <w:rFonts w:ascii="Garamond" w:hAnsi="Garamond"/>
            <w:color w:val="000000"/>
          </w:rPr>
          <w:t>animali, piante, oggetti, macchine</w:t>
        </w:r>
      </w:hyperlink>
      <w:r>
        <w:rPr>
          <w:rFonts w:ascii="Garamond" w:hAnsi="Garamond"/>
          <w:color w:val="000000"/>
        </w:rPr>
        <w:t xml:space="preserve">. </w:t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Seguendo l’ipotesi di Ezio Puglia, che sostiene l’esistenza di una vera e propria </w:t>
      </w:r>
      <w:r>
        <w:rPr>
          <w:rFonts w:ascii="Garamond" w:hAnsi="Garamond"/>
          <w:i/>
          <w:iCs/>
          <w:color w:val="000000"/>
        </w:rPr>
        <w:t>ecologia della fiaba</w:t>
      </w:r>
      <w:r>
        <w:rPr>
          <w:rStyle w:val="FootnoteReference"/>
          <w:rFonts w:ascii="Garamond" w:hAnsi="Garamond"/>
        </w:rPr>
        <w:footnoteReference w:id="5"/>
      </w:r>
      <w:r>
        <w:rPr>
          <w:rFonts w:ascii="Garamond" w:hAnsi="Garamond"/>
          <w:color w:val="000000"/>
        </w:rPr>
        <w:t>, è possibile interrogarsi sulla presenza di tratti fiabeschi all’interno della narrativa distopica a tema ecologico. Tra questi si possono individuare: l’indeterminatezza del tempo, dei luoghi e delle ambientazioni; personaggi spesso privi di nome e di una definita caratterizzazione psicologica; la dialettica tra natura e cultura, che si esprime nel rapporto tra animali e creature umane, fondata sul fatto che, se da un lato gli animali assumono funzioni umane, dall’altro gli uomini possono apparire ancora incontaminati dalla cultura e dunque “naturali”, animali, se non addirittura bestiali; la funzione attanziale degli oggetti, che possono agire come aiutanti o come antagonisti; la rappresentazione costante della violenza, esercitata con distacco; un linguaggio privo di patetismo e l’uso frequente del discorso diretto e del dialogo.</w:t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Nelle fiabe, salvo rare eccezioni, personaggi, tempo e spazio restano volutamente indefiniti. I protagonisti sono spesso senza nome, e lo stesso vale per i luoghi e per il tempo della narrazione: «C’era una volta», «Tanto tanto tempo fa», «In un paese lontano» sono formule che aprono la storia sottraendola a qualsiasi coordinata precisa. Questa indeterminatezza contribuisce a creare un’atmosfera sospesa, in cui lo spazio non funziona come un ambiente realistico, ma come un dispositivo narrativo astratto. Il luogo fiabesco non è mai descritto nei dettagli, non è riconducibile a una geografia concreta, ma serve piuttosto a rendere universali le vicende raccontate. </w:t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Un meccanismo analogo si ritrova anche nelle distopie. Anche qui può accadere che manchino riferimenti precisi a città, Paesi, lingue o date; oppure, al contrario, che tali coordinate siano fornite in modo apparentemente puntuale, senza però svolgere una reale funzione di ancoraggio storico o geografico. In molti casi, infatti, le indicazioni temporali e spaziali sembrano scelte unicamente per allontanare la narrazione dal presente, senza che il futuro rappresentato assuma caratteristiche davvero determinate. Lo spazio distopico, come quello fiabesco, tende così a perdere consistenza, trasformandosi in uno scenario astratto, intercambiabile, segnato da una crisi globale. </w:t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Nel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hyperlink r:id="rId5">
        <w:r>
          <w:rPr>
            <w:rStyle w:val="Hyperlink"/>
            <w:rFonts w:eastAsia="" w:ascii="Garamond" w:hAnsi="Garamond" w:eastAsiaTheme="majorEastAsia"/>
            <w:i/>
            <w:iCs/>
            <w:color w:val="000000"/>
            <w:shd w:fill="81D41A" w:val="clear"/>
          </w:rPr>
          <w:t>Pianeta irritabile</w:t>
        </w:r>
      </w:hyperlink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Fonts w:ascii="Garamond" w:hAnsi="Garamond"/>
          <w:color w:val="000000"/>
        </w:rPr>
        <w:t>l’Apocalisse è collocata nel 2293, ma il futuro resta così opaco da generare la sensazione che la vicenda potrebbe svolgersi in qualsiasi tempo e soprattutto in qualsiasi luogo, purché terrestre. Come osserva Muzzioli, «ci troviamo ormai nella post-storia e gli animali del quartetto non hanno e non vogliono più avere la “nozione del tempo”»</w:t>
      </w:r>
      <w:r>
        <w:rPr>
          <w:rStyle w:val="FootnoteReference"/>
          <w:rFonts w:ascii="Garamond" w:hAnsi="Garamond"/>
        </w:rPr>
        <w:footnoteReference w:id="6"/>
      </w:r>
      <w:r>
        <w:rPr>
          <w:rFonts w:ascii="Garamond" w:hAnsi="Garamond"/>
          <w:color w:val="000000"/>
        </w:rPr>
        <w:t>. Anche lo spazio attraversato dai protagonisti non è mai pienamente identificabile: i luoghi non vengono descritti in modo dettagliato, ma appaiono come paesaggi spogli, ostili, ridotti a puro ambiente di sopravvivenza. Questa indeterminatezza spaziale rafforza l’idea che la catastrofe non colpisca una zona specifica del pianeta, ma investa la biosfera nel suo complesso. Lo spazio non è più il luogo dell’insediamento umano o del progresso, ma quello dell’erranza, dell’adattamento e della convivenza forzata tra specie diverse. Un procedimento simile si ritrova anche nel racconto di Levi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</w:rPr>
        <w:t xml:space="preserve">La 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bella addormentata nel frigo</w:t>
      </w:r>
      <w:r>
        <w:rPr>
          <w:rFonts w:ascii="Garamond" w:hAnsi="Garamond"/>
          <w:color w:val="000000"/>
        </w:rPr>
        <w:t>, incluso in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</w:rPr>
        <w:t>Storie naturali</w:t>
      </w:r>
      <w:r>
        <w:rPr>
          <w:rFonts w:ascii="Garamond" w:hAnsi="Garamond"/>
          <w:color w:val="000000"/>
        </w:rPr>
        <w:t>. Nel racconto-</w:t>
      </w:r>
      <w:r>
        <w:rPr>
          <w:rFonts w:ascii="Garamond" w:hAnsi="Garamond"/>
          <w:i/>
          <w:iCs/>
          <w:color w:val="000000"/>
        </w:rPr>
        <w:t>pièce</w:t>
      </w:r>
      <w:r>
        <w:rPr>
          <w:rFonts w:ascii="Garamond" w:hAnsi="Garamond"/>
          <w:color w:val="000000"/>
        </w:rPr>
        <w:t xml:space="preserve"> diversi membri di una famiglia si apprestano a scongelare, come ogni anno il 19 dicembre, Patricia, ibernata oltre un secolo prima; questa volta, però, la ragazza – sempre ventitreenne – si innamora di un altro “bello addormentato” e fugge all’ennesimo tentativo di scongelamento grazie a uno stratagemma. La vicenda è ambientata a Berlino nel 2115, e il tempo storico e lo spazio sembrano inizialmente ben definiti. Tuttavia, queste coordinate non servono a costruire un’ambientazione concreta: la città non viene descritta, non influisce sulle azioni dei personaggi e non assume alcun ruolo narrativo significativo. È come se il riferimento a Berlino funzionasse soltanto come un’etichetta, mentre ciò che viene raccontato potrebbe accadere in ogni quando e in ogni dove. </w:t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 xml:space="preserve">Se l’indeterminatezza storico-geografica contribuisce a rendere universale il racconto, anche i personaggi risultano volutamente indefiniti. Patricia e gli altri protagonisti appaiono monodimensionali, privi di profondità emotiva. In molti racconti di Levi i personaggi non hanno nome e, quando lo possiedono, come il </w:t>
      </w:r>
      <w:r>
        <w:rPr>
          <w:rFonts w:ascii="Garamond" w:hAnsi="Garamond"/>
          <w:color w:val="000000"/>
          <w:shd w:fill="FFFF00" w:val="clear"/>
        </w:rPr>
        <w:t>dottor Simpson di</w:t>
      </w:r>
      <w:r>
        <w:rPr>
          <w:rStyle w:val="apple-converted-space"/>
          <w:rFonts w:eastAsia="" w:ascii="Garamond" w:hAnsi="Garamond" w:eastAsiaTheme="majorEastAsia"/>
          <w:color w:val="000000"/>
          <w:shd w:fill="FFFF00" w:val="clear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 xml:space="preserve">Storie naturali </w:t>
      </w:r>
      <w:r>
        <w:rPr>
          <w:rStyle w:val="Emphasis"/>
          <w:rFonts w:eastAsia="" w:ascii="Garamond" w:hAnsi="Garamond" w:eastAsiaTheme="majorEastAsia"/>
          <w:b w:val="false"/>
          <w:bCs w:val="false"/>
          <w:i w:val="false"/>
          <w:iCs w:val="false"/>
          <w:color w:val="000000"/>
          <w:shd w:fill="FFFF00" w:val="clear"/>
        </w:rPr>
        <w:t>(</w:t>
      </w:r>
      <w:hyperlink r:id="rId6">
        <w:r>
          <w:rPr>
            <w:rStyle w:val="Hyperlink"/>
            <w:rFonts w:eastAsia="" w:ascii="Garamond" w:hAnsi="Garamond" w:eastAsiaTheme="majorEastAsia"/>
            <w:b w:val="false"/>
            <w:bCs w:val="false"/>
            <w:i/>
            <w:iCs/>
            <w:color w:val="000000"/>
            <w:shd w:fill="FFFF00" w:val="clear"/>
          </w:rPr>
          <w:t>Pieno impiego</w:t>
        </w:r>
      </w:hyperlink>
      <w:r>
        <w:rPr>
          <w:rStyle w:val="Emphasis"/>
          <w:rFonts w:eastAsia="" w:ascii="Garamond" w:hAnsi="Garamond" w:eastAsiaTheme="majorEastAsia"/>
          <w:b w:val="false"/>
          <w:bCs w:val="false"/>
          <w:i w:val="false"/>
          <w:iCs w:val="false"/>
          <w:color w:val="000000"/>
          <w:shd w:fill="FFFF00" w:val="clear"/>
        </w:rPr>
        <w:t>)</w:t>
      </w:r>
      <w:r>
        <w:rPr>
          <w:rFonts w:ascii="Garamond" w:hAnsi="Garamond"/>
          <w:color w:val="000000"/>
        </w:rPr>
        <w:t xml:space="preserve">, non sono accompagnati da descrizioni fisiche o psicologiche. Non vi è introspezione: ciò che conta non è la vita interiore, ma la funzione che il personaggio svolge all’interno dell’ecosistema narrativo. In questo contesto, l’antagonista può non essere una persona, ma un oggetto, o più spesso una macchina, che assume connotati di volta in volta diversi e sempre mostruosi. Il Mimete, il Calometro, il Versificatore sono dispositivi dotati di competenze sovrumane, quasi magiche, che intervengono nel mondo come veri e propri oggetti fiabeschi. Emblematico è il caso della </w:t>
      </w:r>
      <w:hyperlink r:id="rId7">
        <w:r>
          <w:rPr>
            <w:rStyle w:val="Hyperlink"/>
            <w:rFonts w:ascii="Garamond" w:hAnsi="Garamond"/>
            <w:color w:val="000000"/>
            <w:shd w:fill="81D41A" w:val="clear"/>
          </w:rPr>
          <w:t>Nutrice del racconto</w:t>
        </w:r>
        <w:r>
          <w:rPr>
            <w:rStyle w:val="Hyperlink"/>
            <w:rFonts w:eastAsia="" w:ascii="Garamond" w:hAnsi="Garamond" w:eastAsiaTheme="majorEastAsia"/>
            <w:color w:val="000000"/>
            <w:shd w:fill="81D41A" w:val="clear"/>
          </w:rPr>
          <w:t> </w:t>
        </w:r>
        <w:r>
          <w:rPr>
            <w:rStyle w:val="Hyperlink"/>
            <w:rFonts w:eastAsia="" w:ascii="Garamond" w:hAnsi="Garamond" w:eastAsiaTheme="majorEastAsia"/>
            <w:i/>
            <w:iCs/>
            <w:color w:val="000000"/>
            <w:shd w:fill="81D41A" w:val="clear"/>
          </w:rPr>
          <w:t>Recuenco</w:t>
        </w:r>
      </w:hyperlink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Fonts w:ascii="Garamond" w:hAnsi="Garamond"/>
          <w:color w:val="000000"/>
        </w:rPr>
        <w:t xml:space="preserve">(in </w:t>
      </w:r>
      <w:r>
        <w:rPr>
          <w:rStyle w:val="Emphasis"/>
          <w:rFonts w:eastAsia="" w:ascii="Garamond" w:hAnsi="Garamond" w:eastAsiaTheme="majorEastAsia"/>
          <w:color w:val="000000"/>
        </w:rPr>
        <w:t>Vizio di forma</w:t>
      </w:r>
      <w:r>
        <w:rPr>
          <w:rFonts w:ascii="Garamond" w:hAnsi="Garamond"/>
          <w:color w:val="000000"/>
        </w:rPr>
        <w:t>): un cybermostro giunonico che richiama una Natura matrigna di ascendenza leopardiana. In questa inversione o giustapposizione di ruoli tra selvaggio e civilizzato, l’oggetto può talvolta distruggere e talvolta nutrire, mentre l’essere umano perde progressivamente la propria autonomia, fino a diventare un cieco esecutore degli ordini ricevuti. Nel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hyperlink r:id="rId8">
        <w:r>
          <w:rPr>
            <w:rStyle w:val="Hyperlink"/>
            <w:rFonts w:eastAsia="" w:ascii="Garamond" w:hAnsi="Garamond" w:eastAsiaTheme="majorEastAsia"/>
            <w:i/>
            <w:iCs/>
            <w:color w:val="000000"/>
            <w:shd w:fill="81D41A" w:val="clear"/>
          </w:rPr>
          <w:t>Pianeta irritabile</w:t>
        </w:r>
      </w:hyperlink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Fonts w:ascii="Garamond" w:hAnsi="Garamond"/>
          <w:color w:val="000000"/>
        </w:rPr>
        <w:t>i quattro personaggi della storia intraprendono un’odissea alla ricerca della salvezza dall’Apocalisse e non è un caso che si tratti di tre animali – la scimmia Epistola, l’oca Plan Calcule e l’elefante Roboamo – e di un nano, il quale, pur appartenendo al genere umano, non è mai del tutto riconoscibile, anche perché il suo nome cambia continuamente. I quattro personaggi, prima ancora di agire, semplicemente esistono; solo in un secondo momento si attivano per cercare di sopravvivere. Come osserva Muzzioli, l’immedesimazione psicologica è impossibile: di fronte a comportamenti “alieni”, modificati da una situazione di assoluta emergenza, il narratore può solo restare sul piano dell’azione, o meglio dell’attività volta alla sopravvivenza, annullando ogni capacità critica. I protagonisti vivono una serie di avventure e di scontri con altri superstiti, animali pseudo-umani e uomini ormai ridotti a una dimensione bestiale, come il cane in posizione eretta. Se nella fiaba e in molta narrativa ecologica è tipica l’attribuzione di funzioni umane agli animali, nel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hyperlink r:id="rId9">
        <w:r>
          <w:rPr>
            <w:rStyle w:val="Hyperlink"/>
            <w:rFonts w:eastAsia="" w:ascii="Garamond" w:hAnsi="Garamond" w:eastAsiaTheme="majorEastAsia"/>
            <w:i/>
            <w:iCs/>
            <w:color w:val="000000"/>
            <w:shd w:fill="81D41A" w:val="clear"/>
          </w:rPr>
          <w:t>Pianeta irritabile</w:t>
        </w:r>
      </w:hyperlink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Fonts w:ascii="Garamond" w:hAnsi="Garamond"/>
          <w:color w:val="000000"/>
        </w:rPr>
        <w:t>questo meccanismo si rovescia: è vero che gli animali presentano sembianze e comportamenti umani, ma tali comportamenti sono ridotti alla pura corporeità, alle funzioni più basse e naturali, senza pudore né istinto di conservazione. Come osserva ancora Muzzioli, «non sono più gli animali a essere indotti a umanizzarsi, bensì l’uomo ad animalizzarsi»</w:t>
      </w:r>
      <w:r>
        <w:rPr>
          <w:rStyle w:val="FootnoteReference"/>
          <w:rFonts w:ascii="Garamond" w:hAnsi="Garamond"/>
        </w:rPr>
        <w:footnoteReference w:id="7"/>
      </w:r>
      <w:r>
        <w:rPr>
          <w:rFonts w:ascii="Garamond" w:hAnsi="Garamond"/>
          <w:color w:val="000000"/>
        </w:rPr>
        <w:t>. Il nano, osservatore quasi esterno dello svolgersi degli eventi, subisce una trasformazione decisiva nel momento in cui combatte contro gli ultimi superstiti del genere umano. In un’ultima battaglia epica proclama: «Sono più animale di voi!», ricevendo come risposta ironica dall’elefante Roboamo: «Guarda solo di non volerlo essere in modo diverso dal nostro»</w:t>
      </w:r>
      <w:r>
        <w:rPr>
          <w:rStyle w:val="FootnoteReference"/>
          <w:rFonts w:ascii="Garamond" w:hAnsi="Garamond"/>
        </w:rPr>
        <w:footnoteReference w:id="8"/>
      </w:r>
      <w:r>
        <w:rPr>
          <w:rFonts w:ascii="Garamond" w:hAnsi="Garamond"/>
          <w:color w:val="000000"/>
        </w:rPr>
        <w:t>. Si tratta di un vero e proprio riconoscimento di una nuova condizione animale, che assume i toni sarcastici ed epici di un rito di iniziazione, tipico delle fiabe popolari: se in queste ultime il rito segnava il passaggio dall’infanzia all’età adulta, qui il percorso è rovesciato e il nano deve dimostrare di essere adeguato a entrare nel mondo degli animali, combattendo al loro fianco e riconoscendo una dimensione comune, quella della biosfera. La messa in discussione delle frontiere tra uomo e animale emerge anche nei racconti di Levi. In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</w:rPr>
        <w:t>L’a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mico dell’uomo</w:t>
      </w:r>
      <w:r>
        <w:rPr>
          <w:rStyle w:val="Emphasis"/>
          <w:rFonts w:eastAsia="" w:ascii="Garamond" w:hAnsi="Garamond" w:eastAsiaTheme="majorEastAsia"/>
          <w:color w:val="000000"/>
        </w:rPr>
        <w:t xml:space="preserve"> </w:t>
      </w:r>
      <w:r>
        <w:rPr>
          <w:rFonts w:ascii="Garamond" w:hAnsi="Garamond"/>
          <w:color w:val="000000"/>
        </w:rPr>
        <w:t>l’“amico” non è un cane, ma una tenia che vive nell’intestino umano e che è in grado di dedicargli poemi dall’interno, acquisendo un ruolo narrativo paradossalmente fondamentale. Lo stesso accade con la gallina censora di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Censura in Bitinia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Fonts w:ascii="Garamond" w:hAnsi="Garamond"/>
          <w:color w:val="000000"/>
        </w:rPr>
        <w:t xml:space="preserve">o con il </w:t>
      </w:r>
      <w:r>
        <w:rPr>
          <w:rFonts w:ascii="Garamond" w:hAnsi="Garamond"/>
          <w:i/>
          <w:iCs/>
          <w:color w:val="000000"/>
        </w:rPr>
        <w:t>vilmy</w:t>
      </w:r>
      <w:r>
        <w:rPr>
          <w:rFonts w:ascii="Garamond" w:hAnsi="Garamond"/>
          <w:color w:val="000000"/>
        </w:rPr>
        <w:t>, pseudo-gatto dal latte magico protagonista dell’</w:t>
      </w:r>
      <w:r>
        <w:rPr>
          <w:rFonts w:ascii="Garamond" w:hAnsi="Garamond"/>
          <w:color w:val="000000"/>
          <w:shd w:fill="FFFF00" w:val="clear"/>
        </w:rPr>
        <w:t>omonimo racconto di</w:t>
      </w:r>
      <w:r>
        <w:rPr>
          <w:rStyle w:val="apple-converted-space"/>
          <w:rFonts w:eastAsia="" w:ascii="Garamond" w:hAnsi="Garamond" w:eastAsiaTheme="majorEastAsia"/>
          <w:color w:val="000000"/>
          <w:shd w:fill="FFFF00" w:val="clear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Vizio di forma</w:t>
      </w:r>
      <w:r>
        <w:rPr>
          <w:rFonts w:ascii="Garamond" w:hAnsi="Garamond"/>
          <w:color w:val="000000"/>
        </w:rPr>
        <w:t>. Al contrario, non sorprende che l’uomo diventi oggetto di progettazione tecnologica ne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Il sesto giorno</w:t>
      </w:r>
      <w:r>
        <w:rPr>
          <w:rFonts w:ascii="Garamond" w:hAnsi="Garamond"/>
          <w:color w:val="000000"/>
        </w:rPr>
        <w:t xml:space="preserve">, dove viene descritto come una “bestia verticale”, non troppo lontana dalla scimmia o dall’orso. In questi testi l’uomo possiede un’agentività e un ruolo narrativo identici a quelli degli altri elementi dell’ecosistema, che siano animali, oggetti o macchine, come </w:t>
      </w:r>
      <w:r>
        <w:rPr>
          <w:rFonts w:ascii="Garamond" w:hAnsi="Garamond"/>
          <w:color w:val="000000"/>
          <w:shd w:fill="FFFF00" w:val="clear"/>
        </w:rPr>
        <w:t>il sigaro</w:t>
      </w:r>
      <w:r>
        <w:rPr>
          <w:rStyle w:val="apple-converted-space"/>
          <w:rFonts w:eastAsia="" w:ascii="Garamond" w:hAnsi="Garamond" w:eastAsiaTheme="majorEastAsia"/>
          <w:color w:val="000000"/>
          <w:shd w:fill="FFFF00" w:val="clear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knall</w:t>
      </w:r>
      <w:r>
        <w:rPr>
          <w:rStyle w:val="apple-converted-space"/>
          <w:rFonts w:eastAsia="" w:ascii="Garamond" w:hAnsi="Garamond" w:eastAsiaTheme="majorEastAsia"/>
          <w:color w:val="000000"/>
          <w:shd w:fill="FFFF00" w:val="clear"/>
        </w:rPr>
        <w:t> </w:t>
      </w:r>
      <w:r>
        <w:rPr>
          <w:rFonts w:ascii="Garamond" w:hAnsi="Garamond"/>
          <w:color w:val="000000"/>
          <w:shd w:fill="FFFF00" w:val="clear"/>
        </w:rPr>
        <w:t>di</w:t>
      </w:r>
      <w:r>
        <w:rPr>
          <w:rStyle w:val="apple-converted-space"/>
          <w:rFonts w:eastAsia="" w:ascii="Garamond" w:hAnsi="Garamond" w:eastAsiaTheme="majorEastAsia"/>
          <w:color w:val="000000"/>
          <w:shd w:fill="FFFF00" w:val="clear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Vizio di forma</w:t>
      </w:r>
      <w:r>
        <w:rPr>
          <w:rFonts w:ascii="Garamond" w:hAnsi="Garamond"/>
          <w:color w:val="000000"/>
        </w:rPr>
        <w:t>, capace di uccidere senza spargimento di sangue.</w:t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L’alienazione dei personaggi e la rarefazione di un ambiente ormai indeterminato, perché sottomesso al comune destino della sparizione, sono rese attraverso una scrittura piana, apatica e, ancora più spesso, l’effetto di straniamento è affidato al discorso diretto e al dialogo. Gli scambi di battute tra personaggi privi di caratterizzazione psicologica hanno il duplice scopo di dimostrare una tesi e di provocare nel lettore una distanza critica. Se nella fiaba il dialogo tende a una sintesi morale fondata su un’alternanza tra bene e male, nella distopia il “buono” è colui che riconosce la presenza del nemico senza riuscire a sconfiggerlo, limitandosi a osservarlo con distacco. Per questo nella distopia manca l’apoteosi finale, il classico “vissero felici e contenti”. D’altra parte, nemmeno nella fiaba l’</w:t>
      </w:r>
      <w:r>
        <w:rPr>
          <w:rFonts w:ascii="Garamond" w:hAnsi="Garamond"/>
          <w:i/>
          <w:iCs/>
          <w:color w:val="000000"/>
        </w:rPr>
        <w:t xml:space="preserve">happy ending </w:t>
      </w:r>
      <w:r>
        <w:rPr>
          <w:rFonts w:ascii="Garamond" w:hAnsi="Garamond"/>
          <w:color w:val="000000"/>
        </w:rPr>
        <w:t>è obbligatorio: nelle fiabe letterarie la fine tragica è più che legittima, così come lo è la violenza, elemento ricorrente. Il «continuo informe schizzar di sangue dei crudeli Grimm»</w:t>
      </w:r>
      <w:r>
        <w:rPr>
          <w:rStyle w:val="FootnoteReference"/>
          <w:rFonts w:ascii="Garamond" w:hAnsi="Garamond"/>
        </w:rPr>
        <w:footnoteReference w:id="9"/>
      </w:r>
      <w:r>
        <w:rPr>
          <w:rFonts w:ascii="Garamond" w:hAnsi="Garamond"/>
        </w:rPr>
        <w:t xml:space="preserve"> </w:t>
      </w:r>
      <w:r>
        <w:rPr>
          <w:rFonts w:ascii="Garamond" w:hAnsi="Garamond"/>
          <w:color w:val="000000"/>
        </w:rPr>
        <w:t xml:space="preserve"> di cui parla Calvino è qui riproposto in una forma asettica. Come i bambini accolgono con naturalezza la violenza delle fiabe, così i personaggi delle eco-distopie accettano con inconsapevolezza la loro condizione catastrofica. Basti pensare alla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bella addormentata</w:t>
      </w:r>
      <w:r>
        <w:rPr>
          <w:rStyle w:val="apple-converted-space"/>
          <w:rFonts w:eastAsia="" w:ascii="Garamond" w:hAnsi="Garamond" w:eastAsiaTheme="majorEastAsia"/>
          <w:color w:val="000000"/>
          <w:shd w:fill="FFFF00" w:val="clear"/>
        </w:rPr>
        <w:t> </w:t>
      </w:r>
      <w:r>
        <w:rPr>
          <w:rFonts w:ascii="Garamond" w:hAnsi="Garamond"/>
          <w:color w:val="000000"/>
          <w:shd w:fill="FFFF00" w:val="clear"/>
        </w:rPr>
        <w:t>di Levi</w:t>
      </w:r>
      <w:r>
        <w:rPr>
          <w:rFonts w:ascii="Garamond" w:hAnsi="Garamond"/>
          <w:color w:val="000000"/>
        </w:rPr>
        <w:t>, che definisce gli stupri subiti durante il congelamento una semplice «seccatura», «una noia da non dirsi»</w:t>
      </w:r>
      <w:r>
        <w:rPr>
          <w:rStyle w:val="FootnoteReference"/>
          <w:rFonts w:ascii="Garamond" w:hAnsi="Garamond"/>
        </w:rPr>
        <w:footnoteReference w:id="10"/>
      </w:r>
      <w:r>
        <w:rPr>
          <w:rFonts w:ascii="Garamond" w:hAnsi="Garamond"/>
          <w:color w:val="000000"/>
        </w:rPr>
        <w:t>, o alla segretaria desiderata dal</w:t>
      </w:r>
      <w:r>
        <w:rPr>
          <w:rStyle w:val="apple-converted-space"/>
          <w:rFonts w:eastAsia="" w:ascii="Garamond" w:hAnsi="Garamond" w:eastAsiaTheme="majorEastAsia"/>
          <w:color w:val="000000"/>
        </w:rPr>
        <w:t> </w:t>
      </w:r>
      <w:r>
        <w:rPr>
          <w:rStyle w:val="Emphasis"/>
          <w:rFonts w:eastAsia="" w:ascii="Garamond" w:hAnsi="Garamond" w:eastAsiaTheme="majorEastAsia"/>
          <w:color w:val="000000"/>
          <w:shd w:fill="FFFF00" w:val="clear"/>
        </w:rPr>
        <w:t>Versificatore</w:t>
      </w:r>
      <w:r>
        <w:rPr>
          <w:rFonts w:ascii="Garamond" w:hAnsi="Garamond"/>
          <w:color w:val="000000"/>
        </w:rPr>
        <w:t>, ridotta a oggetto da una macchina che esercita su di lei un potere mostruoso.</w:t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In conclusione, tutti questi elementi – l’indeterminatezza di tempo e luogo, la scarsa caratterizzazione dei personaggi, ridotti a funzioni narrative, e la complessa relazione tra uomo, animale e oggetto – mostrano come tratti tipici della fiaba possano essere riconosciuti anche in alcune narrazioni distopiche a tema ecologico.</w:t>
      </w:r>
    </w:p>
    <w:p>
      <w:pPr>
        <w:pStyle w:val="Normal"/>
        <w:spacing w:lineRule="auto" w:line="276" w:before="0" w:after="0"/>
        <w:jc w:val="both"/>
        <w:rPr>
          <w:rFonts w:ascii="Garamond" w:hAnsi="Garamond"/>
        </w:rPr>
      </w:pPr>
      <w:r>
        <w:rPr>
          <w:rFonts w:ascii="Garamond" w:hAnsi="Garamond"/>
        </w:rPr>
      </w:r>
    </w:p>
    <w:sectPr>
      <w:footnotePr>
        <w:numFmt w:val="decimal"/>
      </w:footnote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Garamond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>
          <w:rFonts w:ascii="Garamond" w:hAnsi="Garamond" w:cs="Times New Roman"/>
        </w:rPr>
      </w:pPr>
      <w:r>
        <w:rPr>
          <w:rStyle w:val="FootnoteCharacters"/>
        </w:rPr>
        <w:footnoteRef/>
      </w:r>
      <w:r>
        <w:rPr>
          <w:rFonts w:cs="Times New Roman" w:ascii="Garamond" w:hAnsi="Garamond"/>
        </w:rPr>
        <w:t xml:space="preserve"> </w:t>
      </w:r>
      <w:r>
        <w:rPr>
          <w:rFonts w:cs="Times New Roman" w:ascii="Garamond" w:hAnsi="Garamond"/>
        </w:rPr>
        <w:t xml:space="preserve">Francesco Cassata definisce </w:t>
      </w:r>
      <w:r>
        <w:rPr>
          <w:rFonts w:cs="Times New Roman" w:ascii="Garamond" w:hAnsi="Garamond"/>
          <w:i/>
          <w:iCs/>
        </w:rPr>
        <w:t xml:space="preserve">Vizio di forma </w:t>
      </w:r>
      <w:r>
        <w:rPr>
          <w:rFonts w:cs="Times New Roman" w:ascii="Garamond" w:hAnsi="Garamond"/>
        </w:rPr>
        <w:t xml:space="preserve">un «libro ecologico», molto più di </w:t>
      </w:r>
      <w:r>
        <w:rPr>
          <w:rFonts w:cs="Times New Roman" w:ascii="Garamond" w:hAnsi="Garamond"/>
          <w:i/>
          <w:iCs/>
        </w:rPr>
        <w:t>Storie naturali</w:t>
      </w:r>
      <w:r>
        <w:rPr>
          <w:rFonts w:cs="Times New Roman" w:ascii="Garamond" w:hAnsi="Garamond"/>
        </w:rPr>
        <w:t xml:space="preserve">, cf. F. Cassata, </w:t>
      </w:r>
      <w:r>
        <w:rPr>
          <w:rFonts w:cs="Times New Roman" w:ascii="Garamond" w:hAnsi="Garamond"/>
          <w:i/>
          <w:iCs/>
        </w:rPr>
        <w:t>Fantascienza?</w:t>
      </w:r>
      <w:r>
        <w:rPr>
          <w:rFonts w:cs="Times New Roman" w:ascii="Garamond" w:hAnsi="Garamond"/>
        </w:rPr>
        <w:t xml:space="preserve">, Torino, Einaudi, 2016, p. 149 e sgg. </w:t>
      </w:r>
    </w:p>
  </w:footnote>
  <w:footnote w:id="3">
    <w:p>
      <w:pPr>
        <w:pStyle w:val="Normal"/>
        <w:spacing w:lineRule="auto" w:line="240" w:before="0" w:after="0"/>
        <w:jc w:val="both"/>
        <w:rPr>
          <w:rFonts w:ascii="Garamond" w:hAnsi="Garamond" w:cs="Times New Roman"/>
          <w:kern w:val="0"/>
          <w:sz w:val="20"/>
          <w:szCs w:val="20"/>
        </w:rPr>
      </w:pPr>
      <w:r>
        <w:rPr>
          <w:rStyle w:val="FootnoteCharacters"/>
        </w:rPr>
        <w:footnoteRef/>
      </w:r>
      <w:r>
        <w:rPr>
          <w:rFonts w:cs="Times New Roman" w:ascii="Garamond" w:hAnsi="Garamond"/>
          <w:sz w:val="20"/>
          <w:szCs w:val="20"/>
        </w:rPr>
        <w:t xml:space="preserve"> </w:t>
      </w:r>
      <w:r>
        <w:rPr>
          <w:rFonts w:cs="Times New Roman" w:ascii="Garamond" w:hAnsi="Garamond"/>
          <w:kern w:val="0"/>
          <w:sz w:val="20"/>
          <w:szCs w:val="20"/>
        </w:rPr>
        <w:t xml:space="preserve">I. Calvino a P. Levi, 22 novembre 1961, in I. Calvino, </w:t>
      </w:r>
      <w:r>
        <w:rPr>
          <w:rFonts w:cs="Times New Roman" w:ascii="Garamond" w:hAnsi="Garamond"/>
          <w:i/>
          <w:iCs/>
          <w:kern w:val="0"/>
          <w:sz w:val="20"/>
          <w:szCs w:val="20"/>
        </w:rPr>
        <w:t>Lettere 1940-1985</w:t>
      </w:r>
      <w:r>
        <w:rPr>
          <w:rFonts w:cs="Times New Roman" w:ascii="Garamond" w:hAnsi="Garamond"/>
          <w:kern w:val="0"/>
          <w:sz w:val="20"/>
          <w:szCs w:val="20"/>
        </w:rPr>
        <w:t>, a cura di L. Baranelli, Milano, Mondadori, 2000, p. 695-696: 695.</w:t>
      </w:r>
    </w:p>
  </w:footnote>
  <w:footnote w:id="4">
    <w:p>
      <w:pPr>
        <w:pStyle w:val="FootnoteText"/>
        <w:jc w:val="both"/>
        <w:rPr>
          <w:rFonts w:ascii="Garamond" w:hAnsi="Garamond" w:cs="Times New Roman"/>
        </w:rPr>
      </w:pPr>
      <w:r>
        <w:rPr>
          <w:rStyle w:val="FootnoteCharacters"/>
        </w:rPr>
        <w:footnoteRef/>
      </w:r>
      <w:r>
        <w:rPr>
          <w:rFonts w:cs="Times New Roman" w:ascii="Garamond" w:hAnsi="Garamond"/>
        </w:rPr>
        <w:t xml:space="preserve"> </w:t>
      </w:r>
      <w:r>
        <w:rPr>
          <w:rFonts w:cs="Times New Roman" w:ascii="Garamond" w:hAnsi="Garamond"/>
        </w:rPr>
        <w:t xml:space="preserve">Cf. M. Malvestio, «Esplorazioni nel verde oscuro. Tre petrotesti leviani», </w:t>
      </w:r>
      <w:r>
        <w:rPr>
          <w:rFonts w:cs="Times New Roman" w:ascii="Garamond" w:hAnsi="Garamond"/>
          <w:i/>
          <w:iCs/>
        </w:rPr>
        <w:t>Enthymema</w:t>
      </w:r>
      <w:r>
        <w:rPr>
          <w:rFonts w:cs="Times New Roman" w:ascii="Garamond" w:hAnsi="Garamond"/>
        </w:rPr>
        <w:t>, n° 33, 2023, p. 44-58.</w:t>
      </w:r>
    </w:p>
  </w:footnote>
  <w:footnote w:id="5">
    <w:p>
      <w:pPr>
        <w:pStyle w:val="Normal"/>
        <w:spacing w:lineRule="auto" w:line="240" w:before="0" w:after="0"/>
        <w:jc w:val="both"/>
        <w:rPr>
          <w:rFonts w:ascii="Garamond" w:hAnsi="Garamond" w:cs="Times New Roman"/>
          <w:sz w:val="20"/>
          <w:szCs w:val="20"/>
        </w:rPr>
      </w:pPr>
      <w:r>
        <w:rPr>
          <w:rStyle w:val="FootnoteCharacters"/>
        </w:rPr>
        <w:footnoteRef/>
      </w:r>
      <w:r>
        <w:rPr>
          <w:rFonts w:cs="Times New Roman" w:ascii="Garamond" w:hAnsi="Garamond"/>
          <w:sz w:val="20"/>
          <w:szCs w:val="20"/>
        </w:rPr>
        <w:t xml:space="preserve"> </w:t>
      </w:r>
      <w:r>
        <w:rPr>
          <w:rFonts w:cs="Times New Roman" w:ascii="Garamond" w:hAnsi="Garamond"/>
          <w:sz w:val="20"/>
          <w:szCs w:val="20"/>
        </w:rPr>
        <w:t xml:space="preserve">E. Puglia, «Per un’ecologia della fiaba», </w:t>
      </w:r>
      <w:r>
        <w:rPr>
          <w:rFonts w:cs="Times New Roman" w:ascii="Garamond" w:hAnsi="Garamond"/>
          <w:i/>
          <w:iCs/>
          <w:sz w:val="20"/>
          <w:szCs w:val="20"/>
        </w:rPr>
        <w:t>Italogramma</w:t>
      </w:r>
      <w:r>
        <w:rPr>
          <w:rFonts w:cs="Times New Roman" w:ascii="Garamond" w:hAnsi="Garamond"/>
          <w:sz w:val="20"/>
          <w:szCs w:val="20"/>
        </w:rPr>
        <w:t>, n</w:t>
      </w:r>
      <w:r>
        <w:rPr>
          <w:rFonts w:cs="Times New Roman" w:ascii="Garamond" w:hAnsi="Garamond"/>
          <w:sz w:val="20"/>
          <w:szCs w:val="20"/>
          <w:vertAlign w:val="superscript"/>
        </w:rPr>
        <w:t>°</w:t>
      </w:r>
      <w:r>
        <w:rPr>
          <w:rFonts w:cs="Times New Roman" w:ascii="Garamond" w:hAnsi="Garamond"/>
          <w:sz w:val="20"/>
          <w:szCs w:val="20"/>
        </w:rPr>
        <w:t xml:space="preserve"> 16, 2018, p. 1-13: 4.</w:t>
      </w:r>
    </w:p>
  </w:footnote>
  <w:footnote w:id="6">
    <w:p>
      <w:pPr>
        <w:pStyle w:val="FootnoteText"/>
        <w:jc w:val="both"/>
        <w:rPr>
          <w:rFonts w:ascii="Garamond" w:hAnsi="Garamond" w:cs="Times New Roman"/>
        </w:rPr>
      </w:pPr>
      <w:r>
        <w:rPr>
          <w:rStyle w:val="FootnoteCharacters"/>
        </w:rPr>
        <w:footnoteRef/>
      </w:r>
      <w:r>
        <w:rPr>
          <w:rFonts w:cs="Times New Roman" w:ascii="Garamond" w:hAnsi="Garamond"/>
        </w:rPr>
        <w:t xml:space="preserve"> </w:t>
      </w:r>
      <w:r>
        <w:rPr>
          <w:rFonts w:cs="Times New Roman" w:ascii="Garamond" w:hAnsi="Garamond"/>
        </w:rPr>
        <w:t xml:space="preserve">F. Muzzioli, </w:t>
      </w:r>
      <w:r>
        <w:rPr>
          <w:rFonts w:ascii="Garamond" w:hAnsi="Garamond"/>
          <w:i/>
          <w:iCs/>
        </w:rPr>
        <w:t>Scritture della catastrofe</w:t>
      </w:r>
      <w:r>
        <w:rPr>
          <w:rFonts w:ascii="Garamond" w:hAnsi="Garamond"/>
          <w:i/>
          <w:iCs/>
          <w14:ligatures w14:val="none"/>
        </w:rPr>
        <w:t>. Istruzioni e ragguagli per un viaggio nelle distopie</w:t>
      </w:r>
      <w:r>
        <w:rPr>
          <w:rFonts w:ascii="Garamond" w:hAnsi="Garamond"/>
          <w14:ligatures w14:val="none"/>
        </w:rPr>
        <w:t>, Roma, Meltemi, 2021</w:t>
      </w:r>
      <w:r>
        <w:rPr>
          <w:rFonts w:ascii="Garamond" w:hAnsi="Garamond"/>
        </w:rPr>
        <w:t xml:space="preserve">, </w:t>
      </w:r>
      <w:r>
        <w:rPr>
          <w:rFonts w:cs="Times New Roman" w:ascii="Garamond" w:hAnsi="Garamond"/>
        </w:rPr>
        <w:t>p. 225.</w:t>
      </w:r>
    </w:p>
  </w:footnote>
  <w:footnote w:id="7">
    <w:p>
      <w:pPr>
        <w:pStyle w:val="FootnoteText"/>
        <w:jc w:val="both"/>
        <w:rPr>
          <w:rFonts w:ascii="Garamond" w:hAnsi="Garamond" w:cs="Times New Roman"/>
        </w:rPr>
      </w:pPr>
      <w:r>
        <w:rPr>
          <w:rStyle w:val="FootnoteCharacters"/>
        </w:rPr>
        <w:footnoteRef/>
      </w:r>
      <w:r>
        <w:rPr>
          <w:rFonts w:cs="Times New Roman" w:ascii="Garamond" w:hAnsi="Garamond"/>
        </w:rPr>
        <w:t xml:space="preserve"> </w:t>
      </w:r>
      <w:r>
        <w:rPr>
          <w:rFonts w:cs="Times New Roman" w:ascii="Garamond" w:hAnsi="Garamond"/>
        </w:rPr>
        <w:t>Ivi, p. 220.</w:t>
      </w:r>
    </w:p>
  </w:footnote>
  <w:footnote w:id="8">
    <w:p>
      <w:pPr>
        <w:pStyle w:val="NormalWeb"/>
        <w:spacing w:beforeAutospacing="0" w:before="0" w:afterAutospacing="0" w:after="0"/>
        <w:jc w:val="both"/>
        <w:rPr>
          <w:rFonts w:ascii="Garamond" w:hAnsi="Garamond"/>
          <w:sz w:val="20"/>
          <w:szCs w:val="20"/>
        </w:rPr>
      </w:pPr>
      <w:r>
        <w:rPr>
          <w:rStyle w:val="FootnoteCharacters"/>
        </w:rPr>
        <w:footnoteRef/>
      </w:r>
      <w:r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 xml:space="preserve">P. Volponi, </w:t>
      </w:r>
      <w:r>
        <w:rPr>
          <w:rFonts w:ascii="Garamond" w:hAnsi="Garamond"/>
          <w:i/>
          <w:iCs/>
          <w:sz w:val="20"/>
          <w:szCs w:val="20"/>
        </w:rPr>
        <w:t>Il pianeta irritabile</w:t>
      </w:r>
      <w:r>
        <w:rPr>
          <w:rFonts w:ascii="Garamond" w:hAnsi="Garamond"/>
          <w:sz w:val="20"/>
          <w:szCs w:val="20"/>
        </w:rPr>
        <w:t>, Torino, Einaudi, 1978, p. 142.</w:t>
      </w:r>
    </w:p>
  </w:footnote>
  <w:footnote w:id="9">
    <w:p>
      <w:pPr>
        <w:pStyle w:val="NormalWeb"/>
        <w:spacing w:beforeAutospacing="0" w:before="0" w:afterAutospacing="0" w:after="0"/>
        <w:jc w:val="both"/>
        <w:rPr>
          <w:rFonts w:ascii="Garamond" w:hAnsi="Garamond"/>
          <w:sz w:val="20"/>
          <w:szCs w:val="20"/>
        </w:rPr>
      </w:pPr>
      <w:r>
        <w:rPr>
          <w:rStyle w:val="FootnoteCharacters"/>
        </w:rPr>
        <w:footnoteRef/>
      </w:r>
      <w:r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 xml:space="preserve">I. Calvino, «Introduzione», in </w:t>
      </w:r>
      <w:r>
        <w:rPr>
          <w:rFonts w:ascii="Garamond" w:hAnsi="Garamond"/>
          <w:i/>
          <w:iCs/>
          <w:sz w:val="20"/>
          <w:szCs w:val="20"/>
        </w:rPr>
        <w:t>Fiabe italiane</w:t>
      </w:r>
      <w:r>
        <w:rPr>
          <w:rFonts w:ascii="Garamond" w:hAnsi="Garamond"/>
          <w:sz w:val="20"/>
          <w:szCs w:val="20"/>
        </w:rPr>
        <w:t>, prefazione di M. Lavagetto, Milano, Mondadori, 1993, p. 47.</w:t>
      </w:r>
    </w:p>
  </w:footnote>
  <w:footnote w:id="10">
    <w:p>
      <w:pPr>
        <w:pStyle w:val="FootnoteText"/>
        <w:jc w:val="both"/>
        <w:rPr>
          <w:rFonts w:ascii="Garamond" w:hAnsi="Garamond" w:cs="Times New Roman"/>
        </w:rPr>
      </w:pPr>
      <w:r>
        <w:rPr>
          <w:rStyle w:val="FootnoteCharacters"/>
        </w:rPr>
        <w:footnoteRef/>
      </w:r>
      <w:r>
        <w:rPr>
          <w:rFonts w:cs="Times New Roman" w:ascii="Garamond" w:hAnsi="Garamond"/>
        </w:rPr>
        <w:t xml:space="preserve"> </w:t>
      </w:r>
      <w:r>
        <w:rPr>
          <w:rFonts w:cs="Times New Roman" w:ascii="Garamond" w:hAnsi="Garamond"/>
        </w:rPr>
        <w:t xml:space="preserve">P. Levi, </w:t>
      </w:r>
      <w:r>
        <w:rPr>
          <w:rFonts w:cs="Times New Roman" w:ascii="Garamond" w:hAnsi="Garamond"/>
          <w:i/>
          <w:iCs/>
        </w:rPr>
        <w:t>Storie naturali</w:t>
      </w:r>
      <w:r>
        <w:rPr>
          <w:rFonts w:cs="Times New Roman" w:ascii="Garamond" w:hAnsi="Garamond"/>
        </w:rPr>
        <w:t>, p. 133.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01481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autoRedefine/>
    <w:uiPriority w:val="9"/>
    <w:unhideWhenUsed/>
    <w:qFormat/>
    <w:rsid w:val="00b7286d"/>
    <w:pPr>
      <w:keepNext w:val="true"/>
      <w:keepLines/>
      <w:numPr>
        <w:ilvl w:val="0"/>
        <w:numId w:val="1"/>
      </w:numPr>
      <w:spacing w:lineRule="auto" w:line="259" w:before="160" w:after="80"/>
      <w:ind w:start="1080"/>
      <w:outlineLvl w:val="1"/>
    </w:pPr>
    <w:rPr>
      <w:rFonts w:ascii="Garamond" w:hAnsi="Garamond" w:eastAsia="" w:cs="Times New Roman (Titoli CS)" w:eastAsiaTheme="majorEastAsia"/>
      <w:b/>
      <w:smallCaps/>
      <w:color w:themeColor="text1" w:val="000000"/>
      <w:szCs w:val="32"/>
    </w:rPr>
  </w:style>
  <w:style w:type="paragraph" w:styleId="Heading3">
    <w:name w:val="heading 3"/>
    <w:basedOn w:val="Normal"/>
    <w:next w:val="Normal"/>
    <w:link w:val="Titolo3Carattere"/>
    <w:autoRedefine/>
    <w:uiPriority w:val="9"/>
    <w:unhideWhenUsed/>
    <w:qFormat/>
    <w:rsid w:val="00b7286d"/>
    <w:pPr>
      <w:keepNext w:val="true"/>
      <w:keepLines/>
      <w:spacing w:lineRule="auto" w:line="259" w:before="160" w:after="80"/>
      <w:jc w:val="both"/>
      <w:outlineLvl w:val="2"/>
    </w:pPr>
    <w:rPr>
      <w:rFonts w:ascii="Garamond" w:hAnsi="Garamond" w:eastAsia="" w:cs="" w:cstheme="majorBidi" w:eastAsiaTheme="majorEastAsia"/>
      <w:b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01481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01481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01481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01481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01481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01481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2Carattere" w:customStyle="1">
    <w:name w:val="Titolo 2 Carattere"/>
    <w:basedOn w:val="DefaultParagraphFont"/>
    <w:link w:val="Heading2"/>
    <w:uiPriority w:val="9"/>
    <w:qFormat/>
    <w:rsid w:val="00b7286d"/>
    <w:rPr>
      <w:rFonts w:ascii="Garamond" w:hAnsi="Garamond" w:eastAsia="" w:cs="Times New Roman (Titoli CS)" w:eastAsiaTheme="majorEastAsia"/>
      <w:b/>
      <w:smallCaps/>
      <w:color w:themeColor="text1" w:val="000000"/>
      <w:szCs w:val="32"/>
    </w:rPr>
  </w:style>
  <w:style w:type="character" w:styleId="Titolo3Carattere" w:customStyle="1">
    <w:name w:val="Titolo 3 Carattere"/>
    <w:basedOn w:val="DefaultParagraphFont"/>
    <w:link w:val="Heading3"/>
    <w:uiPriority w:val="9"/>
    <w:qFormat/>
    <w:rsid w:val="00b7286d"/>
    <w:rPr>
      <w:rFonts w:ascii="Garamond" w:hAnsi="Garamond" w:eastAsia="" w:cs="" w:cstheme="majorBidi" w:eastAsiaTheme="majorEastAsia"/>
      <w:b/>
      <w:sz w:val="28"/>
      <w:szCs w:val="28"/>
    </w:rPr>
  </w:style>
  <w:style w:type="character" w:styleId="Titolo1Carattere" w:customStyle="1">
    <w:name w:val="Titolo 1 Carattere"/>
    <w:basedOn w:val="DefaultParagraphFont"/>
    <w:link w:val="Heading1"/>
    <w:uiPriority w:val="9"/>
    <w:qFormat/>
    <w:rsid w:val="0001481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4Carattere" w:customStyle="1">
    <w:name w:val="Titolo 4 Carattere"/>
    <w:basedOn w:val="DefaultParagraphFont"/>
    <w:link w:val="Heading4"/>
    <w:uiPriority w:val="9"/>
    <w:semiHidden/>
    <w:qFormat/>
    <w:rsid w:val="0001481b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link w:val="Heading5"/>
    <w:uiPriority w:val="9"/>
    <w:semiHidden/>
    <w:qFormat/>
    <w:rsid w:val="0001481b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link w:val="Heading6"/>
    <w:uiPriority w:val="9"/>
    <w:semiHidden/>
    <w:qFormat/>
    <w:rsid w:val="0001481b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link w:val="Heading7"/>
    <w:uiPriority w:val="9"/>
    <w:semiHidden/>
    <w:qFormat/>
    <w:rsid w:val="0001481b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link w:val="Heading8"/>
    <w:uiPriority w:val="9"/>
    <w:semiHidden/>
    <w:qFormat/>
    <w:rsid w:val="0001481b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link w:val="Heading9"/>
    <w:uiPriority w:val="9"/>
    <w:semiHidden/>
    <w:qFormat/>
    <w:rsid w:val="0001481b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link w:val="Title"/>
    <w:uiPriority w:val="10"/>
    <w:qFormat/>
    <w:rsid w:val="0001481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link w:val="Subtitle"/>
    <w:uiPriority w:val="11"/>
    <w:qFormat/>
    <w:rsid w:val="0001481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01481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1481b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01481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1481b"/>
    <w:rPr>
      <w:b/>
      <w:bCs/>
      <w:smallCaps/>
      <w:color w:themeColor="accent1" w:themeShade="bf" w:val="0F4761"/>
      <w:spacing w:val="5"/>
    </w:rPr>
  </w:style>
  <w:style w:type="character" w:styleId="apple-converted-space" w:customStyle="1">
    <w:name w:val="apple-converted-space"/>
    <w:basedOn w:val="DefaultParagraphFont"/>
    <w:qFormat/>
    <w:rsid w:val="0001481b"/>
    <w:rPr/>
  </w:style>
  <w:style w:type="character" w:styleId="Emphasis">
    <w:name w:val="Emphasis"/>
    <w:basedOn w:val="DefaultParagraphFont"/>
    <w:uiPriority w:val="20"/>
    <w:qFormat/>
    <w:rsid w:val="0001481b"/>
    <w:rPr>
      <w:i/>
      <w:iCs/>
    </w:rPr>
  </w:style>
  <w:style w:type="character" w:styleId="TestonotaapidipaginaCarattere" w:customStyle="1">
    <w:name w:val="Testo nota a piè di pagina Carattere"/>
    <w:basedOn w:val="DefaultParagraphFont"/>
    <w:link w:val="FootnoteText"/>
    <w:uiPriority w:val="99"/>
    <w:qFormat/>
    <w:rsid w:val="0001481b"/>
    <w:rPr>
      <w:sz w:val="20"/>
      <w:szCs w:val="20"/>
    </w:rPr>
  </w:style>
  <w:style w:type="character" w:styleId="FootnoteCharactersuser">
    <w:name w:val="Footnote Characters (user)"/>
    <w:uiPriority w:val="99"/>
    <w:semiHidden/>
    <w:unhideWhenUsed/>
    <w:qFormat/>
    <w:rsid w:val="0001481b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/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01481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01481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01481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1481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014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unhideWhenUsed/>
    <w:qFormat/>
    <w:rsid w:val="0001481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it-IT"/>
      <w14:ligatures w14:val="none"/>
    </w:rPr>
  </w:style>
  <w:style w:type="paragraph" w:styleId="FootnoteText">
    <w:name w:val="footnote text"/>
    <w:basedOn w:val="Normal"/>
    <w:link w:val="TestonotaapidipaginaCarattere"/>
    <w:uiPriority w:val="99"/>
    <w:unhideWhenUsed/>
    <w:rsid w:val="0001481b"/>
    <w:pPr>
      <w:spacing w:lineRule="auto" w:line="240" w:before="0" w:after="0"/>
    </w:pPr>
    <w:rPr>
      <w:sz w:val="20"/>
      <w:szCs w:val="20"/>
    </w:rPr>
  </w:style>
  <w:style w:type="paragraph" w:styleId="Default" w:customStyle="1">
    <w:name w:val="Default"/>
    <w:qFormat/>
    <w:rsid w:val="00712580"/>
    <w:pPr>
      <w:widowControl/>
      <w:suppressAutoHyphens w:val="true"/>
      <w:bidi w:val="0"/>
      <w:spacing w:lineRule="auto" w:line="240" w:before="0" w:after="0"/>
      <w:jc w:val="start"/>
    </w:pPr>
    <w:rPr>
      <w:rFonts w:ascii="Tahoma" w:hAnsi="Tahoma" w:eastAsia="Aptos" w:cs="Tahoma"/>
      <w:color w:val="000000"/>
      <w:kern w:val="0"/>
      <w:sz w:val="24"/>
      <w:szCs w:val="24"/>
      <w:lang w:val="it-IT" w:eastAsia="en-US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/pages/mappa.html?filter=Titolo&amp;value=Il+pianeta+irritabile" TargetMode="External"/><Relationship Id="rId3" Type="http://schemas.openxmlformats.org/officeDocument/2006/relationships/hyperlink" Target="/pages/mappa.html?filter=Autore&amp;value=Levi%2C+Primo" TargetMode="External"/><Relationship Id="rId4" Type="http://schemas.openxmlformats.org/officeDocument/2006/relationships/hyperlink" Target="/pages/mappa.html?filter=Temi+Ecologici&amp;value=Non+umano" TargetMode="External"/><Relationship Id="rId5" Type="http://schemas.openxmlformats.org/officeDocument/2006/relationships/hyperlink" Target="/pages/mappa.html?filter=Titolo&amp;value=Il+pianeta+irritabile" TargetMode="External"/><Relationship Id="rId6" Type="http://schemas.openxmlformats.org/officeDocument/2006/relationships/hyperlink" Target="/pages/mappa.html?filter=Titolo&amp;value=Pieno+impiego" TargetMode="External"/><Relationship Id="rId7" Type="http://schemas.openxmlformats.org/officeDocument/2006/relationships/hyperlink" Target="/pages/mappa.html?filter=Titolo&amp;value=Recuenco+-+La+nutrice" TargetMode="External"/><Relationship Id="rId8" Type="http://schemas.openxmlformats.org/officeDocument/2006/relationships/hyperlink" Target="/pages/mappa.html?filter=Titolo&amp;value=Il+pianeta+irritabile" TargetMode="External"/><Relationship Id="rId9" Type="http://schemas.openxmlformats.org/officeDocument/2006/relationships/hyperlink" Target="/pages/mappa.html?filter=Titolo&amp;value=Il+pianeta+irritabile" TargetMode="External"/><Relationship Id="rId10" Type="http://schemas.openxmlformats.org/officeDocument/2006/relationships/footnotes" Target="footnotes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LibreOffice/25.8.3.2$Windows_X86_64 LibreOffice_project/8ca8d55c161d602844f5428fa4b58097424e324e</Application>
  <AppVersion>15.0000</AppVersion>
  <Pages>3</Pages>
  <Words>1829</Words>
  <Characters>10528</Characters>
  <CharactersWithSpaces>12362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2026-01-17T12:50:00Z</dcterms:created>
  <dc:creator>Lavinia Torti</dc:creator>
  <dc:description/>
  <dc:language>en-GB</dc:language>
  <cp:lastModifiedBy/>
  <dcterms:modified xsi:type="dcterms:W3CDTF">2026-01-26T14:44:42Z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