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r w:rsidRPr="0084737F"/>
    </w:p>
    <w:p>
      <w:r>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pPr>
        <w:pStyle w:val="TM1"/>
      </w:pPr>
      <w:r>
        <w:rPr>
          <w:color w:val="000000"/>
          <w:rFonts w:ascii="Times New Roman" w:hAnsi="Times New Roman"/>
          <w:sz w:val="24"/>
        </w:rPr>
        <w:fldChar w:fldCharType="begin"/>
        <w:instrText xml:space="preserve">TOC \o "1-1" \z \u</w:instrText>
        <w:fldChar w:fldCharType="separate"/>
        <w:t> </w:t>
        <w:fldChar w:fldCharType="end"/>
      </w:r>
    </w:p>
    <w:p>
      <w:r>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pPr>
        <w:pStyle w:val="Tabledesillustrations"/>
      </w:pPr>
      <w:r>
        <w:rPr>
          <w:color w:val="000000"/>
          <w:rFonts w:ascii="Times New Roman" w:hAnsi="Times New Roman"/>
          <w:sz w:val="24"/>
        </w:rPr>
        <w:fldChar w:fldCharType="begin"/>
        <w:instrText xml:space="preserve">TOC \z \c "Figure"</w:instrText>
        <w:fldChar w:fldCharType="separate"/>
        <w:t> </w:t>
        <w:fldChar w:fldCharType="end"/>
      </w:r>
    </w:p>
    <w:p>
      <w:r>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pPr>
        <w:pStyle w:val="Tabledesillustrations"/>
      </w:pPr>
      <w:r>
        <w:rPr>
          <w:color w:val="000000"/>
          <w:rFonts w:ascii="Times New Roman" w:hAnsi="Times New Roman"/>
          <w:sz w:val="24"/>
        </w:rPr>
        <w:fldChar w:fldCharType="begin"/>
        <w:instrText xml:space="preserve">TOC \z \c "Tableau"</w:instrText>
        <w:fldChar w:fldCharType="separate"/>
        <w:t> </w:t>
        <w:fldChar w:fldCharType="end"/>
      </w:r>
    </w:p>
    <w:p>
      <w:r>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Au terme de ce travail, plusieurs résultats sont attendus :</w:t>
      </w:r>
    </w:p>
    <w:p>
      <w:pPr>
        <w:spacing w:line="360" w:lineRule="auto" w:after="120"/>
        <w:ind w:firstLine="0"/>
        <w:jc w:val="left"/>
      </w:pPr>
      <w:r>
        <w:rPr>
          <w:rFonts w:ascii="Times New Roman" w:hAnsi="Times New Roman" w:eastAsia="Times New Roman"/>
          <w:b w:val="0"/>
          <w:color w:val="000000"/>
          <w:sz w:val="24"/>
        </w:rPr>
        <w:t>• une analyse claire des limites des outils existants pour évaluer la programmation en salle ;</w:t>
      </w:r>
    </w:p>
    <w:p>
      <w:pPr>
        <w:spacing w:line="360" w:lineRule="auto" w:after="120"/>
        <w:ind w:firstLine="0"/>
        <w:jc w:val="left"/>
      </w:pPr>
      <w:r>
        <w:rPr>
          <w:rFonts w:ascii="Times New Roman" w:hAnsi="Times New Roman" w:eastAsia="Times New Roman"/>
          <w:b w:val="0"/>
          <w:color w:val="000000"/>
          <w:sz w:val="24"/>
        </w:rPr>
        <w:t>• une conception documentée de Cylentic (besoins, architecture, diagrammes) ;</w:t>
      </w:r>
    </w:p>
    <w:p>
      <w:pPr>
        <w:spacing w:line="360" w:lineRule="auto" w:after="120"/>
        <w:ind w:firstLine="0"/>
        <w:jc w:val="left"/>
      </w:pPr>
      <w:r>
        <w:rPr>
          <w:rFonts w:ascii="Times New Roman" w:hAnsi="Times New Roman" w:eastAsia="Times New Roman"/>
          <w:b w:val="0"/>
          <w:color w:val="000000"/>
          <w:sz w:val="24"/>
        </w:rPr>
        <w:t>• un prototype qui couvre les parcours principaux d'un examen sécurisé ;</w:t>
      </w:r>
    </w:p>
    <w:p>
      <w:pPr>
        <w:spacing w:line="360" w:lineRule="auto" w:after="120"/>
        <w:ind w:firstLine="0"/>
        <w:jc w:val="left"/>
      </w:pPr>
      <w:r>
        <w:rPr>
          <w:rFonts w:ascii="Times New Roman" w:hAnsi="Times New Roman" w:eastAsia="Times New Roman"/>
          <w:b w:val="0"/>
          <w:color w:val="000000"/>
          <w:sz w:val="24"/>
        </w:rPr>
        <w:t>• une validation par tests des scénarios critiques (connexion, composition, correction, exports).</w:t>
      </w:r>
    </w:p>
    <w:p>
      <w:pPr>
        <w:spacing w:line="360" w:lineRule="auto" w:after="160"/>
        <w:ind w:firstLine="425"/>
        <w:jc w:val="both"/>
      </w:pPr>
      <w:r>
        <w:rPr>
          <w:rFonts w:ascii="Times New Roman" w:hAnsi="Times New Roman" w:eastAsia="Times New Roman"/>
          <w:b w:val="0"/>
          <w:color w:val="000000"/>
          <w:sz w:val="24"/>
        </w:rPr>
        <w:t>Pour atteindre ces objectifs, nous partons des hypothèses de recherche suivantes :</w:t>
      </w:r>
    </w:p>
    <w:p>
      <w:pPr>
        <w:spacing w:line="360" w:lineRule="auto" w:after="120"/>
        <w:ind w:firstLine="0"/>
        <w:jc w:val="left"/>
      </w:pPr>
      <w:r>
        <w:rPr>
          <w:rFonts w:ascii="Times New Roman" w:hAnsi="Times New Roman" w:eastAsia="Times New Roman"/>
          <w:b w:val="0"/>
          <w:color w:val="000000"/>
          <w:sz w:val="24"/>
        </w:rPr>
        <w:t>• si le navigateur est suffisamment contrôlé et si les incidents sont enregistrés, on peut rendre l'examen sur machine plus crédible ;</w:t>
      </w:r>
    </w:p>
    <w:p>
      <w:pPr>
        <w:spacing w:line="360" w:lineRule="auto" w:after="120"/>
        <w:ind w:firstLine="0"/>
        <w:jc w:val="left"/>
      </w:pPr>
      <w:r>
        <w:rPr>
          <w:rFonts w:ascii="Times New Roman" w:hAnsi="Times New Roman" w:eastAsia="Times New Roman"/>
          <w:b w:val="0"/>
          <w:color w:val="000000"/>
          <w:sz w:val="24"/>
        </w:rPr>
        <w:t>• si le code est exécuté dans un environnement isolé et corrigé avec des tests unitaires, l'évaluation devient plus fiable et plus rapide ;</w:t>
      </w:r>
    </w:p>
    <w:p>
      <w:pPr>
        <w:spacing w:line="360" w:lineRule="auto" w:after="120"/>
        <w:ind w:firstLine="0"/>
        <w:jc w:val="left"/>
      </w:pPr>
      <w:r>
        <w:rPr>
          <w:rFonts w:ascii="Times New Roman" w:hAnsi="Times New Roman" w:eastAsia="Times New Roman"/>
          <w:b w:val="0"/>
          <w:color w:val="000000"/>
          <w:sz w:val="24"/>
        </w:rPr>
        <w:t>• si la plateforme reste utilisable dans un simple navigateur, elle convient aux salles informatiques partagées, même avec un réseau parfois instable.</w:t>
      </w:r>
    </w:p>
    <w:p>
      <w:pPr>
        <w:spacing w:line="360" w:lineRule="auto" w:after="160"/>
        <w:ind w:firstLine="425"/>
        <w:jc w:val="both"/>
      </w:pPr>
      <w:r>
        <w:rPr>
          <w:rFonts w:ascii="Times New Roman" w:hAnsi="Times New Roman" w:eastAsia="Times New Roman"/>
          <w:b w:val="0"/>
          <w:color w:val="000000"/>
          <w:sz w:val="24"/>
        </w:rPr>
        <w:t>Pour y arriver, nous avons suivi une démarche méthodologique en plusieurs étapes :</w:t>
      </w:r>
    </w:p>
    <w:p>
      <w:pPr>
        <w:spacing w:line="360" w:lineRule="auto" w:after="160"/>
        <w:ind w:firstLine="0"/>
        <w:jc w:val="both"/>
      </w:pPr>
      <w:r>
        <w:rPr>
          <w:rFonts w:ascii="Times New Roman" w:hAnsi="Times New Roman" w:eastAsia="Times New Roman"/>
          <w:b w:val="0"/>
          <w:color w:val="000000"/>
          <w:sz w:val="24"/>
        </w:rPr>
        <w:t>• revue de l'état de l'art et identification des limites des solutions actuelles ;</w:t>
      </w:r>
    </w:p>
    <w:p>
      <w:pPr>
        <w:spacing w:line="360" w:lineRule="auto" w:after="120"/>
        <w:ind w:firstLine="0"/>
        <w:jc w:val="left"/>
      </w:pPr>
      <w:r>
        <w:rPr>
          <w:rFonts w:ascii="Times New Roman" w:hAnsi="Times New Roman" w:eastAsia="Times New Roman"/>
          <w:b w:val="0"/>
          <w:color w:val="000000"/>
          <w:sz w:val="24"/>
        </w:rPr>
        <w:t>• analyse des besoins et définition d'un MVP borné ;</w:t>
      </w:r>
    </w:p>
    <w:p>
      <w:pPr>
        <w:spacing w:line="360" w:lineRule="auto" w:after="120"/>
        <w:ind w:firstLine="0"/>
        <w:jc w:val="left"/>
      </w:pPr>
      <w:r>
        <w:rPr>
          <w:rFonts w:ascii="Times New Roman" w:hAnsi="Times New Roman" w:eastAsia="Times New Roman"/>
          <w:b w:val="0"/>
          <w:color w:val="000000"/>
          <w:sz w:val="24"/>
        </w:rPr>
        <w:t>• conception de la plateforme (UML, architecture, données, sécurité) ;</w:t>
      </w:r>
    </w:p>
    <w:p>
      <w:pPr>
        <w:spacing w:line="360" w:lineRule="auto" w:after="120"/>
        <w:ind w:firstLine="0"/>
        <w:jc w:val="left"/>
      </w:pPr>
      <w:r>
        <w:rPr>
          <w:rFonts w:ascii="Times New Roman" w:hAnsi="Times New Roman" w:eastAsia="Times New Roman"/>
          <w:b w:val="0"/>
          <w:color w:val="000000"/>
          <w:sz w:val="24"/>
        </w:rPr>
        <w:t>• réalisation itérative avec Next.js, Prisma et MySQL ;</w:t>
      </w:r>
    </w:p>
    <w:p>
      <w:pPr>
        <w:spacing w:line="360" w:lineRule="auto" w:after="120"/>
        <w:ind w:firstLine="0"/>
        <w:jc w:val="left"/>
      </w:pPr>
      <w:r>
        <w:rPr>
          <w:rFonts w:ascii="Times New Roman" w:hAnsi="Times New Roman" w:eastAsia="Times New Roman"/>
          <w:b w:val="0"/>
          <w:color w:val="000000"/>
          <w:sz w:val="24"/>
        </w:rPr>
        <w:t>• tests des parcours complets et contrôle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spacing w:line="360" w:lineRule="auto" w:after="160"/>
        <w:ind w:firstLine="0"/>
        <w:jc w:val="left"/>
      </w:pPr>
      <w:bookmarkStart w:id="30" w:name="bm_ch1"/>
      <w:bookmarkStart w:id="31" w:name="_Toc235117288"/>
      <w:bookmarkStart w:id="32" w:name="_Toc235117374"/>
      <w:r w:rsidRPr="0084737F">
        <w:rPr>
          <w:rFonts w:ascii="Times New Roman" w:eastAsia="Times New Roman" w:hAnsi="Times New Roman"/>
          <w:b/>
          <w:color w:val="000000"/>
          <w:sz w:val="24"/>
        </w:rPr>
        <w:t>Chapitre 1 : État de l'art</w:t>
      </w:r>
      <w:bookmarkEnd w:id="30"/>
      <w:bookmarkEnd w:id="31"/>
      <w:bookmarkEnd w:id="32"/>
    </w:p>
    <w:p w14:paraId="4FEB3F1F"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Ce chapitre présente l'état de l'art du domaine. Il rappelle le contexte pédagogique, les contraintes locales et les grandes familles d'outils existants, puis synthétise leurs limites. La comparaison détaillée et le positionnement de Cylentic sont traités au chapitre 2.</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18644C3" w14:textId="77777777" w:rsidR="00833B9A" w:rsidRPr="0084737F" w:rsidRDefault="008912C8">
      <w:pPr>
        <w:pStyle w:val="Titre2"/>
        <w:spacing w:line="360" w:lineRule="auto" w:after="160"/>
        <w:ind w:firstLine="0"/>
        <w:jc w:val="left"/>
      </w:pPr>
      <w:bookmarkStart w:id="37" w:name="bm_ch1_3"/>
      <w:bookmarkStart w:id="38" w:name="_Toc235117377"/>
      <w:r w:rsidRPr="0084737F">
        <w:rPr>
          <w:rFonts w:ascii="Times New Roman" w:eastAsia="Times New Roman" w:hAnsi="Times New Roman"/>
          <w:b/>
          <w:color w:val="000000"/>
          <w:sz w:val="24"/>
        </w:rPr>
        <w:t>1.3 Panorama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AD4B765" w14:textId="77777777" w:rsidR="003901E8" w:rsidRDefault="003901E8">
      <w:pPr>
        <w:ind w:firstLine="425"/>
        <w:jc w:val="both"/>
        <w:rPr>
          <w:i/>
          <w:color w:val="000000"/>
          <w:sz w:val="20"/>
        </w:rPr>
      </w:pPr>
    </w:p>
    <w:p>
      <w:pPr>
        <w:pStyle w:val="Titre2"/>
        <w:spacing w:line="360" w:lineRule="auto" w:after="160"/>
        <w:ind w:firstLine="0"/>
        <w:jc w:val="left"/>
      </w:pPr>
      <w:r>
        <w:rPr>
          <w:rFonts w:ascii="Times New Roman" w:hAnsi="Times New Roman" w:eastAsia="Times New Roman"/>
          <w:b/>
          <w:color w:val="000000"/>
          <w:sz w:val="24"/>
        </w:rPr>
        <w:t>1.4 Synthèse des lacunes du domaine</w:t>
      </w:r>
    </w:p>
    <w:p>
      <w:pPr>
        <w:spacing w:line="360" w:lineRule="auto" w:after="160"/>
        <w:ind w:firstLine="425"/>
        <w:jc w:val="both"/>
      </w:pPr>
      <w:r>
        <w:rPr>
          <w:rFonts w:ascii="Times New Roman" w:hAnsi="Times New Roman" w:eastAsia="Times New Roman"/>
          <w:b w:val="0"/>
          <w:color w:val="000000"/>
          <w:sz w:val="24"/>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6A19F68" w14:textId="77777777" w:rsidR="00833B9A" w:rsidRPr="0084737F" w:rsidRDefault="008912C8">
      <w:pPr>
        <w:pStyle w:val="Titre2"/>
        <w:spacing w:line="360" w:lineRule="auto" w:after="160"/>
        <w:ind w:firstLine="0"/>
        <w:jc w:val="left"/>
      </w:pPr>
      <w:bookmarkStart w:id="42" w:name="bm_ch1_5"/>
      <w:bookmarkStart w:id="43" w:name="_Toc235117379"/>
      <w:r w:rsidRPr="0084737F">
        <w:rPr>
          <w:rFonts w:ascii="Times New Roman" w:eastAsia="Times New Roman" w:hAnsi="Times New Roman"/>
          <w:b/>
          <w:color w:val="000000"/>
          <w:sz w:val="24"/>
        </w:rPr>
        <w:t>1.5 Conclusion</w:t>
      </w:r>
      <w:bookmarkEnd w:id="42"/>
      <w:bookmarkEnd w:id="43"/>
    </w:p>
    <w:p w14:paraId="316D5949"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contexte, les contraintes locales et le panorama des outils forment un état de l'art clair : le besoin d'évaluer la programmation sur machine de façon crédible reste mal couvert. Le chapitre 2 compare les solutions existantes, positionne Cylentic, puis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pPr>
        <w:spacing w:line="360" w:lineRule="auto" w:after="160"/>
        <w:ind w:firstLine="425"/>
        <w:jc w:val="both"/>
      </w:pPr>
      <w:r>
        <w:rPr>
          <w:rFonts w:ascii="Times New Roman" w:hAnsi="Times New Roman" w:eastAsia="Times New Roman"/>
          <w:b w:val="0"/>
          <w:color w:val="000000"/>
          <w:sz w:val="24"/>
        </w:rPr>
        <w:t>Ce chapitre commence par comparer les solutions existantes et positionner Cylentic. Il fixe ensuite le périmètre du MVP, les acteurs, puis les besoins fonctionnels et non fonctionnels du système.</w:t>
      </w:r>
    </w:p>
    <w:p>
      <w:pPr>
        <w:pStyle w:val="Titre2"/>
        <w:spacing w:line="360" w:lineRule="auto" w:after="160"/>
        <w:ind w:firstLine="0"/>
        <w:jc w:val="left"/>
      </w:pPr>
      <w:r>
        <w:rPr>
          <w:rFonts w:ascii="Times New Roman" w:hAnsi="Times New Roman" w:eastAsia="Times New Roman"/>
          <w:b/>
          <w:color w:val="000000"/>
          <w:sz w:val="24"/>
        </w:rPr>
        <w:t>2.1 Comparaison des solutions existantes</w:t>
      </w:r>
    </w:p>
    <w:p>
      <w:pPr>
        <w:spacing w:line="360" w:lineRule="auto" w:after="160"/>
        <w:ind w:firstLine="425"/>
        <w:jc w:val="both"/>
      </w:pPr>
      <w:r>
        <w:rPr>
          <w:rFonts w:ascii="Times New Roman" w:hAnsi="Times New Roman" w:eastAsia="Times New Roman"/>
          <w:b w:val="0"/>
          <w:color w:val="000000"/>
          <w:sz w:val="24"/>
        </w:rPr>
        <w:t>Pour préciser l'état de l'art, le tableau ci-dessous compare les principales familles de solutions aux exigences d'un examen de programmation surveillé en salle.</w:t>
      </w:r>
    </w:p>
    <w:p>
      <w:pPr>
        <w:pStyle w:val="Lgende"/>
        <w:spacing w:line="360" w:lineRule="auto" w:after="160"/>
        <w:ind w:firstLine="0"/>
        <w:jc w:val="left"/>
      </w:pPr>
      <w:r>
        <w:rPr>
          <w:rFonts w:ascii="Times New Roman" w:hAnsi="Times New Roman" w:eastAsia="Times New Roman"/>
          <w:b w:val="0"/>
          <w:color w:val="000000"/>
          <w:sz w:val="24"/>
        </w:rPr>
        <w:t>Tableau 1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pPr>
        <w:spacing w:line="360" w:lineRule="auto"/>
        <w:ind w:firstLine="425"/>
        <w:jc w:val="both"/>
      </w:pPr>
      <w:r>
        <w:rPr>
          <w:rFonts w:ascii="Times New Roman" w:hAnsi="Times New Roman" w:eastAsia="Times New Roman"/>
          <w:sz w:val="24"/>
        </w:rPr>
        <w:t>Aucune de ces solutions ne couvre à la fois composition sécurisée, exécution isolée, correction et traçabilité pour une école. C'est dans cet espace que se place Cylentic.</w:t>
      </w:r>
    </w:p>
    <w:p>
      <w:pPr>
        <w:pStyle w:val="Titre2"/>
        <w:spacing w:line="360" w:lineRule="auto" w:after="160"/>
        <w:ind w:firstLine="0"/>
        <w:jc w:val="left"/>
      </w:pPr>
      <w:r>
        <w:rPr>
          <w:rFonts w:ascii="Times New Roman" w:hAnsi="Times New Roman" w:eastAsia="Times New Roman"/>
          <w:b/>
          <w:color w:val="000000"/>
          <w:sz w:val="24"/>
        </w:rPr>
        <w:t>2.2 Positionnement de Cylentic</w:t>
      </w:r>
    </w:p>
    <w:p>
      <w:pPr>
        <w:spacing w:line="360" w:lineRule="auto" w:after="160"/>
        <w:ind w:firstLine="425"/>
        <w:jc w:val="both"/>
      </w:pPr>
      <w:r>
        <w:rPr>
          <w:rFonts w:ascii="Times New Roman" w:hAnsi="Times New Roman" w:eastAsia="Times New Roman"/>
          <w:b w:val="0"/>
          <w:color w:val="000000"/>
          <w:sz w:val="24"/>
        </w:rPr>
        <w:t>Cylentic n'est ni une plateforme d'apprentissage ouverte, ni une simple variante de LMS. Elle vise l'évaluation surveillée de la programmation.</w:t>
      </w:r>
    </w:p>
    <w:p>
      <w:pPr>
        <w:spacing w:line="360" w:lineRule="auto" w:after="160"/>
        <w:ind w:firstLine="425"/>
        <w:jc w:val="both"/>
      </w:pPr>
      <w:r>
        <w:rPr>
          <w:rFonts w:ascii="Times New Roman" w:hAnsi="Times New Roman" w:eastAsia="Times New Roman"/>
          <w:b w:val="0"/>
          <w:color w:val="000000"/>
          <w:sz w:val="24"/>
        </w:rPr>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5E008339" w14:textId="77777777" w:rsidR="00833B9A" w:rsidRPr="0084737F" w:rsidRDefault="008912C8">
      <w:pPr>
        <w:pStyle w:val="Titre2"/>
        <w:spacing w:line="360" w:lineRule="auto" w:after="160"/>
        <w:ind w:firstLine="0"/>
        <w:jc w:val="left"/>
      </w:pPr>
      <w:bookmarkStart w:id="47" w:name="bm_ch2_1"/>
      <w:bookmarkStart w:id="48" w:name="_Toc235117381"/>
      <w:r w:rsidRPr="0084737F">
        <w:rPr>
          <w:rFonts w:ascii="Times New Roman" w:eastAsia="Times New Roman" w:hAnsi="Times New Roman"/>
          <w:b/>
          <w:color w:val="000000"/>
          <w:sz w:val="24"/>
        </w:rPr>
        <w:t>2.3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27B1B1ED" w14:textId="77777777" w:rsidR="00833B9A" w:rsidRPr="0084737F" w:rsidRDefault="008912C8">
      <w:pPr>
        <w:pStyle w:val="Titre2"/>
        <w:spacing w:line="360" w:lineRule="auto" w:after="160"/>
        <w:ind w:firstLine="0"/>
        <w:jc w:val="left"/>
      </w:pPr>
      <w:bookmarkStart w:id="49" w:name="bm_ch2_2"/>
      <w:bookmarkStart w:id="50" w:name="_Toc235117382"/>
      <w:r w:rsidRPr="0084737F">
        <w:rPr>
          <w:rFonts w:ascii="Times New Roman" w:eastAsia="Times New Roman" w:hAnsi="Times New Roman"/>
          <w:b/>
          <w:color w:val="000000"/>
          <w:sz w:val="24"/>
        </w:rPr>
        <w:t>2.4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spacing w:line="360" w:lineRule="auto" w:after="160"/>
        <w:ind w:firstLine="0"/>
        <w:jc w:val="left"/>
      </w:pPr>
      <w:bookmarkStart w:id="52" w:name="bm_ch2_3"/>
      <w:bookmarkStart w:id="53" w:name="_Toc235117383"/>
      <w:r>
        <w:rPr>
          <w:rFonts w:ascii="Times New Roman" w:eastAsia="Times New Roman" w:hAnsi="Times New Roman"/>
          <w:b/>
          <w:color w:val="000000"/>
          <w:sz w:val="24"/>
        </w:rPr>
        <w:t>2.5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spacing w:line="360" w:lineRule="auto" w:after="160"/>
        <w:ind w:firstLine="0"/>
        <w:jc w:val="left"/>
      </w:pPr>
      <w:bookmarkStart w:id="54" w:name="bm_ch2_4"/>
      <w:bookmarkStart w:id="55" w:name="_Toc235117384"/>
      <w:r w:rsidRPr="0084737F">
        <w:rPr>
          <w:rFonts w:ascii="Times New Roman" w:eastAsia="Times New Roman" w:hAnsi="Times New Roman"/>
          <w:b/>
          <w:color w:val="000000"/>
          <w:sz w:val="24"/>
        </w:rPr>
        <w:t>2.6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spacing w:line="360" w:lineRule="auto" w:after="160"/>
        <w:ind w:firstLine="0"/>
        <w:jc w:val="left"/>
      </w:pPr>
      <w:bookmarkStart w:id="56" w:name="bm_ch2_5"/>
      <w:bookmarkStart w:id="57" w:name="_Toc235117385"/>
      <w:r w:rsidRPr="0084737F">
        <w:rPr>
          <w:rFonts w:ascii="Times New Roman" w:eastAsia="Times New Roman" w:hAnsi="Times New Roman"/>
          <w:b/>
          <w:color w:val="000000"/>
          <w:sz w:val="24"/>
        </w:rPr>
        <w:t>2.7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spacing w:line="360" w:lineRule="auto" w:after="160"/>
        <w:ind w:firstLine="0"/>
        <w:jc w:val="left"/>
      </w:pPr>
      <w:bookmarkStart w:id="58" w:name="bm_ch2_6"/>
      <w:bookmarkStart w:id="59" w:name="_Toc235117386"/>
      <w:r w:rsidRPr="0084737F">
        <w:rPr>
          <w:rFonts w:ascii="Times New Roman" w:eastAsia="Times New Roman" w:hAnsi="Times New Roman"/>
          <w:b/>
          <w:color w:val="000000"/>
          <w:sz w:val="24"/>
        </w:rPr>
        <w:t>2.8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spacing w:line="360" w:lineRule="auto" w:after="160"/>
        <w:ind w:firstLine="0"/>
        <w:jc w:val="left"/>
      </w:pPr>
      <w:bookmarkStart w:id="60" w:name="bm_ch2_7"/>
      <w:bookmarkStart w:id="61" w:name="_Toc235117387"/>
      <w:r w:rsidRPr="0084737F">
        <w:rPr>
          <w:rFonts w:ascii="Times New Roman" w:eastAsia="Times New Roman" w:hAnsi="Times New Roman"/>
          <w:b/>
          <w:color w:val="000000"/>
          <w:sz w:val="24"/>
        </w:rPr>
        <w:t>2.9 Conclusion</w:t>
      </w:r>
      <w:bookmarkEnd w:id="60"/>
      <w:bookmarkEnd w:id="61"/>
    </w:p>
    <w:p w14:paraId="7AA14B2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Après la comparaison et le positionnement, le cahier des charges de Cylentic est posé : périmètre du MVP, acteurs, besoins fonctionnels et non fonctionnels, règles métier et scénarios prioritaires. Sur cette base, la conception du chapitre suivant peut se développer sans improvisation.</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roofErr w:type="gramStart"/>
      <w:r w:rsidRPr="0084737F">
        <w:rPr>
          <w:color w:val="000000"/>
        </w:rPr>
      </w:r>
      <w:proofErr w:type="gramEnd"/>
      <w:r w:rsidRPr="0084737F">
        <w:rPr>
          <w:color w:val="000000"/>
        </w:rPr>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pPr>
        <w:spacing w:line="360" w:lineRule="auto" w:after="160"/>
        <w:ind w:firstLine="425"/>
        <w:jc w:val="both"/>
      </w:pPr>
      <w:r>
        <w:rPr>
          <w:rFonts w:ascii="Times New Roman" w:hAnsi="Times New Roman" w:eastAsia="Times New Roman"/>
          <w:b w:val="0"/>
          <w:color w:val="000000"/>
          <w:sz w:val="24"/>
        </w:rPr>
        <w:t>La figure 1 présente l'architecture logique de Cylentic. L'étudiant et le professeur passent par l'interface web. Les services métier gèrent les examens, les comptes et les règles de sécurité. Les données sont enregistrées en base, tandis que la sandbox exécute le code Python de façon isolée. Cette vue montre comment les grandes parties du système s'organisent avant le détail technique.</w:t>
      </w:r>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pPr>
        <w:spacing w:line="360" w:lineRule="auto" w:after="160"/>
        <w:ind w:firstLine="425"/>
        <w:jc w:val="both"/>
      </w:pPr>
      <w:r>
        <w:rPr>
          <w:rFonts w:ascii="Times New Roman" w:hAnsi="Times New Roman" w:eastAsia="Times New Roman"/>
          <w:b w:val="0"/>
          <w:color w:val="000000"/>
          <w:sz w:val="24"/>
        </w:rPr>
        <w:t>La figure 2 illustre le déploiement de l'infrastructure. Le serveur applicatif héberge Cylentic, MySQL stocke les données, et Docker fournit l'environnement d'exécution isolé. Les postes de la salle se connectent via le navigateur. Cette figure montre concrètement où tourne chaque élément le jour de l'épreuve.</w:t>
      </w:r>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pPr>
        <w:spacing w:line="360" w:lineRule="auto" w:after="160"/>
        <w:ind w:firstLine="425"/>
        <w:jc w:val="both"/>
      </w:pPr>
      <w:r>
        <w:rPr>
          <w:rFonts w:ascii="Times New Roman" w:hAnsi="Times New Roman" w:eastAsia="Times New Roman"/>
          <w:b w:val="0"/>
          <w:color w:val="000000"/>
          <w:sz w:val="24"/>
        </w:rPr>
        <w:t>La figure 3 présente les cas d'utilisation du Super Admin. Il administre la plateforme dans son ensemble : établissements, pilotage global et fonctions transverses. Cette vue précise son rôle, distinct de celui de l'administrateur d'une école.</w:t>
      </w:r>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pPr>
        <w:spacing w:line="360" w:lineRule="auto" w:after="160"/>
        <w:ind w:firstLine="425"/>
        <w:jc w:val="both"/>
      </w:pPr>
      <w:r>
        <w:rPr>
          <w:rFonts w:ascii="Times New Roman" w:hAnsi="Times New Roman" w:eastAsia="Times New Roman"/>
          <w:b w:val="0"/>
          <w:color w:val="000000"/>
          <w:sz w:val="24"/>
        </w:rPr>
        <w:t>La figure 4 illustre les cas d'utilisation de l'administrateur d'établissement pour l'organisation. Il structure l'espace local : années académiques, classes et organisation scolaire. Cette figure montre le périmètre de gestion avant la création des comptes.</w:t>
      </w:r>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pPr>
        <w:spacing w:line="360" w:lineRule="auto" w:after="160"/>
        <w:ind w:firstLine="425"/>
        <w:jc w:val="both"/>
      </w:pPr>
      <w:r>
        <w:rPr>
          <w:rFonts w:ascii="Times New Roman" w:hAnsi="Times New Roman" w:eastAsia="Times New Roman"/>
          <w:b w:val="0"/>
          <w:color w:val="000000"/>
          <w:sz w:val="24"/>
        </w:rPr>
        <w:t>La figure 5 présente la gestion des comptes par l'administrateur. Il crée, modifie, désactive ou réactive les comptes professeurs et étudiants, et peut importer des listes. Cette vue complète le rôle local de l'administrateur côté utilisateurs.</w:t>
      </w:r>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pPr>
        <w:spacing w:line="360" w:lineRule="auto" w:after="160"/>
        <w:ind w:firstLine="425"/>
        <w:jc w:val="both"/>
      </w:pPr>
      <w:r>
        <w:rPr>
          <w:rFonts w:ascii="Times New Roman" w:hAnsi="Times New Roman" w:eastAsia="Times New Roman"/>
          <w:b w:val="0"/>
          <w:color w:val="000000"/>
          <w:sz w:val="24"/>
        </w:rPr>
        <w:t>La figure 6 détaille les actions du professeur autour des examens. Il crée l'épreuve, ajoute des exercices et des tests, puis publie l'examen. Cette figure montre le travail de préparation avant le jour J.</w:t>
      </w:r>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pPr>
        <w:spacing w:line="360" w:lineRule="auto" w:after="160"/>
        <w:ind w:firstLine="425"/>
        <w:jc w:val="both"/>
      </w:pPr>
      <w:r>
        <w:rPr>
          <w:rFonts w:ascii="Times New Roman" w:hAnsi="Times New Roman" w:eastAsia="Times New Roman"/>
          <w:b w:val="0"/>
          <w:color w:val="000000"/>
          <w:sz w:val="24"/>
        </w:rPr>
        <w:t>La figure 7 illustre le suivi côté professeur pendant et après l'épreuve. Il consulte les participations, lit le journal d'incidents et accède aux résultats. Cette vue montre comment le professeur pilote l'examen une fois lancé.</w:t>
      </w:r>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pPr>
        <w:spacing w:line="360" w:lineRule="auto" w:after="160"/>
        <w:ind w:firstLine="425"/>
        <w:jc w:val="both"/>
      </w:pPr>
      <w:r>
        <w:rPr>
          <w:rFonts w:ascii="Times New Roman" w:hAnsi="Times New Roman" w:eastAsia="Times New Roman"/>
          <w:b w:val="0"/>
          <w:color w:val="000000"/>
          <w:sz w:val="24"/>
        </w:rPr>
        <w:t>La figure 8 représente le parcours de l'étudiant. Après connexion et saisie du code d'examen, il accepte les consignes, attend en salle d'attente, compose, peut exécuter des essais, puis soumet sa copie. Cette figure résume le chemin complet côté étudiant.</w:t>
      </w:r>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r w:rsidRPr="0084737F">
        <w:rPr>
          <w:color w:val="000000"/>
        </w:rPr>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pPr>
        <w:spacing w:line="360" w:lineRule="auto" w:after="160"/>
        <w:ind w:firstLine="425"/>
        <w:jc w:val="both"/>
      </w:pPr>
      <w:r>
        <w:rPr>
          <w:rFonts w:ascii="Times New Roman" w:hAnsi="Times New Roman" w:eastAsia="Times New Roman"/>
          <w:b w:val="0"/>
          <w:color w:val="000000"/>
          <w:sz w:val="24"/>
        </w:rPr>
        <w:t>La figure 9 présente le diagramme de classes de l'organisation et des comptes. On y voit les établissements, les utilisateurs et les liens avec les rôles. Cette modélisation pose la base des droits d'accès dans Cylentic.</w:t>
      </w:r>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pPr>
        <w:spacing w:line="360" w:lineRule="auto" w:after="160"/>
        <w:ind w:firstLine="425"/>
        <w:jc w:val="both"/>
      </w:pPr>
      <w:r>
        <w:rPr>
          <w:rFonts w:ascii="Times New Roman" w:hAnsi="Times New Roman" w:eastAsia="Times New Roman"/>
          <w:b w:val="0"/>
          <w:color w:val="000000"/>
          <w:sz w:val="24"/>
        </w:rPr>
        <w:t>La figure 10 illustre les classes de conception d'un examen. Un examen regroupe des exercices, eux-mêmes associés à des tests unitaires ou à des QCM. Cette figure montre comment le contenu pédagogique est structuré avant la composition.</w:t>
      </w:r>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Figure 11 : Classes composition et correction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3"/>
    </w:p>
    <w:p>
      <w:pPr>
        <w:spacing w:line="360" w:lineRule="auto" w:after="160"/>
        <w:ind w:firstLine="425"/>
        <w:jc w:val="both"/>
      </w:pPr>
      <w:r>
        <w:rPr>
          <w:rFonts w:ascii="Times New Roman" w:hAnsi="Times New Roman" w:eastAsia="Times New Roman"/>
          <w:b w:val="0"/>
          <w:color w:val="000000"/>
          <w:sz w:val="24"/>
        </w:rPr>
        <w:t>La figure 11 présente les classes de la composition et de la correction. La participation relie un étudiant à un examen ; la copie, les incidents et les résultats permettent de suivre et d'évaluer le travail rendu. Cette vue explique le cœur métier pendant l'épreuve.</w:t>
      </w:r>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pPr>
        <w:spacing w:line="360" w:lineRule="auto" w:after="160"/>
        <w:ind w:firstLine="425"/>
        <w:jc w:val="both"/>
      </w:pPr>
      <w:r>
        <w:rPr>
          <w:rFonts w:ascii="Times New Roman" w:hAnsi="Times New Roman" w:eastAsia="Times New Roman"/>
          <w:b w:val="0"/>
          <w:color w:val="000000"/>
          <w:sz w:val="24"/>
        </w:rPr>
        <w:t>La figure 12 montre un exemple d'objets pour l'organisation. Elle donne une instance concrète des liens entre établissement, classes et utilisateurs, afin de rendre le modèle de classes plus lisible.</w:t>
      </w:r>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pPr>
        <w:spacing w:line="360" w:lineRule="auto" w:after="160"/>
        <w:ind w:firstLine="425"/>
        <w:jc w:val="both"/>
      </w:pPr>
      <w:r>
        <w:rPr>
          <w:rFonts w:ascii="Times New Roman" w:hAnsi="Times New Roman" w:eastAsia="Times New Roman"/>
          <w:b w:val="0"/>
          <w:color w:val="000000"/>
          <w:sz w:val="24"/>
        </w:rPr>
        <w:t>La figure 13 illustre un examen concret avec ses exercices et ses tests. Elle montre, sur un exemple, comment les objets de conception se relient au moment où le professeur prépare l'épreuve.</w:t>
      </w:r>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Figure 14 : Objets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6"/>
    </w:p>
    <w:p>
      <w:pPr>
        <w:spacing w:line="360" w:lineRule="auto" w:after="160"/>
        <w:ind w:firstLine="425"/>
        <w:jc w:val="both"/>
      </w:pPr>
      <w:r>
        <w:rPr>
          <w:rFonts w:ascii="Times New Roman" w:hAnsi="Times New Roman" w:eastAsia="Times New Roman"/>
          <w:b w:val="0"/>
          <w:color w:val="000000"/>
          <w:sz w:val="24"/>
        </w:rPr>
        <w:t>La figure 14 présente un exemple de participation pendant l'examen. On y voit la copie de l'étudiant, d'éventuels incidents et les éléments utiles à la correction. Cette figure aide à comprendre le déroulement réel d'une épreuve.</w:t>
      </w:r>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pPr>
        <w:spacing w:line="360" w:lineRule="auto" w:after="160"/>
        <w:ind w:firstLine="425"/>
        <w:jc w:val="both"/>
      </w:pPr>
      <w:r>
        <w:rPr>
          <w:rFonts w:ascii="Times New Roman" w:hAnsi="Times New Roman" w:eastAsia="Times New Roman"/>
          <w:b w:val="0"/>
          <w:color w:val="000000"/>
          <w:sz w:val="24"/>
        </w:rPr>
        <w:t>La figure 15 donne une vue d'ensemble des composants logiciels de Cylentic. L'interface, les services et les briques techniques y sont reliés. Cette figure montre le découpage du système sans entrer dans chaque classe.</w:t>
      </w:r>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Elle montre comment la connexion, les rôles et la gestion des comptes sont pris en charge dans l'application.</w:t>
      </w:r>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Figure 17 : Composants examens et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91"/>
    </w:p>
    <w:p>
      <w:pPr>
        <w:spacing w:line="360" w:lineRule="auto" w:after="160"/>
        <w:ind w:firstLine="425"/>
        <w:jc w:val="both"/>
      </w:pPr>
      <w:r>
        <w:rPr>
          <w:rFonts w:ascii="Times New Roman" w:hAnsi="Times New Roman" w:eastAsia="Times New Roman"/>
          <w:b w:val="0"/>
          <w:color w:val="000000"/>
          <w:sz w:val="24"/>
        </w:rPr>
        <w:t>La figure 17 présente les composants liés aux examens et à la composition. On y retrouve la préparation de l'épreuve, le parcours étudiant et l'exécution isolée du code. Cette vue relie la pédagogie à la technique.</w:t>
      </w:r>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pPr>
        <w:spacing w:line="360" w:lineRule="auto" w:after="160"/>
        <w:ind w:firstLine="425"/>
        <w:jc w:val="both"/>
      </w:pPr>
      <w:r>
        <w:rPr>
          <w:rFonts w:ascii="Times New Roman" w:hAnsi="Times New Roman" w:eastAsia="Times New Roman"/>
          <w:b w:val="0"/>
          <w:color w:val="000000"/>
          <w:sz w:val="24"/>
        </w:rPr>
        <w:t>La figure 18 montre les états successifs d'un examen. Il naît en brouillon, devient publié, passe en cours pendant l'épreuve, puis se clôture. Cette figure explique le cycle de vie suivi par la plateforme.</w:t>
      </w:r>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pPr>
        <w:spacing w:line="360" w:lineRule="auto" w:after="160"/>
        <w:ind w:firstLine="425"/>
        <w:jc w:val="both"/>
      </w:pPr>
      <w:r>
        <w:rPr>
          <w:rFonts w:ascii="Times New Roman" w:hAnsi="Times New Roman" w:eastAsia="Times New Roman"/>
          <w:b w:val="0"/>
          <w:color w:val="000000"/>
          <w:sz w:val="24"/>
        </w:rPr>
        <w:t>La figure 19 décrit la séquence de connexion. L'utilisateur saisit ses identifiants ; le serveur vérifie le compte, déduit le rôle et ouvre la session. Cette figure montre le premier contrôle d'accès à Cylentic.</w:t>
      </w:r>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pPr>
        <w:spacing w:line="360" w:lineRule="auto" w:after="160"/>
        <w:ind w:firstLine="425"/>
        <w:jc w:val="both"/>
      </w:pPr>
      <w:r>
        <w:rPr>
          <w:rFonts w:ascii="Times New Roman" w:hAnsi="Times New Roman" w:eastAsia="Times New Roman"/>
          <w:b w:val="0"/>
          <w:color w:val="000000"/>
          <w:sz w:val="24"/>
        </w:rPr>
        <w:t>La figure 20 illustre la publication d'un examen. Le professeur propriétaire déclenche la publication ; le système rend l'épreuve accessible et génère le code d'accès. Cette figure montre le passage du brouillon à l'épreuve prête.</w:t>
      </w:r>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pPr>
        <w:spacing w:line="360" w:lineRule="auto" w:after="160"/>
        <w:ind w:firstLine="425"/>
        <w:jc w:val="both"/>
      </w:pPr>
      <w:r>
        <w:rPr>
          <w:rFonts w:ascii="Times New Roman" w:hAnsi="Times New Roman" w:eastAsia="Times New Roman"/>
          <w:b w:val="0"/>
          <w:color w:val="000000"/>
          <w:sz w:val="24"/>
        </w:rPr>
        <w:t>La figure 21 présente l'accès de l'étudiant à l'examen. Après authentification et saisie du code, il lit les consignes puis rejoint la salle d'attente. Cette séquence prépare l'entrée en composition.</w:t>
      </w:r>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pPr>
        <w:spacing w:line="360" w:lineRule="auto" w:after="160"/>
        <w:ind w:firstLine="425"/>
        <w:jc w:val="both"/>
      </w:pPr>
      <w:r>
        <w:rPr>
          <w:rFonts w:ascii="Times New Roman" w:hAnsi="Times New Roman" w:eastAsia="Times New Roman"/>
          <w:b w:val="0"/>
          <w:color w:val="000000"/>
          <w:sz w:val="24"/>
        </w:rPr>
        <w:t>La figure 22 montre l'exécution du code Python dans la sandbox. Le navigateur envoie le code au serveur ; celui-ci le fait tourner dans un conteneur isolé, puis renvoie la sortie. Cette figure explique comment l'essai reste sûr pour la machine hôte.</w:t>
      </w:r>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pPr>
        <w:spacing w:line="360" w:lineRule="auto" w:after="160"/>
        <w:ind w:firstLine="425"/>
        <w:jc w:val="both"/>
      </w:pPr>
      <w:r>
        <w:rPr>
          <w:rFonts w:ascii="Times New Roman" w:hAnsi="Times New Roman" w:eastAsia="Times New Roman"/>
          <w:b w:val="0"/>
          <w:color w:val="000000"/>
          <w:sz w:val="24"/>
        </w:rPr>
        <w:t>La figure 23 décrit la soumission de la copie et la correction automatique. Une fois la copie figée, les tests unitaires sont exécutés et le score est calculé. Cette figure montre la fin du parcours de composition.</w:t>
      </w:r>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pPr>
        <w:spacing w:line="360" w:lineRule="auto" w:after="160"/>
        <w:ind w:firstLine="425"/>
        <w:jc w:val="both"/>
      </w:pPr>
      <w:r>
        <w:rPr>
          <w:rFonts w:ascii="Times New Roman" w:hAnsi="Times New Roman" w:eastAsia="Times New Roman"/>
          <w:b w:val="0"/>
          <w:color w:val="000000"/>
          <w:sz w:val="24"/>
        </w:rPr>
        <w:t>La figure 24 illustre l'enregistrement d'un incident pendant l'examen. Une sortie du plein écran, un changement d'onglet ou un collage peut être journalisé, puis traité selon les règles prévues. Cette figure montre le suivi de la sécurité pendant l'épreuve.</w:t>
      </w:r>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pPr>
        <w:spacing w:line="360" w:lineRule="auto" w:after="160"/>
        <w:ind w:firstLine="425"/>
        <w:jc w:val="both"/>
      </w:pPr>
      <w:r>
        <w:rPr>
          <w:rFonts w:ascii="Times New Roman" w:hAnsi="Times New Roman" w:eastAsia="Times New Roman"/>
          <w:b w:val="0"/>
          <w:color w:val="000000"/>
          <w:sz w:val="24"/>
        </w:rPr>
        <w:t>La figure 25 présente le flux d'activité jusqu'à la salle d'attente. L'étudiant se connecte, accepte les consignes, active le plein écran, puis attend le démarrage. Cette figure couvre la phase avant composition.</w:t>
      </w:r>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pPr>
        <w:spacing w:line="360" w:lineRule="auto" w:after="160"/>
        <w:ind w:firstLine="425"/>
        <w:jc w:val="both"/>
      </w:pPr>
      <w:r>
        <w:rPr>
          <w:rFonts w:ascii="Times New Roman" w:hAnsi="Times New Roman" w:eastAsia="Times New Roman"/>
          <w:b w:val="0"/>
          <w:color w:val="000000"/>
          <w:sz w:val="24"/>
        </w:rPr>
        <w:t>La figure 26 décrit les activités pendant la composition. L'étudiant écrit, lance des essais, peut provoquer des incidents, puis soumet manuellement ou automatiquement à la fin du temps. Cette figure raconte le cœur de l'épreuve.</w:t>
      </w:r>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composition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t>3.8 Conception de la sécurité pendant l'examen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pPr>
        <w:spacing w:line="360" w:lineRule="auto" w:after="160"/>
        <w:ind w:firstLine="425"/>
        <w:jc w:val="both"/>
      </w:pPr>
      <w:r>
        <w:rPr>
          <w:rFonts w:ascii="Times New Roman" w:hAnsi="Times New Roman" w:eastAsia="Times New Roman"/>
          <w:b w:val="0"/>
          <w:color w:val="000000"/>
          <w:sz w:val="24"/>
        </w:rPr>
        <w:t>La figure 27 montre la page de connexion de Cylentic. Selon le préfixe de l'identifiant, l'utilisateur est orienté vers l'espace Super Admin, administrateur, professeur ou étudiant. Cette figure présente la porte d'entrée de la plateforme.</w:t>
      </w:r>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pPr>
        <w:spacing w:line="360" w:lineRule="auto" w:after="160"/>
        <w:ind w:firstLine="425"/>
        <w:jc w:val="both"/>
      </w:pPr>
      <w:r>
        <w:rPr>
          <w:rFonts w:ascii="Times New Roman" w:hAnsi="Times New Roman" w:eastAsia="Times New Roman"/>
          <w:b w:val="0"/>
          <w:color w:val="000000"/>
          <w:sz w:val="24"/>
        </w:rPr>
        <w:t>La figure 28 présente l'espace administrateur d'établissement. On y gère les classes, les comptes et l'organisation locale. Cette capture montre l'interface réelle utilisée au quotidien par l'administration.</w:t>
      </w:r>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pPr>
        <w:spacing w:line="360" w:lineRule="auto" w:after="160"/>
        <w:ind w:firstLine="425"/>
        <w:jc w:val="both"/>
      </w:pPr>
      <w:r>
        <w:rPr>
          <w:rFonts w:ascii="Times New Roman" w:hAnsi="Times New Roman" w:eastAsia="Times New Roman"/>
          <w:b w:val="0"/>
          <w:color w:val="000000"/>
          <w:sz w:val="24"/>
        </w:rPr>
        <w:t>La figure 29 illustre l'écran de création et d'édition d'un examen côté professeur. On y prépare les exercices, les tests et les paramètres de l'épreuve. Cette figure montre l'outil de conception pédagogique.</w:t>
      </w:r>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pPr>
        <w:spacing w:line="360" w:lineRule="auto" w:after="160"/>
        <w:ind w:firstLine="425"/>
        <w:jc w:val="both"/>
      </w:pPr>
      <w:r>
        <w:rPr>
          <w:rFonts w:ascii="Times New Roman" w:hAnsi="Times New Roman" w:eastAsia="Times New Roman"/>
          <w:b w:val="0"/>
          <w:color w:val="000000"/>
          <w:sz w:val="24"/>
        </w:rPr>
        <w:t>La figure 30 montre l'écran de publication et le code d'accès. Une fois l'examen publié, le professeur peut communiquer ce code aux étudiants. Cette figure relie la préparation au démarrage de l'épreuve.</w:t>
      </w:r>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pPr>
        <w:spacing w:line="360" w:lineRule="auto" w:after="160"/>
        <w:ind w:firstLine="425"/>
        <w:jc w:val="both"/>
      </w:pPr>
      <w:r>
        <w:rPr>
          <w:rFonts w:ascii="Times New Roman" w:hAnsi="Times New Roman" w:eastAsia="Times New Roman"/>
          <w:b w:val="0"/>
          <w:color w:val="000000"/>
          <w:sz w:val="24"/>
        </w:rPr>
        <w:t>La figure 31 présente le suivi en direct des participations. Le professeur voit qui est connecté, l'état des copies et les incidents signalés. Cette figure montre le pilotage de la salle pendant l'examen.</w:t>
      </w:r>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pPr>
        <w:spacing w:line="360" w:lineRule="auto" w:after="160"/>
        <w:ind w:firstLine="425"/>
        <w:jc w:val="both"/>
      </w:pPr>
      <w:r>
        <w:rPr>
          <w:rFonts w:ascii="Times New Roman" w:hAnsi="Times New Roman" w:eastAsia="Times New Roman"/>
          <w:b w:val="0"/>
          <w:color w:val="000000"/>
          <w:sz w:val="24"/>
        </w:rPr>
        <w:t>La figure 32 illustre la consultation des résultats et les exports. Après l'épreuve, le professeur peut lire les scores et exporter les données utiles. Cette figure montre la restitution finale du travail.</w:t>
      </w:r>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pPr>
        <w:spacing w:line="360" w:lineRule="auto" w:after="160"/>
        <w:ind w:firstLine="425"/>
        <w:jc w:val="both"/>
      </w:pPr>
      <w:r>
        <w:rPr>
          <w:rFonts w:ascii="Times New Roman" w:hAnsi="Times New Roman" w:eastAsia="Times New Roman"/>
          <w:b w:val="0"/>
          <w:color w:val="000000"/>
          <w:sz w:val="24"/>
        </w:rPr>
        <w:t>La figure 33 montre les consignes de sécurité et l'activation du plein écran. Avant de composer, l'étudiant doit accepter le cadre de l'épreuve. Cette figure présente le verrouillage initial côté navigateur.</w:t>
      </w:r>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pPr>
        <w:spacing w:line="360" w:lineRule="auto" w:after="160"/>
        <w:ind w:firstLine="425"/>
        <w:jc w:val="both"/>
      </w:pPr>
      <w:r>
        <w:rPr>
          <w:rFonts w:ascii="Times New Roman" w:hAnsi="Times New Roman" w:eastAsia="Times New Roman"/>
          <w:b w:val="0"/>
          <w:color w:val="000000"/>
          <w:sz w:val="24"/>
        </w:rPr>
        <w:t>La figure 34 présente la salle d'attente. L'étudiant reste connecté et informe jusqu'à l'heure de début. Cette figure montre la phase d'attente synchronisée avant l'ouverture de la composition.</w:t>
      </w:r>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pPr>
        <w:spacing w:line="360" w:lineRule="auto" w:after="160"/>
        <w:ind w:firstLine="425"/>
        <w:jc w:val="both"/>
      </w:pPr>
      <w:r>
        <w:rPr>
          <w:rFonts w:ascii="Times New Roman" w:hAnsi="Times New Roman" w:eastAsia="Times New Roman"/>
          <w:b w:val="0"/>
          <w:color w:val="000000"/>
          <w:sz w:val="24"/>
        </w:rPr>
        <w:t>La figure 35 illustre l'environnement de composition pendant l'examen. L'étudiant voit l'énoncé, écrit dans l'éditeur, peut exécuter un essai et soumettre sa copie. Cette figure montre l'écran principal de l'épreuve.</w:t>
      </w:r>
    </w:p>
    <w:p w14:paraId="657D1AF0"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pPr>
        <w:spacing w:line="360" w:lineRule="auto" w:after="160"/>
        <w:ind w:firstLine="425"/>
        <w:jc w:val="both"/>
      </w:pPr>
      <w:r>
        <w:rPr>
          <w:rFonts w:ascii="Times New Roman" w:hAnsi="Times New Roman" w:eastAsia="Times New Roman"/>
          <w:b w:val="0"/>
          <w:color w:val="000000"/>
          <w:sz w:val="24"/>
        </w:rPr>
        <w:t>La figure 36 montre la page d'accueil publique de Cylentic. Elle présente la plateforme et oriente vers la connexion. Cette figure correspond au premier contact d'un visiteur avec le service.</w:t>
      </w:r>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pendant l'examen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spacing w:line="360" w:lineRule="auto" w:after="120"/>
        <w:ind w:firstLine="0"/>
        <w:jc w:val="left"/>
      </w:pPr>
      <w:bookmarkStart w:id="184" w:name="bm_biblio"/>
      <w:bookmarkStart w:id="185" w:name="_Toc235117294"/>
      <w:bookmarkStart w:id="186" w:name="_Toc235117429"/>
      <w:r w:rsidRPr="0084737F">
        <w:rPr>
          <w:rFonts w:ascii="Times New Roman" w:eastAsia="Times New Roman" w:hAnsi="Times New Roman"/>
          <w:b/>
          <w:color w:val="000000"/>
          <w:sz w:val="24"/>
        </w:rPr>
        <w:t>Bibliographie</w:t>
      </w:r>
      <w:bookmarkEnd w:id="184"/>
      <w:bookmarkEnd w:id="185"/>
      <w:bookmarkEnd w:id="186"/>
    </w:p>
    <w:p>
      <w:pPr>
        <w:spacing w:line="360" w:lineRule="auto" w:after="120"/>
        <w:ind w:firstLine="0"/>
        <w:jc w:val="left"/>
      </w:pPr>
      <w:r>
        <w:rPr>
          <w:rFonts w:ascii="Times New Roman" w:hAnsi="Times New Roman" w:eastAsia="Times New Roman"/>
          <w:b w:val="0"/>
          <w:color w:val="000000"/>
          <w:sz w:val="24"/>
        </w:rPr>
        <w:t>[1] Object Management Group, OMG Unified Modeling Language (OMG UML), Version 2.5.1, 2017.</w:t>
      </w:r>
    </w:p>
    <w:p>
      <w:pPr>
        <w:spacing w:line="360" w:lineRule="auto" w:after="120"/>
        <w:ind w:firstLine="0"/>
        <w:jc w:val="left"/>
      </w:pPr>
      <w:r>
        <w:rPr>
          <w:rFonts w:ascii="Times New Roman" w:hAnsi="Times New Roman" w:eastAsia="Times New Roman"/>
          <w:b w:val="0"/>
          <w:color w:val="000000"/>
          <w:sz w:val="24"/>
        </w:rPr>
        <w:t>[2] R. S. Pressman et B. R. Maxim, Software Engineering: A Practitioner's Approach, 9e éd., McGraw-Hill, 2019.</w:t>
      </w:r>
    </w:p>
    <w:p>
      <w:pPr>
        <w:spacing w:line="360" w:lineRule="auto" w:after="120"/>
        <w:ind w:firstLine="0"/>
        <w:jc w:val="left"/>
      </w:pPr>
      <w:r>
        <w:rPr>
          <w:rFonts w:ascii="Times New Roman" w:hAnsi="Times New Roman" w:eastAsia="Times New Roman"/>
          <w:b w:val="0"/>
          <w:color w:val="000000"/>
          <w:sz w:val="24"/>
        </w:rPr>
        <w:t>[3] I. Sommerville, Software Engineering, 10e éd., Pearson, 2016.</w:t>
      </w:r>
    </w:p>
    <w:p>
      <w:pPr>
        <w:spacing w:line="360" w:lineRule="auto" w:after="120"/>
        <w:ind w:firstLine="0"/>
        <w:jc w:val="left"/>
      </w:pPr>
      <w:r>
        <w:rPr>
          <w:rFonts w:ascii="Times New Roman" w:hAnsi="Times New Roman" w:eastAsia="Times New Roman"/>
          <w:b w:val="0"/>
          <w:color w:val="000000"/>
          <w:sz w:val="24"/>
        </w:rPr>
        <w:t>[4] G. Booch, J. Rumbaugh et I. Jacobson, The Unified Modeling Language User Guide, 2e éd., Addison-Wesley, 2005.</w:t>
      </w:r>
    </w:p>
    <w:p>
      <w:pPr>
        <w:spacing w:line="360" w:lineRule="auto" w:after="120"/>
        <w:ind w:firstLine="0"/>
        <w:jc w:val="left"/>
      </w:pPr>
      <w:r>
        <w:rPr>
          <w:rFonts w:ascii="Times New Roman" w:hAnsi="Times New Roman" w:eastAsia="Times New Roman"/>
          <w:b w:val="0"/>
          <w:color w:val="000000"/>
          <w:sz w:val="24"/>
        </w:rPr>
        <w:t>[5] M. Fowler, Patterns of Enterprise Application Architecture, Addison-Wesley, 2002.</w:t>
      </w:r>
    </w:p>
    <w:p>
      <w:pPr>
        <w:spacing w:line="360" w:lineRule="auto" w:after="120"/>
        <w:ind w:firstLine="0"/>
        <w:jc w:val="left"/>
      </w:pPr>
      <w:r>
        <w:rPr>
          <w:rFonts w:ascii="Times New Roman" w:hAnsi="Times New Roman" w:eastAsia="Times New Roman"/>
          <w:b w:val="0"/>
          <w:color w:val="000000"/>
          <w:sz w:val="24"/>
        </w:rPr>
        <w:t>[6] ESTA, Guide du stagiaire Master/Ingénieur, année académique 2024-2025.</w:t>
      </w:r>
    </w:p>
    <w:p>
      <w:r>
        <w:br w:type="page"/>
      </w:r>
    </w:p>
    <w:p>
      <w:pPr>
        <w:pStyle w:val="Titre1"/>
        <w:spacing w:line="360" w:lineRule="auto" w:after="120"/>
        <w:ind w:firstLine="0"/>
        <w:jc w:val="left"/>
      </w:pPr>
      <w:r>
        <w:rPr>
          <w:rFonts w:ascii="Times New Roman" w:hAnsi="Times New Roman" w:eastAsia="Times New Roman"/>
          <w:b/>
          <w:color w:val="000000"/>
          <w:sz w:val="24"/>
        </w:rPr>
        <w:t>Webographie</w:t>
      </w:r>
    </w:p>
    <w:p>
      <w:pPr>
        <w:spacing w:line="360" w:lineRule="auto" w:after="120"/>
        <w:ind w:firstLine="0"/>
        <w:jc w:val="left"/>
      </w:pPr>
      <w:r>
        <w:rPr>
          <w:rFonts w:ascii="Times New Roman" w:hAnsi="Times New Roman" w:eastAsia="Times New Roman"/>
          <w:b w:val="0"/>
          <w:color w:val="000000"/>
          <w:sz w:val="24"/>
        </w:rPr>
        <w:t>[1] Vercel, Next.js Documentation, https://nextjs.org/docs, consulté le 01/06/2026 à 09h20.</w:t>
      </w:r>
    </w:p>
    <w:p>
      <w:pPr>
        <w:spacing w:line="360" w:lineRule="auto" w:after="120"/>
        <w:ind w:firstLine="0"/>
        <w:jc w:val="left"/>
      </w:pPr>
      <w:r>
        <w:rPr>
          <w:rFonts w:ascii="Times New Roman" w:hAnsi="Times New Roman" w:eastAsia="Times New Roman"/>
          <w:b w:val="0"/>
          <w:color w:val="000000"/>
          <w:sz w:val="24"/>
        </w:rPr>
        <w:t>[2] Prisma, Prisma Documentation, https://www.prisma.io/docs, consulté le 03/06/2026 à 14h45.</w:t>
      </w:r>
    </w:p>
    <w:p>
      <w:pPr>
        <w:spacing w:line="360" w:lineRule="auto" w:after="120"/>
        <w:ind w:firstLine="0"/>
        <w:jc w:val="left"/>
      </w:pPr>
      <w:r>
        <w:rPr>
          <w:rFonts w:ascii="Times New Roman" w:hAnsi="Times New Roman" w:eastAsia="Times New Roman"/>
          <w:b w:val="0"/>
          <w:color w:val="000000"/>
          <w:sz w:val="24"/>
        </w:rPr>
        <w:t>[3] Oracle, MySQL 8 Documentation, https://dev.mysql.com/doc/, consulté le 05/06/2026 à 10h10.</w:t>
      </w:r>
    </w:p>
    <w:p>
      <w:pPr>
        <w:spacing w:line="360" w:lineRule="auto" w:after="120"/>
        <w:ind w:firstLine="0"/>
        <w:jc w:val="left"/>
      </w:pPr>
      <w:r>
        <w:rPr>
          <w:rFonts w:ascii="Times New Roman" w:hAnsi="Times New Roman" w:eastAsia="Times New Roman"/>
          <w:b w:val="0"/>
          <w:color w:val="000000"/>
          <w:sz w:val="24"/>
        </w:rPr>
        <w:t>[4] Docker Inc., Docker Documentation, https://docs.docker.com/, consulté le 08/06/2026 à 16h30.</w:t>
      </w:r>
    </w:p>
    <w:p>
      <w:pPr>
        <w:spacing w:line="360" w:lineRule="auto" w:after="120"/>
        <w:ind w:firstLine="0"/>
        <w:jc w:val="left"/>
      </w:pPr>
      <w:r>
        <w:rPr>
          <w:rFonts w:ascii="Times New Roman" w:hAnsi="Times New Roman" w:eastAsia="Times New Roman"/>
          <w:b w:val="0"/>
          <w:color w:val="000000"/>
          <w:sz w:val="24"/>
        </w:rPr>
        <w:t>[5] Redis Ltd, Redis Documentation, https://redis.io/docs/, consulté le 11/06/2026 à 11h05.</w:t>
      </w:r>
    </w:p>
    <w:p>
      <w:pPr>
        <w:spacing w:line="360" w:lineRule="auto" w:after="120"/>
        <w:ind w:firstLine="0"/>
        <w:jc w:val="left"/>
      </w:pPr>
      <w:r>
        <w:rPr>
          <w:rFonts w:ascii="Times New Roman" w:hAnsi="Times New Roman" w:eastAsia="Times New Roman"/>
          <w:b w:val="0"/>
          <w:color w:val="000000"/>
          <w:sz w:val="24"/>
        </w:rPr>
        <w:t>[6] Microsoft, Monaco Editor, https://microsoft.github.io/monaco-editor/, consulté le 14/06/2026 à 15h50.</w:t>
      </w:r>
    </w:p>
    <w:p>
      <w:pPr>
        <w:spacing w:line="360" w:lineRule="auto" w:after="120"/>
        <w:ind w:firstLine="0"/>
        <w:jc w:val="left"/>
      </w:pPr>
      <w:r>
        <w:rPr>
          <w:rFonts w:ascii="Times New Roman" w:hAnsi="Times New Roman" w:eastAsia="Times New Roman"/>
          <w:b w:val="0"/>
          <w:color w:val="000000"/>
          <w:sz w:val="24"/>
        </w:rPr>
        <w:t>[7] PlantUML, https://plantuml.com/, consulté le 17/06/2026 à 08h40.</w:t>
      </w:r>
    </w:p>
    <w:p>
      <w:pPr>
        <w:spacing w:line="360" w:lineRule="auto" w:after="120"/>
        <w:ind w:firstLine="0"/>
        <w:jc w:val="left"/>
      </w:pPr>
      <w:r>
        <w:rPr>
          <w:rFonts w:ascii="Times New Roman" w:hAnsi="Times New Roman" w:eastAsia="Times New Roman"/>
          <w:b w:val="0"/>
          <w:color w:val="000000"/>
          <w:sz w:val="24"/>
        </w:rPr>
        <w:t>[8] freeCodeCamp, https://www.freecodecamp.org/, consulté le 20/06/2026 à 13h15.</w:t>
      </w:r>
    </w:p>
    <w:p>
      <w:pPr>
        <w:spacing w:line="360" w:lineRule="auto" w:after="120"/>
        <w:ind w:firstLine="0"/>
        <w:jc w:val="left"/>
      </w:pPr>
      <w:r>
        <w:rPr>
          <w:rFonts w:ascii="Times New Roman" w:hAnsi="Times New Roman" w:eastAsia="Times New Roman"/>
          <w:b w:val="0"/>
          <w:color w:val="000000"/>
          <w:sz w:val="24"/>
        </w:rPr>
        <w:t>[9] Moodle HQ, Moodle Documentation, https://docs.moodle.org/, consulté le 24/06/2026 à 10h55.</w:t>
      </w:r>
    </w:p>
    <w:p>
      <w:pPr>
        <w:spacing w:line="360" w:lineRule="auto" w:after="120"/>
        <w:ind w:firstLine="0"/>
        <w:jc w:val="left"/>
      </w:pPr>
      <w:r>
        <w:rPr>
          <w:rFonts w:ascii="Times New Roman" w:hAnsi="Times New Roman" w:eastAsia="Times New Roman"/>
          <w:b w:val="0"/>
          <w:color w:val="000000"/>
          <w:sz w:val="24"/>
        </w:rPr>
        <w:t>[10] Judge0, Judge0 CE, https://judge0.com/, consulté le 28/06/2026 à 17h25.</w:t>
      </w:r>
    </w:p>
    <w:p>
      <w:pPr>
        <w:spacing w:line="360" w:lineRule="auto" w:after="120"/>
        <w:ind w:firstLine="0"/>
        <w:jc w:val="left"/>
      </w:pPr>
      <w:r>
        <w:rPr>
          <w:rFonts w:ascii="Times New Roman" w:hAnsi="Times New Roman" w:eastAsia="Times New Roman"/>
          <w:b w:val="0"/>
          <w:color w:val="000000"/>
          <w:sz w:val="24"/>
        </w:rPr>
        <w:t>[11] MDN Web Docs, Web APIs, https://developer.mozilla.org/docs/Web/API, consulté le 02/07/2026 à 09h35.</w:t>
      </w:r>
    </w:p>
    <w:p>
      <w:pPr>
        <w:spacing w:line="360" w:lineRule="auto" w:after="120"/>
        <w:ind w:firstLine="0"/>
        <w:jc w:val="left"/>
      </w:pPr>
      <w:r>
        <w:rPr>
          <w:rFonts w:ascii="Times New Roman" w:hAnsi="Times New Roman" w:eastAsia="Times New Roman"/>
          <w:b w:val="0"/>
          <w:color w:val="000000"/>
          <w:sz w:val="24"/>
        </w:rPr>
        <w:t>[12] JWT.io, Introduction to JSON Web Tokens, https://jwt.io/introduction, consulté le 07/07/2026 à 15h10.</w:t>
      </w:r>
    </w:p>
    <w:p>
      <w:r>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pPr>
        <w:pStyle w:val="TM1"/>
      </w:pPr>
      <w:r>
        <w:rPr>
          <w:color w:val="000000"/>
          <w:rFonts w:ascii="Times New Roman" w:hAnsi="Times New Roman"/>
          <w:sz w:val="24"/>
        </w:rPr>
        <w:fldChar w:fldCharType="begin"/>
        <w:instrText xml:space="preserve">TOC \o "1-3" \z \u</w:instrText>
        <w:fldChar w:fldCharType="separate"/>
        <w:t> </w:t>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