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spacing w:line="360" w:lineRule="auto" w:after="160"/>
        <w:ind w:firstLine="0"/>
        <w:jc w:val="center"/>
      </w:pPr>
      <w:r>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 passation et signalé les points durs de l'interface.</w:t>
      </w:r>
      <w:r w:rsidRPr="0084737F">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3</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pPr>
        <w:spacing w:line="360" w:lineRule="auto" w:after="160"/>
        <w:ind w:firstLine="0"/>
        <w:jc w:val="left"/>
      </w:pPr>
      <w:r>
        <w:rPr>
          <w:rFonts w:ascii="Times New Roman" w:hAnsi="Times New Roman" w:eastAsia="Times New Roman"/>
          <w:b w:val="0"/>
          <w:color w:val="000000"/>
          <w:sz w:val="24"/>
        </w:rPr>
        <w:t>ADM : Préfixe d'identifiant administrateur d'établissement</w:t>
      </w:r>
    </w:p>
    <w:p>
      <w:pPr>
        <w:spacing w:line="360" w:lineRule="auto" w:after="160"/>
        <w:ind w:firstLine="0"/>
        <w:jc w:val="left"/>
      </w:pPr>
      <w:r>
        <w:rPr>
          <w:rFonts w:ascii="Times New Roman" w:hAnsi="Times New Roman" w:eastAsia="Times New Roman"/>
          <w:b w:val="0"/>
          <w:color w:val="000000"/>
          <w:sz w:val="24"/>
        </w:rPr>
        <w:t>ETU : Préfixe d'identifiant étudiant</w:t>
      </w:r>
    </w:p>
    <w:p>
      <w:pPr>
        <w:spacing w:line="360" w:lineRule="auto" w:after="160"/>
        <w:ind w:firstLine="0"/>
        <w:jc w:val="left"/>
      </w:pPr>
      <w:r>
        <w:rPr>
          <w:rFonts w:ascii="Times New Roman" w:hAnsi="Times New Roman" w:eastAsia="Times New Roman"/>
          <w:b w:val="0"/>
          <w:color w:val="000000"/>
          <w:sz w:val="24"/>
        </w:rPr>
        <w:t>HTTP : HyperText Transfer Protocol</w:t>
      </w:r>
    </w:p>
    <w:p w14:paraId="307D6DDB" w14:textId="25BC5C2D" w:rsidR="00833B9A" w:rsidRPr="00912FF2" w:rsidRDefault="00892582">
      <w:pPr>
        <w:spacing w:after="60"/>
        <w:rPr>
          <w:lang w:val="en-US"/>
        </w:rPr>
      </w:pPr>
      <w:r w:rsidRPr="00912FF2">
        <w:rPr>
          <w:color w:val="000000"/>
          <w:lang w:val="en-US"/>
        </w:rPr>
        <w:t>API:</w:t>
      </w:r>
      <w:r w:rsidR="008912C8" w:rsidRPr="00912FF2">
        <w:rPr>
          <w:color w:val="000000"/>
          <w:lang w:val="en-US"/>
        </w:rPr>
        <w:t xml:space="preserve"> Application Programming Interface</w:t>
      </w:r>
    </w:p>
    <w:p w14:paraId="56EC4996" w14:textId="296552BB" w:rsidR="00833B9A" w:rsidRPr="00912FF2" w:rsidRDefault="00892582">
      <w:pPr>
        <w:spacing w:after="60"/>
        <w:rPr>
          <w:lang w:val="en-US"/>
        </w:rPr>
      </w:pPr>
      <w:r w:rsidRPr="00912FF2">
        <w:rPr>
          <w:color w:val="000000"/>
          <w:lang w:val="en-US"/>
        </w:rPr>
        <w:t>CSV:</w:t>
      </w:r>
      <w:r w:rsidR="008912C8" w:rsidRPr="00912FF2">
        <w:rPr>
          <w:color w:val="000000"/>
          <w:lang w:val="en-US"/>
        </w:rPr>
        <w:t xml:space="preserve"> Comma-Separated Values</w:t>
      </w:r>
    </w:p>
    <w:p w14:paraId="2F1F592A" w14:textId="03636311" w:rsidR="00833B9A" w:rsidRPr="00912FF2" w:rsidRDefault="00892582">
      <w:pPr>
        <w:spacing w:after="60"/>
        <w:rPr>
          <w:lang w:val="en-US"/>
        </w:rPr>
      </w:pPr>
      <w:r w:rsidRPr="00912FF2">
        <w:rPr>
          <w:color w:val="000000"/>
          <w:lang w:val="en-US"/>
        </w:rPr>
        <w:t>HTTPS:</w:t>
      </w:r>
      <w:r w:rsidR="008912C8" w:rsidRPr="00912FF2">
        <w:rPr>
          <w:color w:val="000000"/>
          <w:lang w:val="en-US"/>
        </w:rPr>
        <w:t xml:space="preserve"> HyperText Transfer Protocol Secure</w:t>
      </w:r>
    </w:p>
    <w:p w14:paraId="60AC5E39" w14:textId="18E19993" w:rsidR="00833B9A" w:rsidRPr="00912FF2" w:rsidRDefault="00892582">
      <w:pPr>
        <w:spacing w:after="60"/>
        <w:rPr>
          <w:lang w:val="en-US"/>
        </w:rPr>
      </w:pPr>
      <w:r w:rsidRPr="00912FF2">
        <w:rPr>
          <w:color w:val="000000"/>
          <w:lang w:val="en-US"/>
        </w:rPr>
        <w:t>IDE:</w:t>
      </w:r>
      <w:r w:rsidR="008912C8" w:rsidRPr="00912FF2">
        <w:rPr>
          <w:color w:val="000000"/>
          <w:lang w:val="en-US"/>
        </w:rPr>
        <w:t xml:space="preserve"> Integrated Development Environment</w:t>
      </w:r>
    </w:p>
    <w:p w14:paraId="4FA792DD" w14:textId="605DEFCB" w:rsidR="00833B9A" w:rsidRPr="00912FF2" w:rsidRDefault="00892582">
      <w:pPr>
        <w:spacing w:after="60"/>
        <w:rPr>
          <w:lang w:val="en-US"/>
        </w:rPr>
      </w:pPr>
      <w:r w:rsidRPr="00912FF2">
        <w:rPr>
          <w:color w:val="000000"/>
          <w:lang w:val="en-US"/>
        </w:rPr>
        <w:t>IP:</w:t>
      </w:r>
      <w:r w:rsidR="008912C8" w:rsidRPr="00912FF2">
        <w:rPr>
          <w:color w:val="000000"/>
          <w:lang w:val="en-US"/>
        </w:rPr>
        <w:t xml:space="preserve"> Internet Protocol</w:t>
      </w:r>
    </w:p>
    <w:p w14:paraId="6ABA002C" w14:textId="39E2A8F3" w:rsidR="00833B9A" w:rsidRPr="00912FF2" w:rsidRDefault="00892582">
      <w:pPr>
        <w:spacing w:after="60"/>
        <w:rPr>
          <w:lang w:val="en-US"/>
        </w:rPr>
      </w:pPr>
      <w:r w:rsidRPr="00912FF2">
        <w:rPr>
          <w:color w:val="000000"/>
          <w:lang w:val="en-US"/>
        </w:rPr>
        <w:t>JSON:</w:t>
      </w:r>
      <w:r w:rsidR="008912C8" w:rsidRPr="00912FF2">
        <w:rPr>
          <w:color w:val="000000"/>
          <w:lang w:val="en-US"/>
        </w:rPr>
        <w:t xml:space="preserve"> JavaScript Object Notation</w:t>
      </w:r>
    </w:p>
    <w:p w14:paraId="7CA59AA8" w14:textId="6CD64F06" w:rsidR="00833B9A" w:rsidRPr="00912FF2" w:rsidRDefault="00892582">
      <w:pPr>
        <w:spacing w:after="60"/>
        <w:rPr>
          <w:lang w:val="en-US"/>
        </w:rPr>
      </w:pPr>
      <w:r w:rsidRPr="00912FF2">
        <w:rPr>
          <w:color w:val="000000"/>
          <w:lang w:val="en-US"/>
        </w:rPr>
        <w:t>JWT:</w:t>
      </w:r>
      <w:r w:rsidR="008912C8" w:rsidRPr="00912FF2">
        <w:rPr>
          <w:color w:val="000000"/>
          <w:lang w:val="en-US"/>
        </w:rPr>
        <w:t xml:space="preserve"> JSON Web Token</w:t>
      </w:r>
    </w:p>
    <w:p w14:paraId="782B16D7" w14:textId="1D0E347C" w:rsidR="00833B9A" w:rsidRPr="00912FF2" w:rsidRDefault="00892582">
      <w:pPr>
        <w:spacing w:after="60"/>
        <w:rPr>
          <w:lang w:val="en-US"/>
        </w:rPr>
      </w:pPr>
      <w:r w:rsidRPr="00912FF2">
        <w:rPr>
          <w:color w:val="000000"/>
          <w:lang w:val="en-US"/>
        </w:rPr>
        <w:t>LMS:</w:t>
      </w:r>
      <w:r w:rsidR="008912C8" w:rsidRPr="00912FF2">
        <w:rPr>
          <w:color w:val="000000"/>
          <w:lang w:val="en-US"/>
        </w:rPr>
        <w:t xml:space="preserve"> Learning Management System</w:t>
      </w:r>
    </w:p>
    <w:p w14:paraId="28182108" w14:textId="3F7EB686" w:rsidR="00833B9A" w:rsidRPr="0084737F" w:rsidRDefault="008912C8">
      <w:pPr>
        <w:spacing w:after="60"/>
      </w:pPr>
      <w:proofErr w:type="gramStart"/>
      <w:r w:rsidRPr="0084737F">
        <w:rPr>
          <w:color w:val="000000"/>
        </w:rPr>
        <w:t>MVP:</w:t>
      </w:r>
      <w:proofErr w:type="gramEnd"/>
      <w:r w:rsidRPr="0084737F">
        <w:rPr>
          <w:color w:val="000000"/>
        </w:rPr>
        <w:t xml:space="preserve"> Minimum Viable Product</w:t>
      </w:r>
    </w:p>
    <w:p w14:paraId="40B7EB2D" w14:textId="7B2D0B8B" w:rsidR="00833B9A" w:rsidRPr="0084737F" w:rsidRDefault="008912C8">
      <w:pPr>
        <w:spacing w:after="60"/>
      </w:pPr>
      <w:proofErr w:type="gramStart"/>
      <w:r w:rsidRPr="0084737F">
        <w:rPr>
          <w:color w:val="000000"/>
        </w:rPr>
        <w:t>PDF:</w:t>
      </w:r>
      <w:proofErr w:type="gramEnd"/>
      <w:r w:rsidRPr="0084737F">
        <w:rPr>
          <w:color w:val="000000"/>
        </w:rPr>
        <w:t xml:space="preserve"> Portable Document Format</w:t>
      </w:r>
    </w:p>
    <w:p w14:paraId="6AC5EAD2" w14:textId="0A20BDAC" w:rsidR="00833B9A" w:rsidRPr="0084737F" w:rsidRDefault="008912C8">
      <w:pPr>
        <w:spacing w:after="60"/>
      </w:pPr>
      <w:proofErr w:type="gramStart"/>
      <w:r w:rsidRPr="0084737F">
        <w:rPr>
          <w:color w:val="000000"/>
        </w:rPr>
        <w:t>PROF:</w:t>
      </w:r>
      <w:proofErr w:type="gramEnd"/>
      <w:r w:rsidRPr="0084737F">
        <w:rPr>
          <w:color w:val="000000"/>
        </w:rPr>
        <w:t xml:space="preserve"> Préfixe d'identifiant professeur</w:t>
      </w:r>
    </w:p>
    <w:p w14:paraId="45CE7373" w14:textId="251931CC" w:rsidR="00833B9A" w:rsidRPr="0084737F" w:rsidRDefault="008912C8">
      <w:pPr>
        <w:spacing w:after="60"/>
      </w:pPr>
      <w:proofErr w:type="gramStart"/>
      <w:r w:rsidRPr="0084737F">
        <w:rPr>
          <w:color w:val="000000"/>
        </w:rPr>
        <w:t>QCM:</w:t>
      </w:r>
      <w:proofErr w:type="gramEnd"/>
      <w:r w:rsidRPr="0084737F">
        <w:rPr>
          <w:color w:val="000000"/>
        </w:rPr>
        <w:t xml:space="preserve"> Questionnaire à choix multiples</w:t>
      </w:r>
    </w:p>
    <w:p w14:paraId="1C2FD1AE" w14:textId="52982F6F" w:rsidR="00833B9A" w:rsidRPr="0084737F" w:rsidRDefault="008912C8">
      <w:pPr>
        <w:spacing w:after="60"/>
      </w:pPr>
      <w:proofErr w:type="gramStart"/>
      <w:r w:rsidRPr="0084737F">
        <w:rPr>
          <w:color w:val="000000"/>
        </w:rPr>
        <w:t>REST:</w:t>
      </w:r>
      <w:proofErr w:type="gramEnd"/>
      <w:r w:rsidRPr="0084737F">
        <w:rPr>
          <w:color w:val="000000"/>
        </w:rPr>
        <w:t xml:space="preserve"> Representational State Transfer</w:t>
      </w:r>
    </w:p>
    <w:p w14:paraId="718BBDF3" w14:textId="33608460" w:rsidR="00833B9A" w:rsidRPr="0084737F" w:rsidRDefault="008912C8">
      <w:pPr>
        <w:spacing w:after="60"/>
      </w:pPr>
      <w:proofErr w:type="gramStart"/>
      <w:r w:rsidRPr="0084737F">
        <w:rPr>
          <w:color w:val="000000"/>
        </w:rPr>
        <w:t>SADM:</w:t>
      </w:r>
      <w:proofErr w:type="gramEnd"/>
      <w:r w:rsidRPr="0084737F">
        <w:rPr>
          <w:color w:val="000000"/>
        </w:rPr>
        <w:t xml:space="preserve"> Préfixe d'identifiant Super Admin</w:t>
      </w:r>
    </w:p>
    <w:p w14:paraId="190306E5" w14:textId="18C3228E" w:rsidR="00833B9A" w:rsidRPr="0084737F" w:rsidRDefault="008912C8">
      <w:pPr>
        <w:spacing w:after="60"/>
      </w:pPr>
      <w:proofErr w:type="gramStart"/>
      <w:r w:rsidRPr="0084737F">
        <w:rPr>
          <w:color w:val="000000"/>
        </w:rPr>
        <w:t>SGBD:</w:t>
      </w:r>
      <w:proofErr w:type="gramEnd"/>
      <w:r w:rsidRPr="0084737F">
        <w:rPr>
          <w:color w:val="000000"/>
        </w:rPr>
        <w:t xml:space="preserve"> Système de gestion de bases de données</w:t>
      </w:r>
    </w:p>
    <w:p w14:paraId="242C3D29" w14:textId="11116699" w:rsidR="00833B9A" w:rsidRPr="0084737F" w:rsidRDefault="008912C8">
      <w:pPr>
        <w:spacing w:after="60"/>
      </w:pPr>
      <w:proofErr w:type="gramStart"/>
      <w:r w:rsidRPr="0084737F">
        <w:rPr>
          <w:color w:val="000000"/>
        </w:rPr>
        <w:t>UML:</w:t>
      </w:r>
      <w:proofErr w:type="gramEnd"/>
      <w:r w:rsidRPr="0084737F">
        <w:rPr>
          <w:color w:val="000000"/>
        </w:rPr>
        <w:t xml:space="preserve"> Unified Modeling Language</w:t>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passation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20</w:t>
        </w:r>
        <w:r>
          <w:rPr>
            <w:noProof/>
            <w:webHidden/>
          </w:rPr>
          <w:fldChar w:fldCharType="end"/>
        </w:r>
      </w:hyperlink>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passation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22</w:t>
        </w:r>
        <w:r>
          <w:rPr>
            <w:noProof/>
            <w:webHidden/>
          </w:rPr>
          <w:fldChar w:fldCharType="end"/>
        </w:r>
      </w:hyperlink>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passation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23</w:t>
        </w:r>
        <w:r>
          <w:rPr>
            <w:noProof/>
            <w:webHidden/>
          </w:rPr>
          <w:fldChar w:fldCharType="end"/>
        </w:r>
      </w:hyperlink>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1572F79A" w14:textId="77777777" w:rsidR="00833B9A" w:rsidRPr="0084737F" w:rsidRDefault="008912C8">
      <w:r w:rsidRPr="0084737F">
        <w:br w:type="page"/>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Pr>
          <w:rFonts w:ascii="Times New Roman" w:hAnsi="Times New Roman" w:eastAsia="Times New Roman"/>
          <w:b w:val="0"/>
          <w:color w:val="000000"/>
          <w:sz w:val="24"/>
        </w:rPr>
        <w:t>Le rapport s'organise en cinq chapitres. Le premier présente l'état de l'art. Le deuxième formalise les besoins et compare les solutions existantes. Le troisième présente la conception. Le quatrième décrit la réalisation. Le cinquième discute les tests, les limites et les perspectives.</w:t>
      </w:r>
    </w:p>
    <w:p>
      <w:pPr>
        <w:spacing w:line="360" w:lineRule="auto" w:after="160"/>
        <w:ind w:firstLine="425"/>
        <w:jc w:val="both"/>
      </w:pPr>
      <w:r>
        <w:rPr>
          <w:rFonts w:ascii="Times New Roman" w:hAnsi="Times New Roman" w:eastAsia="Times New Roman"/>
          <w:b w:val="0"/>
          <w:color w:val="000000"/>
          <w:sz w:val="24"/>
        </w:rPr>
        <w:t>Au terme de ce travail, plusieurs résultats sont attendus : une analyse structurée des limites des outils existants pour l'évaluation de la programmation en salle ; une conception documentée de Cylentic (UML, architecture, données) ; un prototype fonctionnel couvrant les parcours critiques du MVP ; une validation par tests des scénarios d'examen surveillé.</w:t>
      </w:r>
    </w:p>
    <w:p>
      <w:pPr>
        <w:spacing w:line="360" w:lineRule="auto" w:after="160"/>
        <w:ind w:firstLine="425"/>
        <w:jc w:val="both"/>
      </w:pPr>
      <w:r>
        <w:rPr>
          <w:rFonts w:ascii="Times New Roman" w:hAnsi="Times New Roman" w:eastAsia="Times New Roman"/>
          <w:b w:val="0"/>
          <w:color w:val="000000"/>
          <w:sz w:val="24"/>
        </w:rPr>
        <w:t>L'atteinte de ces objectifs repose sur les hypothèses de recherche suivantes :</w:t>
      </w:r>
    </w:p>
    <w:p>
      <w:pPr>
        <w:spacing w:line="360" w:lineRule="auto" w:after="160"/>
        <w:ind w:firstLine="0"/>
        <w:jc w:val="both"/>
      </w:pPr>
      <w:r>
        <w:rPr>
          <w:rFonts w:ascii="Times New Roman" w:hAnsi="Times New Roman" w:eastAsia="Times New Roman"/>
          <w:b w:val="0"/>
          <w:color w:val="000000"/>
          <w:sz w:val="24"/>
        </w:rPr>
        <w:t>• un verrouillage suffisant du navigateur, couplé à la journalisation des incidents, permet de restaurer la crédibilité des épreuves pratiques sur machine ;</w:t>
      </w:r>
    </w:p>
    <w:p>
      <w:pPr>
        <w:spacing w:line="360" w:lineRule="auto" w:after="160"/>
        <w:ind w:firstLine="0"/>
        <w:jc w:val="both"/>
      </w:pPr>
      <w:r>
        <w:rPr>
          <w:rFonts w:ascii="Times New Roman" w:hAnsi="Times New Roman" w:eastAsia="Times New Roman"/>
          <w:b w:val="0"/>
          <w:color w:val="000000"/>
          <w:sz w:val="24"/>
        </w:rPr>
        <w:t>• l'exécution isolée du code dans une sandbox et la correction automatique par tests unitaires offrent une évaluation fiable et reproductible ;</w:t>
      </w:r>
    </w:p>
    <w:p>
      <w:pPr>
        <w:spacing w:line="360" w:lineRule="auto" w:after="160"/>
        <w:ind w:firstLine="0"/>
        <w:jc w:val="both"/>
      </w:pPr>
      <w:r>
        <w:rPr>
          <w:rFonts w:ascii="Times New Roman" w:hAnsi="Times New Roman" w:eastAsia="Times New Roman"/>
          <w:b w:val="0"/>
          <w:color w:val="000000"/>
          <w:sz w:val="24"/>
        </w:rPr>
        <w:t>• une architecture web multi établissement, déployable sans installation lourde côté étudiant, répond aux contraintes des salles informatiques partagées.</w:t>
      </w:r>
    </w:p>
    <w:p>
      <w:pPr>
        <w:spacing w:line="360" w:lineRule="auto" w:after="160"/>
        <w:ind w:firstLine="425"/>
        <w:jc w:val="both"/>
      </w:pPr>
      <w:r>
        <w:rPr>
          <w:rFonts w:ascii="Times New Roman" w:hAnsi="Times New Roman" w:eastAsia="Times New Roman"/>
          <w:b w:val="0"/>
          <w:color w:val="000000"/>
          <w:sz w:val="24"/>
        </w:rPr>
        <w:t>Pour répondre à la problématique, nous avons adopté une démarche méthodologique structurée en cinq étapes : revue de l'état de l'art et analyse comparative des solutions existantes ; spécification des besoins et définition du périmètre du MVP ; conception UML et modélisation de l'architecture ; réalisation itérative avec Next.js, Prisma et MySQL ; validation par tests de parcours complets et contrôle de non régression.</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Pr>
          <w:rFonts w:ascii="Times New Roman" w:hAnsi="Times New Roman" w:eastAsia="Times New Roman"/>
          <w:b w:val="0"/>
          <w:color w:val="000000"/>
          <w:sz w:val="24"/>
        </w:rPr>
        <w:t>Face à la montée des assistants de génération de code, comment garantir l'intégrité et la crédibilité de l'évaluation de la programmation sur machine en salle informatique, tout en permettant l'exécution réelle du code et une correction fiable pour le professeur ?</w:t>
      </w:r>
    </w:p>
    <w:p w14:paraId="76FCB57C" w14:textId="77777777" w:rsidR="00833B9A" w:rsidRPr="0084737F" w:rsidRDefault="008912C8">
      <w:pPr>
        <w:spacing w:line="360" w:lineRule="auto" w:after="160"/>
        <w:ind w:firstLine="425"/>
        <w:jc w:val="both"/>
      </w:pPr>
      <w:r>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both"/>
      </w:pPr>
      <w:r>
        <w:rPr>
          <w:rFonts w:ascii="Times New Roman" w:hAnsi="Times New Roman" w:eastAsia="Times New Roman"/>
          <w:b/>
          <w:color w:val="000000"/>
          <w:sz w:val="24"/>
        </w:rPr>
        <w:t>Chapitre 1 : État de l'art</w:t>
      </w:r>
    </w:p>
    <w:p w14:paraId="4FEB3F1F" w14:textId="77777777" w:rsidR="00833B9A" w:rsidRPr="0084737F" w:rsidRDefault="008912C8">
      <w:pPr>
        <w:spacing w:line="360" w:lineRule="auto" w:after="160"/>
        <w:ind w:firstLine="425"/>
        <w:jc w:val="both"/>
      </w:pPr>
      <w:r>
        <w:rPr>
          <w:rFonts w:ascii="Times New Roman" w:hAnsi="Times New Roman" w:eastAsia="Times New Roman"/>
          <w:b w:val="0"/>
          <w:color w:val="000000"/>
          <w:sz w:val="24"/>
        </w:rPr>
        <w:t>Ce chapitre présente l'état de l'art du domaine : contexte pédagogique, contraintes locales et panorama des solutions existantes.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1.3 Panorama des solutions existantes</w:t>
      </w:r>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425"/>
        <w:jc w:val="both"/>
      </w:pPr>
      <w:r>
        <w:rPr>
          <w:rFonts w:ascii="Times New Roman" w:hAnsi="Times New Roman" w:eastAsia="Times New Roman"/>
          <w:b w:val="0"/>
          <w:color w:val="000000"/>
          <w:sz w:val="24"/>
        </w:rPr>
        <w:t>1.4 Synthèse des lacunes du domaine</w:t>
      </w:r>
    </w:p>
    <w:p w14:paraId="76A19F68"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1.5 Conclusion</w:t>
      </w:r>
    </w:p>
    <w:p w14:paraId="316D5949" w14:textId="77777777" w:rsidR="00833B9A" w:rsidRPr="0084737F" w:rsidRDefault="008912C8">
      <w:pPr>
        <w:ind w:firstLine="425"/>
        <w:jc w:val="both"/>
      </w:pPr>
      <w:r w:rsidRPr="00667BE1">
        <w:rPr>
          <w:color w:val="000000"/>
        </w:rPr>
        <w:t>Le constat est net : le problème existe, les outils ne le couvrent que par morceaux, et Cylentic a une place utile. Le chapitre suivant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pStyle w:val="Titre2"/>
        <w:spacing w:line="360" w:lineRule="auto" w:after="160"/>
        <w:ind w:firstLine="0"/>
        <w:jc w:val="both"/>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objectiver l'analyse de l'état de l'art, le tableau ci-dessous compare les principales familles de solutions aux exigences d'un examen de programmation surveillé en salle.</w:t>
      </w:r>
    </w:p>
    <w:p>
      <w:pPr>
        <w:spacing w:line="360" w:lineRule="auto" w:after="160"/>
        <w:ind w:firstLine="0"/>
        <w:jc w:val="left"/>
      </w:pPr>
      <w:r>
        <w:rPr>
          <w:rFonts w:ascii="Times New Roman" w:hAnsi="Times New Roman" w:eastAsia="Times New Roman"/>
          <w:b/>
          <w:color w:val="000000"/>
          <w:sz w:val="24"/>
        </w:rPr>
        <w:t>Tableau 1 : Comparaison des solutions existantes et de Cylentic</w:t>
      </w:r>
    </w:p>
    <w:p>
      <w:pPr>
        <w:pStyle w:val="Titre2"/>
        <w:spacing w:line="360" w:lineRule="auto" w:after="160"/>
        <w:ind w:firstLine="425"/>
        <w:jc w:val="both"/>
      </w:pPr>
      <w:r>
        <w:rPr>
          <w:rFonts w:ascii="Times New Roman" w:hAnsi="Times New Roman" w:eastAsia="Times New Roman"/>
          <w:b w:val="0"/>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les outils disponibles couvrent chacun une facette du problème : apprentissage ouvert, gestion de cours, surveillance généraliste ou exécution isolée. Aucun ne réunit composition sécurisée, exécution réelle, correction automatique et traçabilité pédagogique dans un cadre adapté aux salles informatiques d'une école d'ingénieurs. Cette lacune justifie l'étude d'une solution dédiée.</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14:paraId="5E008339"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2.3 Périmètre du projet et du MVP</w:t>
      </w:r>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passation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2.4 Identification des acteurs</w:t>
      </w:r>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both"/>
      </w:pPr>
      <w:r>
        <w:rPr>
          <w:rFonts w:ascii="Times New Roman" w:hAnsi="Times New Roman" w:eastAsia="Times New Roman"/>
          <w:b/>
          <w:color w:val="000000"/>
          <w:sz w:val="24"/>
        </w:rPr>
        <w:t>2.5 Besoins fonctionnels</w:t>
      </w:r>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2.6 Besoins non fonctionnels</w:t>
      </w:r>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2.7 Règles métier structurantes</w:t>
      </w:r>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2.8 Scénarios d'usage prioritaires</w:t>
      </w:r>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2.9 Conclusion</w:t>
      </w:r>
    </w:p>
    <w:p w14:paraId="7AA14B21" w14:textId="77777777" w:rsidR="00833B9A" w:rsidRPr="0084737F" w:rsidRDefault="008912C8">
      <w:pPr>
        <w:ind w:firstLine="425"/>
        <w:jc w:val="both"/>
      </w:pPr>
      <w:r w:rsidRPr="0084737F">
        <w:rPr>
          <w:color w:val="000000"/>
        </w:rPr>
        <w:t>Le cahier des charges de Cylentic est posé : périmètre du MVP, acteurs, besoins fonctionnels et non fonctionnels, règles métier et scénarios prioritaires. Sur cette base, la conception du chapitre suivant peut se développer sans improvisation fonctionnelle.</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de passation (plein écran, visibilité d'onglet, garde du presse papiers, verrouillage clavier) vivent dans des hooks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sandbox forment des services distincts. Deux workers complètent le tableau : un pour la correction en file, un pour les transitions de statut d'examen.</w:t>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pPr>
        <w:spacing w:line="360" w:lineRule="auto" w:after="160"/>
        <w:ind w:firstLine="425"/>
        <w:jc w:val="both"/>
      </w:pPr>
      <w:r>
        <w:rPr>
          <w:rFonts w:ascii="Times New Roman" w:hAnsi="Times New Roman" w:eastAsia="Times New Roman"/>
          <w:b w:val="0"/>
          <w:color w:val="000000"/>
          <w:sz w:val="24"/>
        </w:rPr>
        <w:t>La figure 1 présente l'architecture logique de Cylentic : interface web, services métier, persistance des données et sandbox d'exécution du code.</w:t>
      </w:r>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pPr>
        <w:spacing w:line="360" w:lineRule="auto" w:after="160"/>
        <w:ind w:firstLine="425"/>
        <w:jc w:val="both"/>
      </w:pPr>
      <w:r>
        <w:rPr>
          <w:rFonts w:ascii="Times New Roman" w:hAnsi="Times New Roman" w:eastAsia="Times New Roman"/>
          <w:b w:val="0"/>
          <w:color w:val="000000"/>
          <w:sz w:val="24"/>
        </w:rPr>
        <w:t>La figure 2 illustre le déploiement physique de l'infrastructure : serveur applicatif, base MySQL, conteneurs Docker et postes clients en salle.</w:t>
      </w:r>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pPr>
        <w:spacing w:line="360" w:lineRule="auto" w:after="160"/>
        <w:ind w:firstLine="425"/>
        <w:jc w:val="both"/>
      </w:pPr>
      <w:r>
        <w:rPr>
          <w:rFonts w:ascii="Times New Roman" w:hAnsi="Times New Roman" w:eastAsia="Times New Roman"/>
          <w:b w:val="0"/>
          <w:color w:val="000000"/>
          <w:sz w:val="24"/>
        </w:rPr>
        <w:t>La figure 3 décrit les interactions du Super Admin avec la plateforme : gestion des établissements et pilotage global.</w:t>
      </w:r>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pPr>
        <w:spacing w:line="360" w:lineRule="auto" w:after="160"/>
        <w:ind w:firstLine="425"/>
        <w:jc w:val="both"/>
      </w:pPr>
      <w:r>
        <w:rPr>
          <w:rFonts w:ascii="Times New Roman" w:hAnsi="Times New Roman" w:eastAsia="Times New Roman"/>
          <w:b w:val="0"/>
          <w:color w:val="000000"/>
          <w:sz w:val="24"/>
        </w:rPr>
        <w:t>La figure 4 montre les cas d'utilisation de l'administrateur d'établissement pour la gestion de l'organisation scolaire.</w:t>
      </w:r>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pPr>
        <w:spacing w:line="360" w:lineRule="auto" w:after="160"/>
        <w:ind w:firstLine="425"/>
        <w:jc w:val="both"/>
      </w:pPr>
      <w:r>
        <w:rPr>
          <w:rFonts w:ascii="Times New Roman" w:hAnsi="Times New Roman" w:eastAsia="Times New Roman"/>
          <w:b w:val="0"/>
          <w:color w:val="000000"/>
          <w:sz w:val="24"/>
        </w:rPr>
        <w:t>La figure 5 présente la gestion des comptes professeurs et étudiants par l'administrateur d'établissement.</w:t>
      </w:r>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pPr>
        <w:spacing w:line="360" w:lineRule="auto" w:after="160"/>
        <w:ind w:firstLine="425"/>
        <w:jc w:val="both"/>
      </w:pPr>
      <w:r>
        <w:rPr>
          <w:rFonts w:ascii="Times New Roman" w:hAnsi="Times New Roman" w:eastAsia="Times New Roman"/>
          <w:b w:val="0"/>
          <w:color w:val="000000"/>
          <w:sz w:val="24"/>
        </w:rPr>
        <w:t>La figure 6 détaille les actions du professeur lors de la création, de la publication et de la configuration d'un examen.</w:t>
      </w:r>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pPr>
        <w:spacing w:line="360" w:lineRule="auto" w:after="160"/>
        <w:ind w:firstLine="425"/>
        <w:jc w:val="both"/>
      </w:pPr>
      <w:r>
        <w:rPr>
          <w:rFonts w:ascii="Times New Roman" w:hAnsi="Times New Roman" w:eastAsia="Times New Roman"/>
          <w:b w:val="0"/>
          <w:color w:val="000000"/>
          <w:sz w:val="24"/>
        </w:rPr>
        <w:t>La figure 7 illustre le suivi en direct des participations et la consultation des résultats par le professeur.</w:t>
      </w:r>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pPr>
        <w:spacing w:line="360" w:lineRule="auto" w:after="160"/>
        <w:ind w:firstLine="425"/>
        <w:jc w:val="both"/>
      </w:pPr>
      <w:r>
        <w:rPr>
          <w:rFonts w:ascii="Times New Roman" w:hAnsi="Times New Roman" w:eastAsia="Times New Roman"/>
          <w:b w:val="0"/>
          <w:color w:val="000000"/>
          <w:sz w:val="24"/>
        </w:rPr>
        <w:t>La figure 8 représente le parcours étudiant : connexion, salle d'attente, composition et soumission de l'examen.</w:t>
      </w:r>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 xml:space="preserve">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w:t>
      </w:r>
      <w:r w:rsidRPr="0084737F">
        <w:rPr>
          <w:color w:val="000000"/>
        </w:rPr>
        <w:lastRenderedPageBreak/>
        <w:t>participation, sauvegardes automatiques, soumissions, résultats de tests, réponses QCM et incidents.</w:t>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pPr>
        <w:spacing w:line="360" w:lineRule="auto" w:after="160"/>
        <w:ind w:firstLine="425"/>
        <w:jc w:val="both"/>
      </w:pPr>
      <w:r>
        <w:rPr>
          <w:rFonts w:ascii="Times New Roman" w:hAnsi="Times New Roman" w:eastAsia="Times New Roman"/>
          <w:b w:val="0"/>
          <w:color w:val="000000"/>
          <w:sz w:val="24"/>
        </w:rPr>
        <w:t>La figure 9 modélise les classes liées à l'organisation, aux établissements et aux comptes utilisateurs.</w:t>
      </w:r>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pPr>
        <w:spacing w:line="360" w:lineRule="auto" w:after="160"/>
        <w:ind w:firstLine="425"/>
        <w:jc w:val="both"/>
      </w:pPr>
      <w:r>
        <w:rPr>
          <w:rFonts w:ascii="Times New Roman" w:hAnsi="Times New Roman" w:eastAsia="Times New Roman"/>
          <w:b w:val="0"/>
          <w:color w:val="000000"/>
          <w:sz w:val="24"/>
        </w:rPr>
        <w:t>La figure 10 présente les classes intervenant dans la conception d'un examen et de ses exercices.</w:t>
      </w:r>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11</w:t>
      </w:r>
      <w:r>
        <w:rPr>
          <w:b w:val="0"/>
          <w:color w:val="000000"/>
          <w:sz w:val="22"/>
        </w:rPr>
        <w:fldChar w:fldCharType="end"/>
      </w:r>
      <w:r w:rsidRPr="0084737F">
        <w:rPr>
          <w:b w:val="0"/>
          <w:color w:val="000000"/>
          <w:sz w:val="22"/>
        </w:rPr>
        <w:t xml:space="preserve"> : Classes passation et correction</w:t>
      </w:r>
      <w:bookmarkEnd w:id="83"/>
    </w:p>
    <w:p>
      <w:pPr>
        <w:spacing w:line="360" w:lineRule="auto" w:after="160"/>
        <w:ind w:firstLine="425"/>
        <w:jc w:val="both"/>
      </w:pPr>
      <w:r>
        <w:rPr>
          <w:rFonts w:ascii="Times New Roman" w:hAnsi="Times New Roman" w:eastAsia="Times New Roman"/>
          <w:b w:val="0"/>
          <w:color w:val="000000"/>
          <w:sz w:val="24"/>
        </w:rPr>
        <w:t>La figure 11 décrit les classes de la passation d'examen, de la participation et de la correction automatique.</w:t>
      </w:r>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pPr>
        <w:spacing w:line="360" w:lineRule="auto" w:after="160"/>
        <w:ind w:firstLine="425"/>
        <w:jc w:val="both"/>
      </w:pPr>
      <w:r>
        <w:rPr>
          <w:rFonts w:ascii="Times New Roman" w:hAnsi="Times New Roman" w:eastAsia="Times New Roman"/>
          <w:b w:val="0"/>
          <w:color w:val="000000"/>
          <w:sz w:val="24"/>
        </w:rPr>
        <w:t>La figure 12 montre un diagramme d'objets illustrant les relations entre établissement, classes et utilisateurs.</w:t>
      </w:r>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pPr>
        <w:spacing w:line="360" w:lineRule="auto" w:after="160"/>
        <w:ind w:firstLine="425"/>
        <w:jc w:val="both"/>
      </w:pPr>
      <w:r>
        <w:rPr>
          <w:rFonts w:ascii="Times New Roman" w:hAnsi="Times New Roman" w:eastAsia="Times New Roman"/>
          <w:b w:val="0"/>
          <w:color w:val="000000"/>
          <w:sz w:val="24"/>
        </w:rPr>
        <w:t>La figure 13 illustre un examen instancié avec ses exercices et tests unitaires associés.</w:t>
      </w:r>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14</w:t>
      </w:r>
      <w:r>
        <w:rPr>
          <w:b w:val="0"/>
          <w:color w:val="000000"/>
          <w:sz w:val="22"/>
        </w:rPr>
        <w:fldChar w:fldCharType="end"/>
      </w:r>
      <w:r w:rsidRPr="0084737F">
        <w:rPr>
          <w:b w:val="0"/>
          <w:color w:val="000000"/>
          <w:sz w:val="22"/>
        </w:rPr>
        <w:t xml:space="preserve"> : Objets passation</w:t>
      </w:r>
      <w:bookmarkEnd w:id="86"/>
    </w:p>
    <w:p>
      <w:pPr>
        <w:spacing w:line="360" w:lineRule="auto" w:after="160"/>
        <w:ind w:firstLine="425"/>
        <w:jc w:val="both"/>
      </w:pPr>
      <w:r>
        <w:rPr>
          <w:rFonts w:ascii="Times New Roman" w:hAnsi="Times New Roman" w:eastAsia="Times New Roman"/>
          <w:b w:val="0"/>
          <w:color w:val="000000"/>
          <w:sz w:val="24"/>
        </w:rPr>
        <w:t>La figure 14 présente une participation étudiante en cours avec copie, incidents et résultats.</w:t>
      </w:r>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et de leurs dépendances.</w:t>
      </w:r>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pPr>
        <w:spacing w:line="360" w:lineRule="auto" w:after="160"/>
        <w:ind w:firstLine="425"/>
        <w:jc w:val="both"/>
      </w:pPr>
      <w:r>
        <w:rPr>
          <w:rFonts w:ascii="Times New Roman" w:hAnsi="Times New Roman" w:eastAsia="Times New Roman"/>
          <w:b w:val="0"/>
          <w:color w:val="000000"/>
          <w:sz w:val="24"/>
        </w:rPr>
        <w:t>La figure 16 détaille les composants d'administration, d'authentification et de gestion des rôles.</w:t>
      </w:r>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17</w:t>
      </w:r>
      <w:r>
        <w:rPr>
          <w:b w:val="0"/>
          <w:color w:val="000000"/>
          <w:sz w:val="22"/>
        </w:rPr>
        <w:fldChar w:fldCharType="end"/>
      </w:r>
      <w:r w:rsidRPr="0084737F">
        <w:rPr>
          <w:b w:val="0"/>
          <w:color w:val="000000"/>
          <w:sz w:val="22"/>
        </w:rPr>
        <w:t xml:space="preserve"> : Composants examens et passation</w:t>
      </w:r>
      <w:bookmarkEnd w:id="91"/>
    </w:p>
    <w:p>
      <w:pPr>
        <w:spacing w:line="360" w:lineRule="auto" w:after="160"/>
        <w:ind w:firstLine="425"/>
        <w:jc w:val="both"/>
      </w:pPr>
      <w:r>
        <w:rPr>
          <w:rFonts w:ascii="Times New Roman" w:hAnsi="Times New Roman" w:eastAsia="Times New Roman"/>
          <w:b w:val="0"/>
          <w:color w:val="000000"/>
          <w:sz w:val="24"/>
        </w:rPr>
        <w:t>La figure 17 présente les composants chargés des examens, de la passation contrôlée et de l'exécution de code.</w:t>
      </w:r>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pPr>
        <w:spacing w:line="360" w:lineRule="auto" w:after="160"/>
        <w:ind w:firstLine="425"/>
        <w:jc w:val="both"/>
      </w:pPr>
      <w:r>
        <w:rPr>
          <w:rFonts w:ascii="Times New Roman" w:hAnsi="Times New Roman" w:eastAsia="Times New Roman"/>
          <w:b w:val="0"/>
          <w:color w:val="000000"/>
          <w:sz w:val="24"/>
        </w:rPr>
        <w:t>La figure 18 montre les états successifs d'un examen, du brouillon à la clôture des résultats.</w:t>
      </w:r>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pPr>
        <w:spacing w:line="360" w:lineRule="auto" w:after="160"/>
        <w:ind w:firstLine="425"/>
        <w:jc w:val="both"/>
      </w:pPr>
      <w:r>
        <w:rPr>
          <w:rFonts w:ascii="Times New Roman" w:hAnsi="Times New Roman" w:eastAsia="Times New Roman"/>
          <w:b w:val="0"/>
          <w:color w:val="000000"/>
          <w:sz w:val="24"/>
        </w:rPr>
        <w:t>La figure 19 décrit la séquence d'authentification et d'attribution du rôle à la connexion.</w:t>
      </w:r>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pPr>
        <w:spacing w:line="360" w:lineRule="auto" w:after="160"/>
        <w:ind w:firstLine="425"/>
        <w:jc w:val="both"/>
      </w:pPr>
      <w:r>
        <w:rPr>
          <w:rFonts w:ascii="Times New Roman" w:hAnsi="Times New Roman" w:eastAsia="Times New Roman"/>
          <w:b w:val="0"/>
          <w:color w:val="000000"/>
          <w:sz w:val="24"/>
        </w:rPr>
        <w:t>La figure 20 illustre la publication d'un examen et la génération du code d'accès.</w:t>
      </w:r>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pPr>
        <w:spacing w:line="360" w:lineRule="auto" w:after="160"/>
        <w:ind w:firstLine="425"/>
        <w:jc w:val="both"/>
      </w:pPr>
      <w:r>
        <w:rPr>
          <w:rFonts w:ascii="Times New Roman" w:hAnsi="Times New Roman" w:eastAsia="Times New Roman"/>
          <w:b w:val="0"/>
          <w:color w:val="000000"/>
          <w:sz w:val="24"/>
        </w:rPr>
        <w:t>La figure 21 présente l'accès étudiant à l'examen via identifiant, mot de passe et code d'accès.</w:t>
      </w:r>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pPr>
        <w:spacing w:line="360" w:lineRule="auto" w:after="160"/>
        <w:ind w:firstLine="425"/>
        <w:jc w:val="both"/>
      </w:pPr>
      <w:r>
        <w:rPr>
          <w:rFonts w:ascii="Times New Roman" w:hAnsi="Times New Roman" w:eastAsia="Times New Roman"/>
          <w:b w:val="0"/>
          <w:color w:val="000000"/>
          <w:sz w:val="24"/>
        </w:rPr>
        <w:t>La figure 22 montre l'exécution du code Python dans la sandbox Docker isolée.</w:t>
      </w:r>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pPr>
        <w:spacing w:line="360" w:lineRule="auto" w:after="160"/>
        <w:ind w:firstLine="425"/>
        <w:jc w:val="both"/>
      </w:pPr>
      <w:r>
        <w:rPr>
          <w:rFonts w:ascii="Times New Roman" w:hAnsi="Times New Roman" w:eastAsia="Times New Roman"/>
          <w:b w:val="0"/>
          <w:color w:val="000000"/>
          <w:sz w:val="24"/>
        </w:rPr>
        <w:t>La figure 23 décrit la soumission de la copie et le déclenchement de la correction automatique.</w:t>
      </w:r>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pPr>
        <w:spacing w:line="360" w:lineRule="auto" w:after="160"/>
        <w:ind w:firstLine="425"/>
        <w:jc w:val="both"/>
      </w:pPr>
      <w:r>
        <w:rPr>
          <w:rFonts w:ascii="Times New Roman" w:hAnsi="Times New Roman" w:eastAsia="Times New Roman"/>
          <w:b w:val="0"/>
          <w:color w:val="000000"/>
          <w:sz w:val="24"/>
        </w:rPr>
        <w:t>La figure 24 illustre l'enregistrement d'un incident de passation et son traitement.</w:t>
      </w:r>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pPr>
        <w:spacing w:line="360" w:lineRule="auto" w:after="160"/>
        <w:ind w:firstLine="425"/>
        <w:jc w:val="both"/>
      </w:pPr>
      <w:r>
        <w:rPr>
          <w:rFonts w:ascii="Times New Roman" w:hAnsi="Times New Roman" w:eastAsia="Times New Roman"/>
          <w:b w:val="0"/>
          <w:color w:val="000000"/>
          <w:sz w:val="24"/>
        </w:rPr>
        <w:t>La figure 25 présente le flux d'activité depuis la connexion jusqu'à la salle d'attente.</w:t>
      </w:r>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pPr>
        <w:spacing w:line="360" w:lineRule="auto" w:after="160"/>
        <w:ind w:firstLine="425"/>
        <w:jc w:val="both"/>
      </w:pPr>
      <w:r>
        <w:rPr>
          <w:rFonts w:ascii="Times New Roman" w:hAnsi="Times New Roman" w:eastAsia="Times New Roman"/>
          <w:b w:val="0"/>
          <w:color w:val="000000"/>
          <w:sz w:val="24"/>
        </w:rPr>
        <w:t>La figure 26 décrit les activités de composition, d'exécution d'essai et de soumission finale.</w:t>
      </w:r>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passation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lastRenderedPageBreak/>
        <w:t>3.8 Conception de la sécurité de passation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3.10 Conclusion</w:t>
      </w:r>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pPr>
        <w:spacing w:line="360" w:lineRule="auto" w:after="160"/>
        <w:ind w:firstLine="425"/>
        <w:jc w:val="both"/>
      </w:pPr>
      <w:r>
        <w:rPr>
          <w:rFonts w:ascii="Times New Roman" w:hAnsi="Times New Roman" w:eastAsia="Times New Roman"/>
          <w:b w:val="0"/>
          <w:color w:val="000000"/>
          <w:sz w:val="24"/>
        </w:rPr>
        <w:t>La figure 27 montre l'interface de connexion permettant l'accès selon le rôle de l'utilisateur.</w:t>
      </w:r>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pPr>
        <w:spacing w:line="360" w:lineRule="auto" w:after="160"/>
        <w:ind w:firstLine="425"/>
        <w:jc w:val="both"/>
      </w:pPr>
      <w:r>
        <w:rPr>
          <w:rFonts w:ascii="Times New Roman" w:hAnsi="Times New Roman" w:eastAsia="Times New Roman"/>
          <w:b w:val="0"/>
          <w:color w:val="000000"/>
          <w:sz w:val="24"/>
        </w:rPr>
        <w:t>La figure 28 présente l'espace de gestion réservé à l'administrateur d'établissement.</w:t>
      </w:r>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pPr>
        <w:spacing w:line="360" w:lineRule="auto" w:after="160"/>
        <w:ind w:firstLine="425"/>
        <w:jc w:val="both"/>
      </w:pPr>
      <w:r>
        <w:rPr>
          <w:rFonts w:ascii="Times New Roman" w:hAnsi="Times New Roman" w:eastAsia="Times New Roman"/>
          <w:b w:val="0"/>
          <w:color w:val="000000"/>
          <w:sz w:val="24"/>
        </w:rPr>
        <w:t>La figure 29 illustre l'interface de création et d'édition d'un examen par le professeur.</w:t>
      </w:r>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pPr>
        <w:spacing w:line="360" w:lineRule="auto" w:after="160"/>
        <w:ind w:firstLine="425"/>
        <w:jc w:val="both"/>
      </w:pPr>
      <w:r>
        <w:rPr>
          <w:rFonts w:ascii="Times New Roman" w:hAnsi="Times New Roman" w:eastAsia="Times New Roman"/>
          <w:b w:val="0"/>
          <w:color w:val="000000"/>
          <w:sz w:val="24"/>
        </w:rPr>
        <w:t>La figure 30 montre l'écran de publication d'un examen et l'affichage du code d'accès.</w:t>
      </w:r>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pPr>
        <w:spacing w:line="360" w:lineRule="auto" w:after="160"/>
        <w:ind w:firstLine="425"/>
        <w:jc w:val="both"/>
      </w:pPr>
      <w:r>
        <w:rPr>
          <w:rFonts w:ascii="Times New Roman" w:hAnsi="Times New Roman" w:eastAsia="Times New Roman"/>
          <w:b w:val="0"/>
          <w:color w:val="000000"/>
          <w:sz w:val="24"/>
        </w:rPr>
        <w:t>La figure 31 présente le tableau de suivi en direct des étudiants pendant l'épreuve.</w:t>
      </w:r>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pPr>
        <w:spacing w:line="360" w:lineRule="auto" w:after="160"/>
        <w:ind w:firstLine="425"/>
        <w:jc w:val="both"/>
      </w:pPr>
      <w:r>
        <w:rPr>
          <w:rFonts w:ascii="Times New Roman" w:hAnsi="Times New Roman" w:eastAsia="Times New Roman"/>
          <w:b w:val="0"/>
          <w:color w:val="000000"/>
          <w:sz w:val="24"/>
        </w:rPr>
        <w:t>La figure 32 illustre la consultation des résultats et les options d'export pour le professeur.</w:t>
      </w:r>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pPr>
        <w:spacing w:line="360" w:lineRule="auto" w:after="160"/>
        <w:ind w:firstLine="425"/>
        <w:jc w:val="both"/>
      </w:pPr>
      <w:r>
        <w:rPr>
          <w:rFonts w:ascii="Times New Roman" w:hAnsi="Times New Roman" w:eastAsia="Times New Roman"/>
          <w:b w:val="0"/>
          <w:color w:val="000000"/>
          <w:sz w:val="24"/>
        </w:rPr>
        <w:t>La figure 33 montre les consignes de sécurité et l'activation du mode plein écran côté étudiant.</w:t>
      </w:r>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pPr>
        <w:spacing w:line="360" w:lineRule="auto" w:after="160"/>
        <w:ind w:firstLine="425"/>
        <w:jc w:val="both"/>
      </w:pPr>
      <w:r>
        <w:rPr>
          <w:rFonts w:ascii="Times New Roman" w:hAnsi="Times New Roman" w:eastAsia="Times New Roman"/>
          <w:b w:val="0"/>
          <w:color w:val="000000"/>
          <w:sz w:val="24"/>
        </w:rPr>
        <w:t>La figure 34 présente la salle d'attente affichée avant le démarrage officiel de l'épreuve.</w:t>
      </w:r>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pPr>
        <w:spacing w:line="360" w:lineRule="auto" w:after="160"/>
        <w:ind w:firstLine="425"/>
        <w:jc w:val="both"/>
      </w:pPr>
      <w:r>
        <w:rPr>
          <w:rFonts w:ascii="Times New Roman" w:hAnsi="Times New Roman" w:eastAsia="Times New Roman"/>
          <w:b w:val="0"/>
          <w:color w:val="000000"/>
          <w:sz w:val="24"/>
        </w:rPr>
        <w:t>La figure 35 illustre l'éditeur de code et l'environnement de composition pendant l'examen.</w:t>
      </w:r>
    </w:p>
    <w:p w14:paraId="657D1AF0" w14:textId="77777777" w:rsidR="00833B9A" w:rsidRPr="0084737F" w:rsidRDefault="008912C8">
      <w:pPr>
        <w:ind w:firstLine="425"/>
        <w:jc w:val="both"/>
      </w:pPr>
      <w:r w:rsidRPr="0084737F">
        <w:rPr>
          <w:color w:val="000000"/>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pPr>
        <w:spacing w:line="360" w:lineRule="auto" w:after="160"/>
        <w:ind w:firstLine="425"/>
        <w:jc w:val="both"/>
      </w:pPr>
      <w:r>
        <w:rPr>
          <w:rFonts w:ascii="Times New Roman" w:hAnsi="Times New Roman" w:eastAsia="Times New Roman"/>
          <w:b w:val="0"/>
          <w:color w:val="000000"/>
          <w:sz w:val="24"/>
        </w:rPr>
        <w:t>La figure 36 montre la page d'accueil publique de la plateforme Cylentic.</w:t>
      </w:r>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4.7 Conclusion</w:t>
      </w:r>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de passation,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de passation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spacing w:line="360" w:lineRule="auto" w:after="160"/>
        <w:ind w:firstLine="0"/>
        <w:jc w:val="both"/>
      </w:pPr>
      <w:r>
        <w:rPr>
          <w:rFonts w:ascii="Times New Roman" w:hAnsi="Times New Roman" w:eastAsia="Times New Roman"/>
          <w:b/>
          <w:color w:val="000000"/>
          <w:sz w:val="24"/>
        </w:rPr>
        <w:t>5.6 Coût estimatif du projet</w:t>
      </w:r>
    </w:p>
    <w:p>
      <w:pPr>
        <w:spacing w:line="360" w:lineRule="auto" w:after="160"/>
        <w:ind w:firstLine="425"/>
        <w:jc w:val="both"/>
      </w:pPr>
      <w:r>
        <w:rPr>
          <w:rFonts w:ascii="Times New Roman" w:hAnsi="Times New Roman" w:eastAsia="Times New Roman"/>
          <w:b w:val="0"/>
          <w:color w:val="000000"/>
          <w:sz w:val="24"/>
        </w:rPr>
        <w:t>Le tableau ci-dessous estime le coût du projet pour un déploiement pilote sur douze mois. Les postes de développement sont intégrés au cadre académique du projet de fin d'année.</w:t>
      </w:r>
    </w:p>
    <w:tbl>
      <w:tblPr>
        <w:tblStyle w:val="Grilledutableau"/>
        <w:tblW w:type="auto" w:w="0"/>
        <w:tblLook w:firstColumn="1" w:firstRow="1" w:lastColumn="0" w:lastRow="0" w:noHBand="0" w:noVBand="1" w:val="04A0"/>
      </w:tblPr>
      <w:tblGrid>
        <w:gridCol w:w="2835"/>
        <w:gridCol w:w="2835"/>
        <w:gridCol w:w="2835"/>
      </w:tblGrid>
      <w:tr>
        <w:tc>
          <w:tcPr>
            <w:tcW w:type="dxa" w:w="2835"/>
          </w:tcPr>
          <w:p>
            <w:r>
              <w:t>Poste</w:t>
            </w:r>
          </w:p>
        </w:tc>
        <w:tc>
          <w:tcPr>
            <w:tcW w:type="dxa" w:w="2835"/>
          </w:tcPr>
          <w:p>
            <w:r>
              <w:t>Détail</w:t>
            </w:r>
          </w:p>
        </w:tc>
        <w:tc>
          <w:tcPr>
            <w:tcW w:type="dxa" w:w="2835"/>
          </w:tcPr>
          <w:p>
            <w:r>
              <w:t>Coût estimé (FCFA)</w:t>
            </w:r>
          </w:p>
        </w:tc>
      </w:tr>
      <w:tr>
        <w:tc>
          <w:tcPr>
            <w:tcW w:type="dxa" w:w="2835"/>
          </w:tcPr>
          <w:p>
            <w:r>
              <w:t>Développement</w:t>
            </w:r>
          </w:p>
        </w:tc>
        <w:tc>
          <w:tcPr>
            <w:tcW w:type="dxa" w:w="2835"/>
          </w:tcPr>
          <w:p>
            <w:r>
              <w:t>Équipe de 3 étudiants, cadre académique</w:t>
            </w:r>
          </w:p>
        </w:tc>
        <w:tc>
          <w:tcPr>
            <w:tcW w:type="dxa" w:w="2835"/>
          </w:tcPr>
          <w:p>
            <w:r>
              <w:t>0</w:t>
            </w:r>
          </w:p>
        </w:tc>
      </w:tr>
      <w:tr>
        <w:tc>
          <w:tcPr>
            <w:tcW w:type="dxa" w:w="2835"/>
          </w:tcPr>
          <w:p>
            <w:r>
              <w:t>Hébergement VPS</w:t>
            </w:r>
          </w:p>
        </w:tc>
        <w:tc>
          <w:tcPr>
            <w:tcW w:type="dxa" w:w="2835"/>
          </w:tcPr>
          <w:p>
            <w:r>
              <w:t>Serveur 4 vCPU, 8 Go RAM, 12 mois</w:t>
            </w:r>
          </w:p>
        </w:tc>
        <w:tc>
          <w:tcPr>
            <w:tcW w:type="dxa" w:w="2835"/>
          </w:tcPr>
          <w:p>
            <w:r>
              <w:t>180 000</w:t>
            </w:r>
          </w:p>
        </w:tc>
      </w:tr>
      <w:tr>
        <w:tc>
          <w:tcPr>
            <w:tcW w:type="dxa" w:w="2835"/>
          </w:tcPr>
          <w:p>
            <w:r>
              <w:t>Nom de domaine</w:t>
            </w:r>
          </w:p>
        </w:tc>
        <w:tc>
          <w:tcPr>
            <w:tcW w:type="dxa" w:w="2835"/>
          </w:tcPr>
          <w:p>
            <w:r>
              <w:t>Enregistrement annuel</w:t>
            </w:r>
          </w:p>
        </w:tc>
        <w:tc>
          <w:tcPr>
            <w:tcW w:type="dxa" w:w="2835"/>
          </w:tcPr>
          <w:p>
            <w:r>
              <w:t>15 000</w:t>
            </w:r>
          </w:p>
        </w:tc>
      </w:tr>
      <w:tr>
        <w:tc>
          <w:tcPr>
            <w:tcW w:type="dxa" w:w="2835"/>
          </w:tcPr>
          <w:p>
            <w:r>
              <w:t>Outils</w:t>
            </w:r>
          </w:p>
        </w:tc>
        <w:tc>
          <w:tcPr>
            <w:tcW w:type="dxa" w:w="2835"/>
          </w:tcPr>
          <w:p>
            <w:r>
              <w:t>IDE, Git, Docker (open source)</w:t>
            </w:r>
          </w:p>
        </w:tc>
        <w:tc>
          <w:tcPr>
            <w:tcW w:type="dxa" w:w="2835"/>
          </w:tcPr>
          <w:p>
            <w:r>
              <w:t>0</w:t>
            </w:r>
          </w:p>
        </w:tc>
      </w:tr>
      <w:tr>
        <w:tc>
          <w:tcPr>
            <w:tcW w:type="dxa" w:w="2835"/>
          </w:tcPr>
          <w:p>
            <w:r>
              <w:t>Total</w:t>
            </w:r>
          </w:p>
        </w:tc>
        <w:tc>
          <w:tcPr>
            <w:tcW w:type="dxa" w:w="2835"/>
          </w:tcPr>
          <w:p>
            <w:r>
              <w:t>Déploiement pilote sur 12 mois</w:t>
            </w:r>
          </w:p>
        </w:tc>
        <w:tc>
          <w:tcPr>
            <w:tcW w:type="dxa" w:w="2835"/>
          </w:tcPr>
          <w:p>
            <w:r>
              <w:t>195 000</w:t>
            </w:r>
          </w:p>
        </w:tc>
      </w:tr>
    </w:tbl>
    <w:p>
      <w:pPr>
        <w:spacing w:line="360" w:lineRule="auto" w:after="160"/>
        <w:ind w:firstLine="0"/>
        <w:jc w:val="left"/>
      </w:pPr>
      <w:r>
        <w:rPr>
          <w:rFonts w:ascii="Times New Roman" w:hAnsi="Times New Roman" w:eastAsia="Times New Roman"/>
          <w:b/>
          <w:color w:val="000000"/>
          <w:sz w:val="24"/>
        </w:rPr>
        <w:t>Tableau 4 : Coût estimatif du projet Cylentic</w:t>
      </w:r>
    </w:p>
    <w:p>
      <w:pPr>
        <w:spacing w:line="360" w:lineRule="auto" w:after="160"/>
        <w:ind w:firstLine="0"/>
        <w:jc w:val="left"/>
      </w:pPr>
      <w:r>
        <w:rPr>
          <w:rFonts w:ascii="Times New Roman" w:hAnsi="Times New Roman" w:eastAsia="Times New Roman"/>
          <w:b w:val="0"/>
          <w:color w:val="000000"/>
          <w:sz w:val="24"/>
        </w:rPr>
        <w:t>Source : estimation réalisée par l'équipe projet, juillet 2026.</w:t>
      </w:r>
    </w:p>
    <w:p>
      <w:pPr>
        <w:pStyle w:val="Titre2"/>
        <w:spacing w:line="360" w:lineRule="auto" w:after="160"/>
        <w:ind w:firstLine="425"/>
        <w:jc w:val="both"/>
      </w:pPr>
      <w:r>
        <w:rPr>
          <w:rFonts w:ascii="Times New Roman" w:hAnsi="Times New Roman" w:eastAsia="Times New Roman"/>
          <w:b w:val="0"/>
          <w:color w:val="000000"/>
          <w:sz w:val="24"/>
        </w:rPr>
        <w:t>5.7 Conclusion</w:t>
      </w:r>
    </w:p>
    <w:p>
      <w:pPr>
        <w:spacing w:line="360" w:lineRule="auto" w:after="160"/>
        <w:ind w:firstLine="425"/>
        <w:jc w:val="both"/>
      </w:pPr>
      <w:r>
        <w:rPr>
          <w:rFonts w:ascii="Times New Roman" w:hAnsi="Times New Roman" w:eastAsia="Times New Roman"/>
          <w:b w:val="0"/>
          <w:color w:val="000000"/>
          <w:sz w:val="24"/>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de passation,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spacing w:line="360" w:lineRule="auto" w:after="160"/>
        <w:ind w:firstLine="0"/>
        <w:jc w:val="both"/>
      </w:pPr>
      <w:r>
        <w:rPr>
          <w:rFonts w:ascii="Times New Roman" w:hAnsi="Times New Roman" w:eastAsia="Times New Roman"/>
          <w:b/>
          <w:color w:val="000000"/>
          <w:sz w:val="24"/>
        </w:rPr>
        <w:t>Bibliographie</w:t>
      </w:r>
    </w:p>
    <w:p>
      <w:pPr>
        <w:spacing w:line="360" w:lineRule="auto" w:after="160"/>
        <w:ind w:firstLine="0"/>
        <w:jc w:val="left"/>
      </w:pPr>
      <w:r>
        <w:rPr>
          <w:rFonts w:ascii="Times New Roman" w:hAnsi="Times New Roman" w:eastAsia="Times New Roman"/>
          <w:b w:val="0"/>
          <w:color w:val="000000"/>
          <w:sz w:val="24"/>
        </w:rPr>
        <w:t>[1] Object Management Group, OMG Unified Modeling Language (OMG UML), Version 2.5.1, 2017.</w:t>
      </w:r>
    </w:p>
    <w:p>
      <w:pPr>
        <w:spacing w:line="360" w:lineRule="auto" w:after="160"/>
        <w:ind w:firstLine="0"/>
        <w:jc w:val="left"/>
      </w:pPr>
      <w:r>
        <w:rPr>
          <w:rFonts w:ascii="Times New Roman" w:hAnsi="Times New Roman" w:eastAsia="Times New Roman"/>
          <w:b w:val="0"/>
          <w:color w:val="000000"/>
          <w:sz w:val="24"/>
        </w:rPr>
        <w:t>[2] R. S. Pressman et B. R. Maxim, Software Engineering: A Practitioner's Approach, 9e éd., McGraw-Hill, 2019.</w:t>
      </w:r>
    </w:p>
    <w:p>
      <w:pPr>
        <w:spacing w:line="360" w:lineRule="auto" w:after="160"/>
        <w:ind w:firstLine="0"/>
        <w:jc w:val="left"/>
      </w:pPr>
      <w:r>
        <w:rPr>
          <w:rFonts w:ascii="Times New Roman" w:hAnsi="Times New Roman" w:eastAsia="Times New Roman"/>
          <w:b w:val="0"/>
          <w:color w:val="000000"/>
          <w:sz w:val="24"/>
        </w:rPr>
        <w:t>[3] I. Sommerville, Software Engineering, 10e éd., Pearson, 2016.</w:t>
      </w:r>
    </w:p>
    <w:p>
      <w:pPr>
        <w:spacing w:line="360" w:lineRule="auto" w:after="160"/>
        <w:ind w:firstLine="0"/>
        <w:jc w:val="left"/>
      </w:pPr>
      <w:r>
        <w:rPr>
          <w:rFonts w:ascii="Times New Roman" w:hAnsi="Times New Roman" w:eastAsia="Times New Roman"/>
          <w:b w:val="0"/>
          <w:color w:val="000000"/>
          <w:sz w:val="24"/>
        </w:rPr>
        <w:t>[4] G. Booch, J. Rumbaugh et I. Jacobson, The Unified Modeling Language User Guide, 2e éd., Addison-Wesley, 2005.</w:t>
      </w:r>
    </w:p>
    <w:p>
      <w:pPr>
        <w:spacing w:line="360" w:lineRule="auto" w:after="160"/>
        <w:ind w:firstLine="0"/>
        <w:jc w:val="left"/>
      </w:pPr>
      <w:r>
        <w:rPr>
          <w:rFonts w:ascii="Times New Roman" w:hAnsi="Times New Roman" w:eastAsia="Times New Roman"/>
          <w:b w:val="0"/>
          <w:color w:val="000000"/>
          <w:sz w:val="24"/>
        </w:rPr>
        <w:t>[5] ESTA, Guide du stagiaire Master/Ingénieur, année académique 2024-2025.</w:t>
      </w:r>
    </w:p>
    <w:p>
      <w:pPr>
        <w:spacing w:line="360" w:lineRule="auto" w:after="160"/>
        <w:ind w:firstLine="0"/>
        <w:jc w:val="left"/>
      </w:pPr>
      <w:r>
        <w:rPr>
          <w:rFonts w:ascii="Times New Roman" w:hAnsi="Times New Roman" w:eastAsia="Times New Roman"/>
          <w:b w:val="0"/>
          <w:color w:val="000000"/>
          <w:sz w:val="24"/>
        </w:rPr>
        <w:t>[6] M. Fowler, Patterns of Enterprise Application Architecture, Addison-Wesley, 2002.</w:t>
      </w:r>
    </w:p>
    <w:p>
      <w:pPr>
        <w:spacing w:line="360" w:lineRule="auto" w:after="160"/>
        <w:ind w:firstLine="425"/>
        <w:jc w:val="both"/>
      </w:pPr>
      <w:r>
        <w:rPr>
          <w:rFonts w:ascii="Times New Roman" w:hAnsi="Times New Roman" w:eastAsia="Times New Roman"/>
          <w:b w:val="0"/>
          <w:color w:val="000000"/>
          <w:sz w:val="24"/>
        </w:rPr>
      </w:r>
      <w:r>
        <w:br w:type="page"/>
      </w:r>
    </w:p>
    <w:p>
      <w:pPr>
        <w:pStyle w:val="Titre1"/>
        <w:spacing w:line="360" w:lineRule="auto" w:after="160"/>
        <w:ind w:firstLine="425"/>
        <w:jc w:val="both"/>
      </w:pPr>
      <w:r>
        <w:rPr>
          <w:rFonts w:ascii="Times New Roman" w:hAnsi="Times New Roman" w:eastAsia="Times New Roman"/>
          <w:b w:val="0"/>
          <w:color w:val="000000"/>
          <w:sz w:val="24"/>
        </w:rPr>
        <w:t>Webographie</w:t>
      </w:r>
    </w:p>
    <w:p>
      <w:pPr>
        <w:spacing w:line="360" w:lineRule="auto" w:after="160"/>
        <w:ind w:firstLine="0"/>
        <w:jc w:val="left"/>
      </w:pPr>
      <w:r>
        <w:rPr>
          <w:rFonts w:ascii="Times New Roman" w:hAnsi="Times New Roman" w:eastAsia="Times New Roman"/>
          <w:b w:val="0"/>
          <w:color w:val="000000"/>
          <w:sz w:val="24"/>
        </w:rPr>
        <w:t>[1] Vercel, Next.js Documentation, https://nextjs.org/docs, consulté le 15/07/2026 à 09h20.</w:t>
      </w:r>
    </w:p>
    <w:p>
      <w:pPr>
        <w:spacing w:line="360" w:lineRule="auto" w:after="160"/>
        <w:ind w:firstLine="0"/>
        <w:jc w:val="left"/>
      </w:pPr>
      <w:r>
        <w:rPr>
          <w:rFonts w:ascii="Times New Roman" w:hAnsi="Times New Roman" w:eastAsia="Times New Roman"/>
          <w:b w:val="0"/>
          <w:color w:val="000000"/>
          <w:sz w:val="24"/>
        </w:rPr>
        <w:t>[2] Prisma, Prisma Documentation, https://www.prisma.io/docs, consulté le 15/07/2026 à 09h45.</w:t>
      </w:r>
    </w:p>
    <w:p>
      <w:pPr>
        <w:spacing w:line="360" w:lineRule="auto" w:after="160"/>
        <w:ind w:firstLine="0"/>
        <w:jc w:val="left"/>
      </w:pPr>
      <w:r>
        <w:rPr>
          <w:rFonts w:ascii="Times New Roman" w:hAnsi="Times New Roman" w:eastAsia="Times New Roman"/>
          <w:b w:val="0"/>
          <w:color w:val="000000"/>
          <w:sz w:val="24"/>
        </w:rPr>
        <w:t>[3] Oracle, MySQL 8 Documentation, https://dev.mysql.com/doc/, consulté le 15/07/2026 à 10h15.</w:t>
      </w:r>
    </w:p>
    <w:p>
      <w:pPr>
        <w:spacing w:line="360" w:lineRule="auto" w:after="160"/>
        <w:ind w:firstLine="0"/>
        <w:jc w:val="left"/>
      </w:pPr>
      <w:r>
        <w:rPr>
          <w:rFonts w:ascii="Times New Roman" w:hAnsi="Times New Roman" w:eastAsia="Times New Roman"/>
          <w:b w:val="0"/>
          <w:color w:val="000000"/>
          <w:sz w:val="24"/>
        </w:rPr>
        <w:t>[4] Redis Ltd, Redis Documentation, https://redis.io/docs/, consulté le 15/07/2026 à 10h40.</w:t>
      </w:r>
    </w:p>
    <w:p>
      <w:pPr>
        <w:spacing w:line="360" w:lineRule="auto" w:after="160"/>
        <w:ind w:firstLine="0"/>
        <w:jc w:val="left"/>
      </w:pPr>
      <w:r>
        <w:rPr>
          <w:rFonts w:ascii="Times New Roman" w:hAnsi="Times New Roman" w:eastAsia="Times New Roman"/>
          <w:b w:val="0"/>
          <w:color w:val="000000"/>
          <w:sz w:val="24"/>
        </w:rPr>
        <w:t>[5] Docker Inc., Docker Documentation, https://docs.docker.com/, consulté le 15/07/2026 à 11h25.</w:t>
      </w:r>
    </w:p>
    <w:p>
      <w:pPr>
        <w:spacing w:line="360" w:lineRule="auto" w:after="160"/>
        <w:ind w:firstLine="0"/>
        <w:jc w:val="left"/>
      </w:pPr>
      <w:r>
        <w:rPr>
          <w:rFonts w:ascii="Times New Roman" w:hAnsi="Times New Roman" w:eastAsia="Times New Roman"/>
          <w:b w:val="0"/>
          <w:color w:val="000000"/>
          <w:sz w:val="24"/>
        </w:rPr>
        <w:t>[6] freeCodeCamp, https://www.freecodecamp.org/, consulté le 15/07/2026 à 14h10.</w:t>
      </w:r>
    </w:p>
    <w:p>
      <w:pPr>
        <w:spacing w:line="360" w:lineRule="auto" w:after="160"/>
        <w:ind w:firstLine="0"/>
        <w:jc w:val="left"/>
      </w:pPr>
      <w:r>
        <w:rPr>
          <w:rFonts w:ascii="Times New Roman" w:hAnsi="Times New Roman" w:eastAsia="Times New Roman"/>
          <w:b w:val="0"/>
          <w:color w:val="000000"/>
          <w:sz w:val="24"/>
        </w:rPr>
        <w:t>[7] Moodle HQ, Moodle Documentation, https://docs.moodle.org/, consulté le 15/07/2026 à 15h05.</w:t>
      </w:r>
    </w:p>
    <w:p>
      <w:pPr>
        <w:spacing w:line="360" w:lineRule="auto" w:after="160"/>
        <w:ind w:firstLine="0"/>
        <w:jc w:val="left"/>
      </w:pPr>
      <w:r>
        <w:rPr>
          <w:rFonts w:ascii="Times New Roman" w:hAnsi="Times New Roman" w:eastAsia="Times New Roman"/>
          <w:b w:val="0"/>
          <w:color w:val="000000"/>
          <w:sz w:val="24"/>
        </w:rPr>
        <w:t>[8] Judge0, Judge0 CE, https://judge0.com/, consulté le 15/07/2026 à 16h30.</w:t>
      </w:r>
    </w:p>
    <w:p>
      <w:pPr>
        <w:spacing w:line="360" w:lineRule="auto" w:after="160"/>
        <w:ind w:firstLine="0"/>
        <w:jc w:val="left"/>
      </w:pPr>
      <w:r>
        <w:rPr>
          <w:rFonts w:ascii="Times New Roman" w:hAnsi="Times New Roman" w:eastAsia="Times New Roman"/>
          <w:b w:val="0"/>
          <w:color w:val="000000"/>
          <w:sz w:val="24"/>
        </w:rPr>
        <w:t>[9] Monaco Editor, https://microsoft.github.io/monaco-editor/, consulté le 15/07/2026 à 17h05.</w:t>
      </w:r>
    </w:p>
    <w:p>
      <w:pPr>
        <w:spacing w:line="360" w:lineRule="auto" w:after="160"/>
        <w:ind w:firstLine="0"/>
        <w:jc w:val="left"/>
      </w:pPr>
      <w:r>
        <w:rPr>
          <w:rFonts w:ascii="Times New Roman" w:hAnsi="Times New Roman" w:eastAsia="Times New Roman"/>
          <w:b w:val="0"/>
          <w:color w:val="000000"/>
          <w:sz w:val="24"/>
        </w:rPr>
        <w:t>[10] PlantUML, https://plantuml.com/, consulté le 15/07/2026 à 17h40.</w:t>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3</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Positionnement de Cylentic</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5</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2.2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6</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2.3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7</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de passation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33</w:t>
        </w:r>
        <w:r>
          <w:rPr>
            <w:noProof/>
            <w:webHidden/>
          </w:rPr>
          <w:fldChar w:fldCharType="end"/>
        </w:r>
      </w:hyperlink>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de passation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45</w:t>
        </w:r>
        <w:r>
          <w:rPr>
            <w:noProof/>
            <w:webHidden/>
          </w:rPr>
          <w:fldChar w:fldCharType="end"/>
        </w:r>
      </w:hyperlink>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