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passation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20</w:t>
        </w:r>
        <w:r>
          <w:rPr>
            <w:noProof/>
            <w:webHidden/>
          </w:rPr>
          <w:fldChar w:fldCharType="end"/>
        </w:r>
      </w:hyperlink>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passation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22</w:t>
        </w:r>
        <w:r>
          <w:rPr>
            <w:noProof/>
            <w:webHidden/>
          </w:rPr>
          <w:fldChar w:fldCharType="end"/>
        </w:r>
      </w:hyperlink>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passation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23</w:t>
        </w:r>
        <w:r>
          <w:rPr>
            <w:noProof/>
            <w:webHidden/>
          </w:rPr>
          <w:fldChar w:fldCharType="end"/>
        </w:r>
      </w:hyperlink>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Malgré l'intérêt des examens pratiques sur machine, la démocratisation des assistants de génération de code compromet la crédibilité des rendus hors salle. Les outils existants ne réunissent pas, dans une forme adaptée aux salles informatiques, composition sécurisée, exécution réelle du code et correction exploitable pour le professeur. Cette situation soulève la question de l'intégrité de l'évaluation de la programmation.</w:t>
      </w:r>
    </w:p>
    <w:p>
      <w:pPr>
        <w:spacing w:line="360" w:lineRule="auto" w:after="160"/>
        <w:ind w:firstLine="425"/>
        <w:jc w:val="both"/>
      </w:pPr>
      <w:r>
        <w:rPr>
          <w:rFonts w:ascii="Times New Roman" w:hAnsi="Times New Roman" w:eastAsia="Times New Roman"/>
          <w:b w:val="0"/>
          <w:color w:val="000000"/>
          <w:sz w:val="24"/>
        </w:rPr>
        <w:t>Dès lors, la question centrale de ce travail peut être formulée comme suit :</w:t>
      </w:r>
    </w:p>
    <w:p>
      <w:pPr>
        <w:spacing w:line="360" w:lineRule="auto" w:after="160"/>
        <w:ind w:firstLine="425"/>
        <w:jc w:val="both"/>
      </w:pPr>
      <w:r>
        <w:rPr>
          <w:rFonts w:ascii="Times New Roman" w:hAnsi="Times New Roman" w:eastAsia="Times New Roman"/>
          <w:b w:val="0"/>
          <w:color w:val="000000"/>
          <w:sz w:val="24"/>
        </w:rPr>
        <w:t>Comment garantir l'intégrité et la crédibilité de l'évaluation de la programmation sur machine en salle informatique, face aux risques de triche assistée par des outils de génération de code, tout en permettant l'exécution réelle du programme et une correction fiable pour le professeur ?</w:t>
      </w:r>
    </w:p>
    <w:p w14:paraId="76FCB57C" w14:textId="77777777" w:rsidR="00833B9A" w:rsidRPr="0084737F" w:rsidRDefault="008912C8">
      <w:pPr>
        <w:ind w:firstLine="425"/>
        <w:jc w:val="both"/>
      </w:pPr>
      <w:r w:rsidRPr="0084737F">
        <w:rPr>
          <w:color w:val="000000"/>
        </w:rPr>
        <w:t>L'objectif général consiste à concevoir et réaliser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11</w:t>
      </w:r>
      <w:r>
        <w:rPr>
          <w:b w:val="0"/>
          <w:color w:val="000000"/>
          <w:sz w:val="22"/>
        </w:rPr>
        <w:fldChar w:fldCharType="end"/>
      </w:r>
      <w:r w:rsidRPr="0084737F">
        <w:rPr>
          <w:b w:val="0"/>
          <w:color w:val="000000"/>
          <w:sz w:val="22"/>
        </w:rPr>
        <w:t xml:space="preserve"> : Classes passation et correction</w:t>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14</w:t>
      </w:r>
      <w:r>
        <w:rPr>
          <w:b w:val="0"/>
          <w:color w:val="000000"/>
          <w:sz w:val="22"/>
        </w:rPr>
        <w:fldChar w:fldCharType="end"/>
      </w:r>
      <w:r w:rsidRPr="0084737F">
        <w:rPr>
          <w:b w:val="0"/>
          <w:color w:val="000000"/>
          <w:sz w:val="22"/>
        </w:rPr>
        <w:t xml:space="preserve"> : Objets passation</w:t>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17</w:t>
      </w:r>
      <w:r>
        <w:rPr>
          <w:b w:val="0"/>
          <w:color w:val="000000"/>
          <w:sz w:val="22"/>
        </w:rPr>
        <w:fldChar w:fldCharType="end"/>
      </w:r>
      <w:r w:rsidRPr="0084737F">
        <w:rPr>
          <w:b w:val="0"/>
          <w:color w:val="000000"/>
          <w:sz w:val="22"/>
        </w:rPr>
        <w:t xml:space="preserve"> : Composants examens et passation</w:t>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33</w:t>
        </w:r>
        <w:r>
          <w:rPr>
            <w:noProof/>
            <w:webHidden/>
          </w:rPr>
          <w:fldChar w:fldCharType="end"/>
        </w:r>
      </w:hyperlink>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45</w:t>
        </w:r>
        <w:r>
          <w:rPr>
            <w:noProof/>
            <w:webHidden/>
          </w:rPr>
          <w:fldChar w:fldCharType="end"/>
        </w:r>
      </w:hyperlink>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