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composition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
        </w:r>
        <w:r>
          <w:rPr>
            <w:noProof/>
            <w:webHidden/>
          </w:rPr>
          <w:fldChar w:fldCharType="end"/>
        </w:r>
      </w:hyperlink>
      <w:r/>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composition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
        </w:r>
        <w:r>
          <w:rPr>
            <w:noProof/>
            <w:webHidden/>
          </w:rPr>
          <w:fldChar w:fldCharType="end"/>
        </w:r>
      </w:hyperlink>
      <w:r/>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composition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
        </w:r>
        <w:r>
          <w:rPr>
            <w:noProof/>
            <w:webHidden/>
          </w:rPr>
          <w:fldChar w:fldCharType="end"/>
        </w:r>
      </w:hyperlink>
      <w:r/>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spacing w:line="360" w:lineRule="auto" w:after="160"/>
        <w:ind w:firstLine="0"/>
        <w:jc w:val="left"/>
      </w:pPr>
      <w:r>
        <w:rPr>
          <w:rFonts w:ascii="Times New Roman" w:hAnsi="Times New Roman" w:eastAsia="Times New Roman"/>
          <w:b/>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