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r>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État de l'art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r>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pPr>
        <w:pStyle w:val="Tabledesillustrations"/>
      </w:pPr>
      <w:r>
        <w:rPr>
          <w:rFonts w:ascii="Times New Roman" w:hAnsi="Times New Roman" w:eastAsia="Times New Roman"/>
          <w:b w:val="0"/>
          <w:color w:val="000000"/>
          <w:sz w:val="24"/>
        </w:rPr>
        <w:fldChar w:fldCharType="begin"/>
        <w:instrText xml:space="preserve">TOC \z \c "Figure"</w:instrText>
        <w:fldChar w:fldCharType="separate"/>
        <w:t> </w:t>
        <w:fldChar w:fldCharType="end"/>
      </w:r>
    </w:p>
    <w:p>
      <w:r>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pPr>
        <w:pStyle w:val="Tabledesillustrations"/>
      </w:pPr>
      <w:r>
        <w:rPr>
          <w:rFonts w:ascii="Times New Roman" w:hAnsi="Times New Roman" w:eastAsia="Times New Roman"/>
          <w:b w:val="0"/>
          <w:color w:val="000000"/>
          <w:sz w:val="24"/>
        </w:rPr>
        <w:fldChar w:fldCharType="begin"/>
        <w:instrText xml:space="preserve">TOC \z \c "Tableau"</w:instrText>
        <w:fldChar w:fldCharType="separate"/>
        <w:t> </w:t>
        <w:fldChar w:fldCharType="end"/>
      </w:r>
    </w:p>
    <w:p>
      <w:r>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60"/>
        <w:ind w:firstLine="0"/>
        <w:jc w:val="both"/>
      </w:pPr>
      <w:r>
        <w:rPr>
          <w:rFonts w:ascii="Times New Roman" w:hAnsi="Times New Roman" w:eastAsia="Times New Roman"/>
          <w:b w:val="0"/>
          <w:color w:val="000000"/>
          <w:sz w:val="24"/>
        </w:rPr>
        <w:t>• revue de l'état de l'art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left"/>
      </w:pPr>
      <w:bookmarkStart w:id="30" w:name="bm_ch1"/>
      <w:bookmarkStart w:id="31" w:name="_Toc235117288"/>
      <w:bookmarkStart w:id="32" w:name="_Toc235117374"/>
      <w:r w:rsidRPr="0084737F">
        <w:rPr>
          <w:rFonts w:ascii="Times New Roman" w:eastAsia="Times New Roman" w:hAnsi="Times New Roman"/>
          <w:b/>
          <w:color w:val="000000"/>
          <w:sz w:val="24"/>
        </w:rPr>
        <w:t>Chapitre 1 : État de l'art</w:t>
      </w:r>
      <w:bookmarkEnd w:id="30"/>
      <w:bookmarkEnd w:id="31"/>
      <w:bookmarkEnd w:id="32"/>
    </w:p>
    <w:p w14:paraId="4FEB3F1F"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left"/>
      </w:pPr>
      <w:bookmarkStart w:id="37" w:name="bm_ch1_3"/>
      <w:bookmarkStart w:id="38" w:name="_Toc235117377"/>
      <w:r w:rsidRPr="0084737F">
        <w:rPr>
          <w:rFonts w:ascii="Times New Roman" w:eastAsia="Times New Roman" w:hAnsi="Times New Roman"/>
          <w:b/>
          <w:color w:val="000000"/>
          <w:sz w:val="24"/>
        </w:rPr>
        <w:t>1.3 Panorama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0"/>
        <w:jc w:val="left"/>
      </w:pPr>
      <w:r>
        <w:rPr>
          <w:rFonts w:ascii="Times New Roman" w:hAnsi="Times New Roman" w:eastAsia="Times New Roman"/>
          <w:b/>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6A19F68" w14:textId="77777777" w:rsidR="00833B9A" w:rsidRPr="0084737F" w:rsidRDefault="008912C8">
      <w:pPr>
        <w:pStyle w:val="Titre2"/>
        <w:spacing w:line="360" w:lineRule="auto" w:after="160"/>
        <w:ind w:firstLine="0"/>
        <w:jc w:val="left"/>
      </w:pPr>
      <w:bookmarkStart w:id="42" w:name="bm_ch1_5"/>
      <w:bookmarkStart w:id="43" w:name="_Toc235117379"/>
      <w:r w:rsidRPr="0084737F">
        <w:rPr>
          <w:rFonts w:ascii="Times New Roman" w:eastAsia="Times New Roman" w:hAnsi="Times New Roman"/>
          <w:b/>
          <w:color w:val="000000"/>
          <w:sz w:val="24"/>
        </w:rPr>
        <w:t>1.5 Conclusion</w:t>
      </w:r>
      <w:bookmarkEnd w:id="42"/>
      <w:bookmarkEnd w:id="43"/>
    </w:p>
    <w:p w14:paraId="316D5949"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spacing w:line="360" w:lineRule="auto" w:after="160"/>
        <w:ind w:firstLine="425"/>
        <w:jc w:val="both"/>
      </w:pPr>
      <w:r>
        <w:rPr>
          <w:rFonts w:ascii="Times New Roman" w:hAnsi="Times New Roman" w:eastAsia="Times New Roman"/>
          <w:b w:val="0"/>
          <w:color w:val="000000"/>
          <w:sz w:val="24"/>
        </w:rPr>
        <w:t>Ce chapitre commence par comparer les solutions existantes et positionner Cylentic. Il fixe ensuite le périmètre du MVP, les acteurs, puis les besoins fonctionnels et non fonctionnels du système.</w:t>
      </w:r>
    </w:p>
    <w:p>
      <w:pPr>
        <w:pStyle w:val="Titre2"/>
        <w:spacing w:line="360" w:lineRule="auto" w:after="160"/>
        <w:ind w:firstLine="0"/>
        <w:jc w:val="left"/>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préciser l'état de l'art, le tableau ci-dessous compare les principales familles de solutions aux exigences d'un examen de programmation surveillé en salle.</w:t>
      </w:r>
    </w:p>
    <w:p>
      <w:pPr>
        <w:pStyle w:val="Lgende"/>
        <w:spacing w:line="360" w:lineRule="auto" w:after="160"/>
        <w:ind w:firstLine="0"/>
        <w:jc w:val="left"/>
      </w:pPr>
      <w:r>
        <w:rPr>
          <w:rFonts w:ascii="Times New Roman" w:hAnsi="Times New Roman" w:eastAsia="Times New Roman"/>
          <w:b w:val="0"/>
          <w:color w:val="000000"/>
          <w:sz w:val="24"/>
        </w:rPr>
        <w:t>Tableau 1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pPr>
        <w:spacing w:line="360" w:lineRule="auto"/>
        <w:ind w:firstLine="425"/>
        <w:jc w:val="both"/>
      </w:pPr>
      <w:r>
        <w:rPr>
          <w:rFonts w:ascii="Times New Roman" w:hAnsi="Times New Roman" w:eastAsia="Times New Roman"/>
          <w:sz w:val="24"/>
        </w:rPr>
        <w:t>Aucune de ces solutions ne couvre à la fois composition sécurisée, exécution isolée, correction et traçabilité pour une école. C'est dans cet espace que se place Cylentic.</w:t>
      </w:r>
    </w:p>
    <w:p>
      <w:pPr>
        <w:pStyle w:val="Titre2"/>
        <w:spacing w:line="360" w:lineRule="auto" w:after="160"/>
        <w:ind w:firstLine="0"/>
        <w:jc w:val="left"/>
      </w:pPr>
      <w:r>
        <w:rPr>
          <w:rFonts w:ascii="Times New Roman" w:hAnsi="Times New Roman" w:eastAsia="Times New Roman"/>
          <w:b/>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5E008339" w14:textId="77777777" w:rsidR="00833B9A" w:rsidRPr="0084737F" w:rsidRDefault="008912C8">
      <w:pPr>
        <w:pStyle w:val="Titre2"/>
        <w:spacing w:line="360" w:lineRule="auto" w:after="160"/>
        <w:ind w:firstLine="0"/>
        <w:jc w:val="left"/>
      </w:pPr>
      <w:bookmarkStart w:id="47" w:name="bm_ch2_1"/>
      <w:bookmarkStart w:id="48" w:name="_Toc235117381"/>
      <w:r w:rsidRPr="0084737F">
        <w:rPr>
          <w:rFonts w:ascii="Times New Roman" w:eastAsia="Times New Roman" w:hAnsi="Times New Roman"/>
          <w:b/>
          <w:color w:val="000000"/>
          <w:sz w:val="24"/>
        </w:rPr>
        <w:t>2.3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left"/>
      </w:pPr>
      <w:bookmarkStart w:id="49" w:name="bm_ch2_2"/>
      <w:bookmarkStart w:id="50" w:name="_Toc235117382"/>
      <w:r w:rsidRPr="0084737F">
        <w:rPr>
          <w:rFonts w:ascii="Times New Roman" w:eastAsia="Times New Roman" w:hAnsi="Times New Roman"/>
          <w:b/>
          <w:color w:val="000000"/>
          <w:sz w:val="24"/>
        </w:rPr>
        <w:t>2.4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left"/>
      </w:pPr>
      <w:bookmarkStart w:id="52" w:name="bm_ch2_3"/>
      <w:bookmarkStart w:id="53" w:name="_Toc235117383"/>
      <w:r>
        <w:rPr>
          <w:rFonts w:ascii="Times New Roman" w:eastAsia="Times New Roman" w:hAnsi="Times New Roman"/>
          <w:b/>
          <w:color w:val="000000"/>
          <w:sz w:val="24"/>
        </w:rPr>
        <w:t>2.5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left"/>
      </w:pPr>
      <w:bookmarkStart w:id="54" w:name="bm_ch2_4"/>
      <w:bookmarkStart w:id="55" w:name="_Toc235117384"/>
      <w:r w:rsidRPr="0084737F">
        <w:rPr>
          <w:rFonts w:ascii="Times New Roman" w:eastAsia="Times New Roman" w:hAnsi="Times New Roman"/>
          <w:b/>
          <w:color w:val="000000"/>
          <w:sz w:val="24"/>
        </w:rPr>
        <w:t>2.6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left"/>
      </w:pPr>
      <w:bookmarkStart w:id="56" w:name="bm_ch2_5"/>
      <w:bookmarkStart w:id="57" w:name="_Toc235117385"/>
      <w:r w:rsidRPr="0084737F">
        <w:rPr>
          <w:rFonts w:ascii="Times New Roman" w:eastAsia="Times New Roman" w:hAnsi="Times New Roman"/>
          <w:b/>
          <w:color w:val="000000"/>
          <w:sz w:val="24"/>
        </w:rPr>
        <w:t>2.7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left"/>
      </w:pPr>
      <w:bookmarkStart w:id="58" w:name="bm_ch2_6"/>
      <w:bookmarkStart w:id="59" w:name="_Toc235117386"/>
      <w:r w:rsidRPr="0084737F">
        <w:rPr>
          <w:rFonts w:ascii="Times New Roman" w:eastAsia="Times New Roman" w:hAnsi="Times New Roman"/>
          <w:b/>
          <w:color w:val="000000"/>
          <w:sz w:val="24"/>
        </w:rPr>
        <w:t>2.8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left"/>
      </w:pPr>
      <w:bookmarkStart w:id="60" w:name="bm_ch2_7"/>
      <w:bookmarkStart w:id="61" w:name="_Toc235117387"/>
      <w:r w:rsidRPr="0084737F">
        <w:rPr>
          <w:rFonts w:ascii="Times New Roman" w:eastAsia="Times New Roman" w:hAnsi="Times New Roman"/>
          <w:b/>
          <w:color w:val="000000"/>
          <w:sz w:val="24"/>
        </w:rPr>
        <w:t>2.9 Conclusion</w:t>
      </w:r>
      <w:bookmarkEnd w:id="60"/>
      <w:bookmarkEnd w:id="61"/>
    </w:p>
    <w:p w14:paraId="7AA14B2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pPr>
        <w:spacing w:line="360" w:lineRule="auto" w:after="160"/>
        <w:ind w:firstLine="425"/>
        <w:jc w:val="both"/>
      </w:pPr>
      <w:r>
        <w:rPr>
          <w:rFonts w:ascii="Times New Roman" w:hAnsi="Times New Roman" w:eastAsia="Times New Roman"/>
          <w:b w:val="0"/>
          <w:color w:val="000000"/>
          <w:sz w:val="24"/>
        </w:rPr>
        <w:t>La figure 1 présente l'architecture logique de Cylentic. L'étudiant et le professeur passent par l'interface web. Les services métier gèrent les examens, les comptes et les règles de sécurité. Les données sont enregistrées en base, tandis que la sandbox exécute le code Python de façon isolée. Cette vue montre comment les grandes parties du système s'organisent avant le détail technique.</w:t>
      </w:r>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pPr>
        <w:spacing w:line="360" w:lineRule="auto" w:after="160"/>
        <w:ind w:firstLine="425"/>
        <w:jc w:val="both"/>
      </w:pPr>
      <w:r>
        <w:rPr>
          <w:rFonts w:ascii="Times New Roman" w:hAnsi="Times New Roman" w:eastAsia="Times New Roman"/>
          <w:b w:val="0"/>
          <w:color w:val="000000"/>
          <w:sz w:val="24"/>
        </w:rPr>
        <w:t>La figure 2 illustre le déploiement de l'infrastructure. Le serveur applicatif héberge Cylentic, MySQL stocke les données, et Docker fournit l'environnement d'exécution isolé. Les postes de la salle se connectent via le navigateur. Cette figure montre concrètement où tourne chaque élément le jour de l'épreuve.</w:t>
      </w:r>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pPr>
        <w:spacing w:line="360" w:lineRule="auto" w:after="160"/>
        <w:ind w:firstLine="425"/>
        <w:jc w:val="both"/>
      </w:pPr>
      <w:r>
        <w:rPr>
          <w:rFonts w:ascii="Times New Roman" w:hAnsi="Times New Roman" w:eastAsia="Times New Roman"/>
          <w:b w:val="0"/>
          <w:color w:val="000000"/>
          <w:sz w:val="24"/>
        </w:rPr>
        <w:t>La figure 3 présente les cas d'utilisation du Super Admin. Il administre la plateforme dans son ensemble : établissements, pilotage global et fonctions transverses. Cette vue précise son rôle, distinct de celui de l'administrateur d'une école.</w:t>
      </w:r>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pPr>
        <w:spacing w:line="360" w:lineRule="auto" w:after="160"/>
        <w:ind w:firstLine="425"/>
        <w:jc w:val="both"/>
      </w:pPr>
      <w:r>
        <w:rPr>
          <w:rFonts w:ascii="Times New Roman" w:hAnsi="Times New Roman" w:eastAsia="Times New Roman"/>
          <w:b w:val="0"/>
          <w:color w:val="000000"/>
          <w:sz w:val="24"/>
        </w:rPr>
        <w:t>La figure 4 illustre les cas d'utilisation de l'administrateur d'établissement pour l'organisation. Il structure l'espace local : années académiques, classes et organisation scolaire. Cette figure montre le périmètre de gestion avant la création des comptes.</w:t>
      </w:r>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pPr>
        <w:spacing w:line="360" w:lineRule="auto" w:after="160"/>
        <w:ind w:firstLine="425"/>
        <w:jc w:val="both"/>
      </w:pPr>
      <w:r>
        <w:rPr>
          <w:rFonts w:ascii="Times New Roman" w:hAnsi="Times New Roman" w:eastAsia="Times New Roman"/>
          <w:b w:val="0"/>
          <w:color w:val="000000"/>
          <w:sz w:val="24"/>
        </w:rPr>
        <w:t>La figure 5 présente la gestion des comptes par l'administrateur. Il crée, modifie, désactive ou réactive les comptes professeurs et étudiants, et peut importer des listes. Cette vue complète le rôle local de l'administrateur côté utilisateurs.</w:t>
      </w:r>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pPr>
        <w:spacing w:line="360" w:lineRule="auto" w:after="160"/>
        <w:ind w:firstLine="425"/>
        <w:jc w:val="both"/>
      </w:pPr>
      <w:r>
        <w:rPr>
          <w:rFonts w:ascii="Times New Roman" w:hAnsi="Times New Roman" w:eastAsia="Times New Roman"/>
          <w:b w:val="0"/>
          <w:color w:val="000000"/>
          <w:sz w:val="24"/>
        </w:rPr>
        <w:t>La figure 6 détaille les actions du professeur autour des examens. Il crée l'épreuve, ajoute des exercices et des tests, puis publie l'examen. Cette figure montre le travail de préparation avant le jour J.</w:t>
      </w:r>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pPr>
        <w:spacing w:line="360" w:lineRule="auto" w:after="160"/>
        <w:ind w:firstLine="425"/>
        <w:jc w:val="both"/>
      </w:pPr>
      <w:r>
        <w:rPr>
          <w:rFonts w:ascii="Times New Roman" w:hAnsi="Times New Roman" w:eastAsia="Times New Roman"/>
          <w:b w:val="0"/>
          <w:color w:val="000000"/>
          <w:sz w:val="24"/>
        </w:rPr>
        <w:t>La figure 7 illustre le suivi côté professeur pendant et après l'épreuve. Il consulte les participations, lit le journal d'incidents et accède aux résultats. Cette vue montre comment le professeur pilote l'examen une fois lancé.</w:t>
      </w:r>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pPr>
        <w:spacing w:line="360" w:lineRule="auto" w:after="160"/>
        <w:ind w:firstLine="425"/>
        <w:jc w:val="both"/>
      </w:pPr>
      <w:r>
        <w:rPr>
          <w:rFonts w:ascii="Times New Roman" w:hAnsi="Times New Roman" w:eastAsia="Times New Roman"/>
          <w:b w:val="0"/>
          <w:color w:val="000000"/>
          <w:sz w:val="24"/>
        </w:rPr>
        <w:t>La figure 8 représente le parcours de l'étudiant. Après connexion et saisie du code d'examen, il accepte les consignes, attend en salle d'attente, compose, peut exécuter des essais, puis soumet sa copie. Cette figure résume le chemin complet côté étudiant.</w:t>
      </w:r>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On y voit les établissements, les utilisateurs et les liens avec les rôles. Cette modélisation pose la base des droits d'accès dans Cylentic.</w:t>
      </w:r>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pPr>
        <w:spacing w:line="360" w:lineRule="auto" w:after="160"/>
        <w:ind w:firstLine="425"/>
        <w:jc w:val="both"/>
      </w:pPr>
      <w:r>
        <w:rPr>
          <w:rFonts w:ascii="Times New Roman" w:hAnsi="Times New Roman" w:eastAsia="Times New Roman"/>
          <w:b w:val="0"/>
          <w:color w:val="000000"/>
          <w:sz w:val="24"/>
        </w:rPr>
        <w:t>La figure 10 illustre les classes de conception d'un examen. Un examen regroupe des exercices, eux-mêmes associés à des tests unitaires ou à des QCM. Cette figure montre comment le contenu pédagogique est structuré avant la composition.</w:t>
      </w:r>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pPr>
        <w:spacing w:line="360" w:lineRule="auto" w:after="160"/>
        <w:ind w:firstLine="425"/>
        <w:jc w:val="both"/>
      </w:pPr>
      <w:r>
        <w:rPr>
          <w:rFonts w:ascii="Times New Roman" w:hAnsi="Times New Roman" w:eastAsia="Times New Roman"/>
          <w:b w:val="0"/>
          <w:color w:val="000000"/>
          <w:sz w:val="24"/>
        </w:rPr>
        <w:t>La figure 11 présente les classes de la composition et de la correction. La participation relie un étudiant à un examen ; la copie, les incidents et les résultats permettent de suivre et d'évaluer le travail rendu. Cette vue explique le cœur métier pendant l'épreuve.</w:t>
      </w:r>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pPr>
        <w:spacing w:line="360" w:lineRule="auto" w:after="160"/>
        <w:ind w:firstLine="425"/>
        <w:jc w:val="both"/>
      </w:pPr>
      <w:r>
        <w:rPr>
          <w:rFonts w:ascii="Times New Roman" w:hAnsi="Times New Roman" w:eastAsia="Times New Roman"/>
          <w:b w:val="0"/>
          <w:color w:val="000000"/>
          <w:sz w:val="24"/>
        </w:rPr>
        <w:t>La figure 12 montre un exemple d'objets pour l'organisation. Elle donne une instance concrète des liens entre établissement, classes et utilisateurs, afin de rendre le modèle de classes plus lisible.</w:t>
      </w:r>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pPr>
        <w:spacing w:line="360" w:lineRule="auto" w:after="160"/>
        <w:ind w:firstLine="425"/>
        <w:jc w:val="both"/>
      </w:pPr>
      <w:r>
        <w:rPr>
          <w:rFonts w:ascii="Times New Roman" w:hAnsi="Times New Roman" w:eastAsia="Times New Roman"/>
          <w:b w:val="0"/>
          <w:color w:val="000000"/>
          <w:sz w:val="24"/>
        </w:rPr>
        <w:t>La figure 13 illustre un examen concret avec ses exercices et ses tests. Elle montre, sur un exemple, comment les objets de conception se relient au moment où le professeur prépare l'épreuve.</w:t>
      </w:r>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pPr>
        <w:spacing w:line="360" w:lineRule="auto" w:after="160"/>
        <w:ind w:firstLine="425"/>
        <w:jc w:val="both"/>
      </w:pPr>
      <w:r>
        <w:rPr>
          <w:rFonts w:ascii="Times New Roman" w:hAnsi="Times New Roman" w:eastAsia="Times New Roman"/>
          <w:b w:val="0"/>
          <w:color w:val="000000"/>
          <w:sz w:val="24"/>
        </w:rPr>
        <w:t>La figure 14 présente un exemple de participation pendant l'examen. On y voit la copie de l'étudiant, d'éventuels incidents et les éléments utiles à la correction. Cette figure aide à comprendre le déroulement réel d'une épreuve.</w:t>
      </w:r>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L'interface, les services et les briques techniques y sont reliés. Cette figure montre le découpage du système sans entrer dans chaque classe.</w:t>
      </w:r>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Elle montre comment la connexion, les rôles et la gestion des comptes sont pris en charge dans l'application.</w:t>
      </w:r>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pPr>
        <w:spacing w:line="360" w:lineRule="auto" w:after="160"/>
        <w:ind w:firstLine="425"/>
        <w:jc w:val="both"/>
      </w:pPr>
      <w:r>
        <w:rPr>
          <w:rFonts w:ascii="Times New Roman" w:hAnsi="Times New Roman" w:eastAsia="Times New Roman"/>
          <w:b w:val="0"/>
          <w:color w:val="000000"/>
          <w:sz w:val="24"/>
        </w:rPr>
        <w:t>La figure 17 présente les composants liés aux examens et à la composition. On y retrouve la préparation de l'épreuve, le parcours étudiant et l'exécution isolée du code. Cette vue relie la pédagogie à la technique.</w:t>
      </w:r>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pPr>
        <w:spacing w:line="360" w:lineRule="auto" w:after="160"/>
        <w:ind w:firstLine="425"/>
        <w:jc w:val="both"/>
      </w:pPr>
      <w:r>
        <w:rPr>
          <w:rFonts w:ascii="Times New Roman" w:hAnsi="Times New Roman" w:eastAsia="Times New Roman"/>
          <w:b w:val="0"/>
          <w:color w:val="000000"/>
          <w:sz w:val="24"/>
        </w:rPr>
        <w:t>La figure 18 montre les états successifs d'un examen. Il naît en brouillon, devient publié, passe en cours pendant l'épreuve, puis se clôture. Cette figure explique le cycle de vie suivi par la plateforme.</w:t>
      </w:r>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pPr>
        <w:spacing w:line="360" w:lineRule="auto" w:after="160"/>
        <w:ind w:firstLine="425"/>
        <w:jc w:val="both"/>
      </w:pPr>
      <w:r>
        <w:rPr>
          <w:rFonts w:ascii="Times New Roman" w:hAnsi="Times New Roman" w:eastAsia="Times New Roman"/>
          <w:b w:val="0"/>
          <w:color w:val="000000"/>
          <w:sz w:val="24"/>
        </w:rPr>
        <w:t>La figure 19 décrit la séquence de connexion. L'utilisateur saisit ses identifiants ; le serveur vérifie le compte, déduit le rôle et ouvre la session. Cette figure montre le premier contrôle d'accès à Cylentic.</w:t>
      </w:r>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pPr>
        <w:spacing w:line="360" w:lineRule="auto" w:after="160"/>
        <w:ind w:firstLine="425"/>
        <w:jc w:val="both"/>
      </w:pPr>
      <w:r>
        <w:rPr>
          <w:rFonts w:ascii="Times New Roman" w:hAnsi="Times New Roman" w:eastAsia="Times New Roman"/>
          <w:b w:val="0"/>
          <w:color w:val="000000"/>
          <w:sz w:val="24"/>
        </w:rPr>
        <w:t>La figure 20 illustre la publication d'un examen. Le professeur propriétaire déclenche la publication ; le système rend l'épreuve accessible et génère le code d'accès. Cette figure montre le passage du brouillon à l'épreuve prête.</w:t>
      </w:r>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pPr>
        <w:spacing w:line="360" w:lineRule="auto" w:after="160"/>
        <w:ind w:firstLine="425"/>
        <w:jc w:val="both"/>
      </w:pPr>
      <w:r>
        <w:rPr>
          <w:rFonts w:ascii="Times New Roman" w:hAnsi="Times New Roman" w:eastAsia="Times New Roman"/>
          <w:b w:val="0"/>
          <w:color w:val="000000"/>
          <w:sz w:val="24"/>
        </w:rPr>
        <w:t>La figure 21 présente l'accès de l'étudiant à l'examen. Après authentification et saisie du code, il lit les consignes puis rejoint la salle d'attente. Cette séquence prépare l'entrée en composition.</w:t>
      </w:r>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pPr>
        <w:spacing w:line="360" w:lineRule="auto" w:after="160"/>
        <w:ind w:firstLine="425"/>
        <w:jc w:val="both"/>
      </w:pPr>
      <w:r>
        <w:rPr>
          <w:rFonts w:ascii="Times New Roman" w:hAnsi="Times New Roman" w:eastAsia="Times New Roman"/>
          <w:b w:val="0"/>
          <w:color w:val="000000"/>
          <w:sz w:val="24"/>
        </w:rPr>
        <w:t>La figure 22 montre l'exécution du code Python dans la sandbox. Le navigateur envoie le code au serveur ; celui-ci le fait tourner dans un conteneur isolé, puis renvoie la sortie. Cette figure explique comment l'essai reste sûr pour la machine hôte.</w:t>
      </w:r>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pPr>
        <w:spacing w:line="360" w:lineRule="auto" w:after="160"/>
        <w:ind w:firstLine="425"/>
        <w:jc w:val="both"/>
      </w:pPr>
      <w:r>
        <w:rPr>
          <w:rFonts w:ascii="Times New Roman" w:hAnsi="Times New Roman" w:eastAsia="Times New Roman"/>
          <w:b w:val="0"/>
          <w:color w:val="000000"/>
          <w:sz w:val="24"/>
        </w:rPr>
        <w:t>La figure 23 décrit la soumission de la copie et la correction automatique. Une fois la copie figée, les tests unitaires sont exécutés et le score est calculé. Cette figure montre la fin du parcours de composition.</w:t>
      </w:r>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pPr>
        <w:spacing w:line="360" w:lineRule="auto" w:after="160"/>
        <w:ind w:firstLine="425"/>
        <w:jc w:val="both"/>
      </w:pPr>
      <w:r>
        <w:rPr>
          <w:rFonts w:ascii="Times New Roman" w:hAnsi="Times New Roman" w:eastAsia="Times New Roman"/>
          <w:b w:val="0"/>
          <w:color w:val="000000"/>
          <w:sz w:val="24"/>
        </w:rPr>
        <w:t>La figure 24 illustre l'enregistrement d'un incident pendant l'examen. Une sortie du plein écran, un changement d'onglet ou un collage peut être journalisé, puis traité selon les règles prévues. Cette figure montre le suivi de la sécurité pendant l'épreuve.</w:t>
      </w:r>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pPr>
        <w:spacing w:line="360" w:lineRule="auto" w:after="160"/>
        <w:ind w:firstLine="425"/>
        <w:jc w:val="both"/>
      </w:pPr>
      <w:r>
        <w:rPr>
          <w:rFonts w:ascii="Times New Roman" w:hAnsi="Times New Roman" w:eastAsia="Times New Roman"/>
          <w:b w:val="0"/>
          <w:color w:val="000000"/>
          <w:sz w:val="24"/>
        </w:rPr>
        <w:t>La figure 25 présente le flux d'activité jusqu'à la salle d'attente. L'étudiant se connecte, accepte les consignes, active le plein écran, puis attend le démarrage. Cette figure couvre la phase avant composition.</w:t>
      </w:r>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pPr>
        <w:spacing w:line="360" w:lineRule="auto" w:after="160"/>
        <w:ind w:firstLine="425"/>
        <w:jc w:val="both"/>
      </w:pPr>
      <w:r>
        <w:rPr>
          <w:rFonts w:ascii="Times New Roman" w:hAnsi="Times New Roman" w:eastAsia="Times New Roman"/>
          <w:b w:val="0"/>
          <w:color w:val="000000"/>
          <w:sz w:val="24"/>
        </w:rPr>
        <w:t>La figure 26 décrit les activités pendant la composition. L'étudiant écrit, lance des essais, peut provoquer des incidents, puis soumet manuellement ou automatiquement à la fin du temps. Cette figure raconte le cœur de l'épreuve.</w:t>
      </w:r>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pPr>
        <w:spacing w:line="360" w:lineRule="auto" w:after="160"/>
        <w:ind w:firstLine="425"/>
        <w:jc w:val="both"/>
      </w:pPr>
      <w:r>
        <w:rPr>
          <w:rFonts w:ascii="Times New Roman" w:hAnsi="Times New Roman" w:eastAsia="Times New Roman"/>
          <w:b w:val="0"/>
          <w:color w:val="000000"/>
          <w:sz w:val="24"/>
        </w:rPr>
        <w:t>La figure 27 montre la page de connexion de Cylentic. Selon le préfixe de l'identifiant, l'utilisateur est orienté vers l'espace Super Admin, administrateur, professeur ou étudiant. Cette figure présente la porte d'entrée de la plateforme.</w:t>
      </w:r>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pPr>
        <w:spacing w:line="360" w:lineRule="auto" w:after="160"/>
        <w:ind w:firstLine="425"/>
        <w:jc w:val="both"/>
      </w:pPr>
      <w:r>
        <w:rPr>
          <w:rFonts w:ascii="Times New Roman" w:hAnsi="Times New Roman" w:eastAsia="Times New Roman"/>
          <w:b w:val="0"/>
          <w:color w:val="000000"/>
          <w:sz w:val="24"/>
        </w:rPr>
        <w:t>La figure 28 présente l'espace administrateur d'établissement. On y gère les classes, les comptes et l'organisation locale. Cette capture montre l'interface réelle utilisée au quotidien par l'administration.</w:t>
      </w:r>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pPr>
        <w:spacing w:line="360" w:lineRule="auto" w:after="160"/>
        <w:ind w:firstLine="425"/>
        <w:jc w:val="both"/>
      </w:pPr>
      <w:r>
        <w:rPr>
          <w:rFonts w:ascii="Times New Roman" w:hAnsi="Times New Roman" w:eastAsia="Times New Roman"/>
          <w:b w:val="0"/>
          <w:color w:val="000000"/>
          <w:sz w:val="24"/>
        </w:rPr>
        <w:t>La figure 29 illustre l'écran de création et d'édition d'un examen côté professeur. On y prépare les exercices, les tests et les paramètres de l'épreuve. Cette figure montre l'outil de conception pédagogique.</w:t>
      </w:r>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pPr>
        <w:spacing w:line="360" w:lineRule="auto" w:after="160"/>
        <w:ind w:firstLine="425"/>
        <w:jc w:val="both"/>
      </w:pPr>
      <w:r>
        <w:rPr>
          <w:rFonts w:ascii="Times New Roman" w:hAnsi="Times New Roman" w:eastAsia="Times New Roman"/>
          <w:b w:val="0"/>
          <w:color w:val="000000"/>
          <w:sz w:val="24"/>
        </w:rPr>
        <w:t>La figure 30 montre l'écran de publication et le code d'accès. Une fois l'examen publié, le professeur peut communiquer ce code aux étudiants. Cette figure relie la préparation au démarrage de l'épreuve.</w:t>
      </w:r>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pPr>
        <w:spacing w:line="360" w:lineRule="auto" w:after="160"/>
        <w:ind w:firstLine="425"/>
        <w:jc w:val="both"/>
      </w:pPr>
      <w:r>
        <w:rPr>
          <w:rFonts w:ascii="Times New Roman" w:hAnsi="Times New Roman" w:eastAsia="Times New Roman"/>
          <w:b w:val="0"/>
          <w:color w:val="000000"/>
          <w:sz w:val="24"/>
        </w:rPr>
        <w:t>La figure 31 présente le suivi en direct des participations. Le professeur voit qui est connecté, l'état des copies et les incidents signalés. Cette figure montre le pilotage de la salle pendant l'examen.</w:t>
      </w:r>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pPr>
        <w:spacing w:line="360" w:lineRule="auto" w:after="160"/>
        <w:ind w:firstLine="425"/>
        <w:jc w:val="both"/>
      </w:pPr>
      <w:r>
        <w:rPr>
          <w:rFonts w:ascii="Times New Roman" w:hAnsi="Times New Roman" w:eastAsia="Times New Roman"/>
          <w:b w:val="0"/>
          <w:color w:val="000000"/>
          <w:sz w:val="24"/>
        </w:rPr>
        <w:t>La figure 32 illustre la consultation des résultats et les exports. Après l'épreuve, le professeur peut lire les scores et exporter les données utiles. Cette figure montre la restitution finale du travail.</w:t>
      </w:r>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pPr>
        <w:spacing w:line="360" w:lineRule="auto" w:after="160"/>
        <w:ind w:firstLine="425"/>
        <w:jc w:val="both"/>
      </w:pPr>
      <w:r>
        <w:rPr>
          <w:rFonts w:ascii="Times New Roman" w:hAnsi="Times New Roman" w:eastAsia="Times New Roman"/>
          <w:b w:val="0"/>
          <w:color w:val="000000"/>
          <w:sz w:val="24"/>
        </w:rPr>
        <w:t>La figure 33 montre les consignes de sécurité et l'activation du plein écran. Avant de composer, l'étudiant doit accepter le cadre de l'épreuve. Cette figure présente le verrouillage initial côté navigateur.</w:t>
      </w:r>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pPr>
        <w:spacing w:line="360" w:lineRule="auto" w:after="160"/>
        <w:ind w:firstLine="425"/>
        <w:jc w:val="both"/>
      </w:pPr>
      <w:r>
        <w:rPr>
          <w:rFonts w:ascii="Times New Roman" w:hAnsi="Times New Roman" w:eastAsia="Times New Roman"/>
          <w:b w:val="0"/>
          <w:color w:val="000000"/>
          <w:sz w:val="24"/>
        </w:rPr>
        <w:t>La figure 34 présente la salle d'attente. L'étudiant reste connecté et informe jusqu'à l'heure de début. Cette figure montre la phase d'attente synchronisée avant l'ouverture de la composition.</w:t>
      </w:r>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pPr>
        <w:spacing w:line="360" w:lineRule="auto" w:after="160"/>
        <w:ind w:firstLine="425"/>
        <w:jc w:val="both"/>
      </w:pPr>
      <w:r>
        <w:rPr>
          <w:rFonts w:ascii="Times New Roman" w:hAnsi="Times New Roman" w:eastAsia="Times New Roman"/>
          <w:b w:val="0"/>
          <w:color w:val="000000"/>
          <w:sz w:val="24"/>
        </w:rPr>
        <w:t>La figure 35 illustre l'environnement de composition pendant l'examen. L'étudiant voit l'énoncé, écrit dans l'éditeur, peut exécuter un essai et soumettre sa copie. Cette figure montre l'écran principal de l'épreuve.</w:t>
      </w:r>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pPr>
        <w:spacing w:line="360" w:lineRule="auto" w:after="160"/>
        <w:ind w:firstLine="425"/>
        <w:jc w:val="both"/>
      </w:pPr>
      <w:r>
        <w:rPr>
          <w:rFonts w:ascii="Times New Roman" w:hAnsi="Times New Roman" w:eastAsia="Times New Roman"/>
          <w:b w:val="0"/>
          <w:color w:val="000000"/>
          <w:sz w:val="24"/>
        </w:rPr>
        <w:t>La figure 36 montre la page d'accueil publique de Cylentic. Elle présente la plateforme et oriente vers la connexion. Cette figure correspond au premier contact d'un visiteur avec le service.</w:t>
      </w:r>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spacing w:line="360" w:lineRule="auto" w:after="120"/>
        <w:ind w:firstLine="0"/>
        <w:jc w:val="left"/>
      </w:pPr>
      <w:bookmarkStart w:id="184" w:name="bm_biblio"/>
      <w:bookmarkStart w:id="185" w:name="_Toc235117294"/>
      <w:bookmarkStart w:id="186" w:name="_Toc235117429"/>
      <w:r w:rsidRPr="0084737F">
        <w:rPr>
          <w:rFonts w:ascii="Times New Roman" w:eastAsia="Times New Roman" w:hAnsi="Times New Roman"/>
          <w:b/>
          <w:color w:val="000000"/>
          <w:sz w:val="24"/>
        </w:rPr>
        <w:t>Bibliographie</w:t>
      </w:r>
      <w:bookmarkEnd w:id="184"/>
      <w:bookmarkEnd w:id="185"/>
      <w:bookmarkEnd w:id="186"/>
    </w:p>
    <w:p>
      <w:pPr>
        <w:spacing w:line="360" w:lineRule="auto" w:after="120"/>
        <w:ind w:firstLine="0"/>
        <w:jc w:val="left"/>
      </w:pPr>
      <w:r>
        <w:rPr>
          <w:rFonts w:ascii="Times New Roman" w:hAnsi="Times New Roman" w:eastAsia="Times New Roman"/>
          <w:b w:val="0"/>
          <w:color w:val="000000"/>
          <w:sz w:val="24"/>
        </w:rPr>
        <w:t>[1] Object Management Group, OMG Unified Modeling Language (OMG UML), Version 2.5.1, 2017.</w:t>
      </w:r>
    </w:p>
    <w:p>
      <w:pPr>
        <w:spacing w:line="360" w:lineRule="auto" w:after="120"/>
        <w:ind w:firstLine="0"/>
        <w:jc w:val="left"/>
      </w:pPr>
      <w:r>
        <w:rPr>
          <w:rFonts w:ascii="Times New Roman" w:hAnsi="Times New Roman" w:eastAsia="Times New Roman"/>
          <w:b w:val="0"/>
          <w:color w:val="000000"/>
          <w:sz w:val="24"/>
        </w:rPr>
        <w:t>[2] R. S. Pressman et B. R. Maxim, Software Engineering: A Practitioner's Approach, 9e éd., McGraw-Hill, 2019.</w:t>
      </w:r>
    </w:p>
    <w:p>
      <w:pPr>
        <w:spacing w:line="360" w:lineRule="auto" w:after="120"/>
        <w:ind w:firstLine="0"/>
        <w:jc w:val="left"/>
      </w:pPr>
      <w:r>
        <w:rPr>
          <w:rFonts w:ascii="Times New Roman" w:hAnsi="Times New Roman" w:eastAsia="Times New Roman"/>
          <w:b w:val="0"/>
          <w:color w:val="000000"/>
          <w:sz w:val="24"/>
        </w:rPr>
        <w:t>[3] I. Sommerville, Software Engineering, 10e éd., Pearson, 2016.</w:t>
      </w:r>
    </w:p>
    <w:p>
      <w:pPr>
        <w:spacing w:line="360" w:lineRule="auto" w:after="120"/>
        <w:ind w:firstLine="0"/>
        <w:jc w:val="left"/>
      </w:pPr>
      <w:r>
        <w:rPr>
          <w:rFonts w:ascii="Times New Roman" w:hAnsi="Times New Roman" w:eastAsia="Times New Roman"/>
          <w:b w:val="0"/>
          <w:color w:val="000000"/>
          <w:sz w:val="24"/>
        </w:rPr>
        <w:t>[4] G. Booch, J. Rumbaugh et I. Jacobson, The Unified Modeling Language User Guide, 2e éd., Addison-Wesley, 2005.</w:t>
      </w:r>
    </w:p>
    <w:p>
      <w:pPr>
        <w:spacing w:line="360" w:lineRule="auto" w:after="120"/>
        <w:ind w:firstLine="0"/>
        <w:jc w:val="left"/>
      </w:pPr>
      <w:r>
        <w:rPr>
          <w:rFonts w:ascii="Times New Roman" w:hAnsi="Times New Roman" w:eastAsia="Times New Roman"/>
          <w:b w:val="0"/>
          <w:color w:val="000000"/>
          <w:sz w:val="24"/>
        </w:rPr>
        <w:t>[5] M. Fowler, Patterns of Enterprise Application Architecture, Addison-Wesley, 2002.</w:t>
      </w:r>
    </w:p>
    <w:p>
      <w:pPr>
        <w:spacing w:line="360" w:lineRule="auto" w:after="120"/>
        <w:ind w:firstLine="0"/>
        <w:jc w:val="left"/>
      </w:pPr>
      <w:r>
        <w:rPr>
          <w:rFonts w:ascii="Times New Roman" w:hAnsi="Times New Roman" w:eastAsia="Times New Roman"/>
          <w:b w:val="0"/>
          <w:color w:val="000000"/>
          <w:sz w:val="24"/>
        </w:rPr>
        <w:t>[6] ESTA, Guide du stagiaire Master/Ingénieur, année académique 2024-2025.</w:t>
      </w:r>
    </w:p>
    <w:p>
      <w:r>
        <w:br w:type="page"/>
      </w:r>
    </w:p>
    <w:p>
      <w:pPr>
        <w:pStyle w:val="Titre1"/>
        <w:spacing w:line="360" w:lineRule="auto" w:after="120"/>
        <w:ind w:firstLine="0"/>
        <w:jc w:val="left"/>
      </w:pPr>
      <w:r>
        <w:rPr>
          <w:rFonts w:ascii="Times New Roman" w:hAnsi="Times New Roman" w:eastAsia="Times New Roman"/>
          <w:b/>
          <w:color w:val="000000"/>
          <w:sz w:val="24"/>
        </w:rPr>
        <w:t>Webographie</w:t>
      </w:r>
    </w:p>
    <w:p>
      <w:pPr>
        <w:spacing w:line="360" w:lineRule="auto" w:after="120"/>
        <w:ind w:firstLine="0"/>
        <w:jc w:val="left"/>
      </w:pPr>
      <w:r>
        <w:rPr>
          <w:rFonts w:ascii="Times New Roman" w:hAnsi="Times New Roman" w:eastAsia="Times New Roman"/>
          <w:b w:val="0"/>
          <w:color w:val="000000"/>
          <w:sz w:val="24"/>
        </w:rPr>
        <w:t>[1] Vercel, Next.js Documentation, https://nextjs.org/docs, consulté le 12/11/2025 à 10h15.</w:t>
      </w:r>
    </w:p>
    <w:p>
      <w:pPr>
        <w:spacing w:line="360" w:lineRule="auto" w:after="120"/>
        <w:ind w:firstLine="0"/>
        <w:jc w:val="left"/>
      </w:pPr>
      <w:r>
        <w:rPr>
          <w:rFonts w:ascii="Times New Roman" w:hAnsi="Times New Roman" w:eastAsia="Times New Roman"/>
          <w:b w:val="0"/>
          <w:color w:val="000000"/>
          <w:sz w:val="24"/>
        </w:rPr>
        <w:t>[2] Prisma, Prisma Documentation, https://www.prisma.io/docs, consulté le 18/11/2025 à 15h40.</w:t>
      </w:r>
    </w:p>
    <w:p>
      <w:pPr>
        <w:spacing w:line="360" w:lineRule="auto" w:after="120"/>
        <w:ind w:firstLine="0"/>
        <w:jc w:val="left"/>
      </w:pPr>
      <w:r>
        <w:rPr>
          <w:rFonts w:ascii="Times New Roman" w:hAnsi="Times New Roman" w:eastAsia="Times New Roman"/>
          <w:b w:val="0"/>
          <w:color w:val="000000"/>
          <w:sz w:val="24"/>
        </w:rPr>
        <w:t>[3] Oracle, MySQL 8 Documentation, https://dev.mysql.com/doc/, consulté le 03/12/2025 à 09h05.</w:t>
      </w:r>
    </w:p>
    <w:p>
      <w:pPr>
        <w:spacing w:line="360" w:lineRule="auto" w:after="120"/>
        <w:ind w:firstLine="0"/>
        <w:jc w:val="left"/>
      </w:pPr>
      <w:r>
        <w:rPr>
          <w:rFonts w:ascii="Times New Roman" w:hAnsi="Times New Roman" w:eastAsia="Times New Roman"/>
          <w:b w:val="0"/>
          <w:color w:val="000000"/>
          <w:sz w:val="24"/>
        </w:rPr>
        <w:t>[4] Docker Inc., Docker Documentation, https://docs.docker.com/, consulté le 09/12/2025 à 14h25.</w:t>
      </w:r>
    </w:p>
    <w:p>
      <w:pPr>
        <w:spacing w:line="360" w:lineRule="auto" w:after="120"/>
        <w:ind w:firstLine="0"/>
        <w:jc w:val="left"/>
      </w:pPr>
      <w:r>
        <w:rPr>
          <w:rFonts w:ascii="Times New Roman" w:hAnsi="Times New Roman" w:eastAsia="Times New Roman"/>
          <w:b w:val="0"/>
          <w:color w:val="000000"/>
          <w:sz w:val="24"/>
        </w:rPr>
        <w:t>[5] Redis Ltd, Redis Documentation, https://redis.io/docs/, consulté le 16/01/2026 à 11h50.</w:t>
      </w:r>
    </w:p>
    <w:p>
      <w:pPr>
        <w:spacing w:line="360" w:lineRule="auto" w:after="120"/>
        <w:ind w:firstLine="0"/>
        <w:jc w:val="left"/>
      </w:pPr>
      <w:r>
        <w:rPr>
          <w:rFonts w:ascii="Times New Roman" w:hAnsi="Times New Roman" w:eastAsia="Times New Roman"/>
          <w:b w:val="0"/>
          <w:color w:val="000000"/>
          <w:sz w:val="24"/>
        </w:rPr>
        <w:t>[6] Microsoft, Monaco Editor, https://microsoft.github.io/monaco-editor/, consulté le 22/01/2026 à 16h10.</w:t>
      </w:r>
    </w:p>
    <w:p>
      <w:pPr>
        <w:spacing w:line="360" w:lineRule="auto" w:after="120"/>
        <w:ind w:firstLine="0"/>
        <w:jc w:val="left"/>
      </w:pPr>
      <w:r>
        <w:rPr>
          <w:rFonts w:ascii="Times New Roman" w:hAnsi="Times New Roman" w:eastAsia="Times New Roman"/>
          <w:b w:val="0"/>
          <w:color w:val="000000"/>
          <w:sz w:val="24"/>
        </w:rPr>
        <w:t>[7] PlantUML, https://plantuml.com/, consulté le 05/02/2026 à 08h45.</w:t>
      </w:r>
    </w:p>
    <w:p>
      <w:pPr>
        <w:spacing w:line="360" w:lineRule="auto" w:after="120"/>
        <w:ind w:firstLine="0"/>
        <w:jc w:val="left"/>
      </w:pPr>
      <w:r>
        <w:rPr>
          <w:rFonts w:ascii="Times New Roman" w:hAnsi="Times New Roman" w:eastAsia="Times New Roman"/>
          <w:b w:val="0"/>
          <w:color w:val="000000"/>
          <w:sz w:val="24"/>
        </w:rPr>
        <w:t>[8] freeCodeCamp, https://www.freecodecamp.org/, consulté le 19/02/2026 à 13h30.</w:t>
      </w:r>
    </w:p>
    <w:p>
      <w:pPr>
        <w:spacing w:line="360" w:lineRule="auto" w:after="120"/>
        <w:ind w:firstLine="0"/>
        <w:jc w:val="left"/>
      </w:pPr>
      <w:r>
        <w:rPr>
          <w:rFonts w:ascii="Times New Roman" w:hAnsi="Times New Roman" w:eastAsia="Times New Roman"/>
          <w:b w:val="0"/>
          <w:color w:val="000000"/>
          <w:sz w:val="24"/>
        </w:rPr>
        <w:t>[9] Moodle HQ, Moodle Documentation, https://docs.moodle.org/, consulté le 11/03/2026 à 10h55.</w:t>
      </w:r>
    </w:p>
    <w:p>
      <w:pPr>
        <w:spacing w:line="360" w:lineRule="auto" w:after="120"/>
        <w:ind w:firstLine="0"/>
        <w:jc w:val="left"/>
      </w:pPr>
      <w:r>
        <w:rPr>
          <w:rFonts w:ascii="Times New Roman" w:hAnsi="Times New Roman" w:eastAsia="Times New Roman"/>
          <w:b w:val="0"/>
          <w:color w:val="000000"/>
          <w:sz w:val="24"/>
        </w:rPr>
        <w:t>[10] Judge0, Judge0 CE, https://judge0.com/, consulté le 27/03/2026 à 17h20.</w:t>
      </w:r>
    </w:p>
    <w:p>
      <w:pPr>
        <w:spacing w:line="360" w:lineRule="auto" w:after="120"/>
        <w:ind w:firstLine="0"/>
        <w:jc w:val="left"/>
      </w:pPr>
      <w:r>
        <w:rPr>
          <w:rFonts w:ascii="Times New Roman" w:hAnsi="Times New Roman" w:eastAsia="Times New Roman"/>
          <w:b w:val="0"/>
          <w:color w:val="000000"/>
          <w:sz w:val="24"/>
        </w:rPr>
        <w:t>[11] MDN Web Docs, Web APIs, https://developer.mozilla.org/docs/Web/API, consulté le 08/04/2026 à 09h40.</w:t>
      </w:r>
    </w:p>
    <w:p>
      <w:pPr>
        <w:spacing w:line="360" w:lineRule="auto" w:after="120"/>
        <w:ind w:firstLine="0"/>
        <w:jc w:val="left"/>
      </w:pPr>
      <w:r>
        <w:rPr>
          <w:rFonts w:ascii="Times New Roman" w:hAnsi="Times New Roman" w:eastAsia="Times New Roman"/>
          <w:b w:val="0"/>
          <w:color w:val="000000"/>
          <w:sz w:val="24"/>
        </w:rPr>
        <w:t>[12] JWT.io, Introduction to JSON Web Tokens, https://jwt.io/introduction, consulté le 21/05/2026 à 15h05.</w:t>
      </w:r>
    </w:p>
    <w:p>
      <w:r>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État de l'art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Synthèse des lacunes du domaine</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2.4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2.5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pendant l'examen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
        </w:r>
        <w:r>
          <w:rPr>
            <w:noProof/>
            <w:webHidden/>
          </w:rPr>
          <w:fldChar w:fldCharType="end"/>
        </w:r>
      </w:hyperlink>
      <w:r/>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pendant l'examen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
        </w:r>
        <w:r>
          <w:rPr>
            <w:noProof/>
            <w:webHidden/>
          </w:rPr>
          <w:fldChar w:fldCharType="end"/>
        </w:r>
      </w:hyperlink>
      <w:r/>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