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pStyle w:val="Tabledesillustrations"/>
      </w:pPr>
      <w:r>
        <w:rPr>
          <w:rFonts w:ascii="Times New Roman" w:hAnsi="Times New Roman" w:eastAsia="Times New Roman"/>
          <w:b w:val="0"/>
          <w:color w:val="000000"/>
          <w:sz w:val="24"/>
        </w:rPr>
        <w:fldChar w:fldCharType="begin"/>
        <w:instrText xml:space="preserve">TOC \z \c "Figure"</w:instrText>
        <w:fldChar w:fldCharType="separate"/>
        <w:t> </w:t>
        <w:fldChar w:fldCharType="end"/>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pStyle w:val="Tabledesillustrations"/>
      </w:pPr>
      <w:r>
        <w:rPr>
          <w:rFonts w:ascii="Times New Roman" w:hAnsi="Times New Roman" w:eastAsia="Times New Roman"/>
          <w:b w:val="0"/>
          <w:color w:val="000000"/>
          <w:sz w:val="24"/>
        </w:rPr>
        <w:fldChar w:fldCharType="begin"/>
        <w:instrText xml:space="preserve">TOC \z \c "Tableau"</w:instrText>
        <w:fldChar w:fldCharType="separate"/>
        <w:t> </w:t>
        <w:fldChar w:fldCharType="end"/>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20"/>
        <w:ind w:firstLine="0"/>
        <w:jc w:val="left"/>
      </w:pPr>
      <w:bookmarkStart w:id="184" w:name="bm_biblio"/>
      <w:bookmarkStart w:id="185" w:name="_Toc235117294"/>
      <w:bookmarkStart w:id="186" w:name="_Toc235117429"/>
      <w:r w:rsidRPr="0084737F">
        <w:rPr>
          <w:rFonts w:ascii="Times New Roman" w:eastAsia="Times New Roman" w:hAnsi="Times New Roman"/>
          <w:b/>
          <w:color w:val="000000"/>
          <w:sz w:val="24"/>
        </w:rPr>
        <w:t>Bibliographie</w:t>
      </w:r>
      <w:bookmarkEnd w:id="184"/>
      <w:bookmarkEnd w:id="185"/>
      <w:bookmarkEnd w:id="186"/>
    </w:p>
    <w:p>
      <w:pPr>
        <w:spacing w:line="360" w:lineRule="auto" w:after="12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2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2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2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20"/>
        <w:ind w:firstLine="0"/>
        <w:jc w:val="left"/>
      </w:pPr>
      <w:r>
        <w:rPr>
          <w:rFonts w:ascii="Times New Roman" w:hAnsi="Times New Roman" w:eastAsia="Times New Roman"/>
          <w:b w:val="0"/>
          <w:color w:val="000000"/>
          <w:sz w:val="24"/>
        </w:rPr>
        <w:t>[5] M. Fowler, Patterns of Enterprise Application Architecture, Addison-Wesley, 2002.</w:t>
      </w:r>
    </w:p>
    <w:p>
      <w:pPr>
        <w:spacing w:line="360" w:lineRule="auto" w:after="120"/>
        <w:ind w:firstLine="0"/>
        <w:jc w:val="left"/>
      </w:pPr>
      <w:r>
        <w:rPr>
          <w:rFonts w:ascii="Times New Roman" w:hAnsi="Times New Roman" w:eastAsia="Times New Roman"/>
          <w:b w:val="0"/>
          <w:color w:val="000000"/>
          <w:sz w:val="24"/>
        </w:rPr>
        <w:t>[6] ESTA, Guide du stagiaire Master/Ingénieur, année académique 2024-2025.</w:t>
      </w:r>
    </w:p>
    <w:p>
      <w:r>
        <w:br w:type="page"/>
      </w:r>
    </w:p>
    <w:p>
      <w:pPr>
        <w:pStyle w:val="Titre1"/>
        <w:spacing w:line="360" w:lineRule="auto" w:after="120"/>
        <w:ind w:firstLine="0"/>
        <w:jc w:val="left"/>
      </w:pPr>
      <w:r>
        <w:rPr>
          <w:rFonts w:ascii="Times New Roman" w:hAnsi="Times New Roman" w:eastAsia="Times New Roman"/>
          <w:b/>
          <w:color w:val="000000"/>
          <w:sz w:val="24"/>
        </w:rPr>
        <w:t>Webographie</w:t>
      </w:r>
    </w:p>
    <w:p>
      <w:pPr>
        <w:spacing w:line="360" w:lineRule="auto" w:after="120"/>
        <w:ind w:firstLine="0"/>
        <w:jc w:val="left"/>
      </w:pPr>
      <w:r>
        <w:rPr>
          <w:rFonts w:ascii="Times New Roman" w:hAnsi="Times New Roman" w:eastAsia="Times New Roman"/>
          <w:b w:val="0"/>
          <w:color w:val="000000"/>
          <w:sz w:val="24"/>
        </w:rPr>
        <w:t>[1] Vercel, Next.js Documentation, https://nextjs.org/docs, consulté le 12/11/2025 à 10h15.</w:t>
      </w:r>
    </w:p>
    <w:p>
      <w:pPr>
        <w:spacing w:line="360" w:lineRule="auto" w:after="120"/>
        <w:ind w:firstLine="0"/>
        <w:jc w:val="left"/>
      </w:pPr>
      <w:r>
        <w:rPr>
          <w:rFonts w:ascii="Times New Roman" w:hAnsi="Times New Roman" w:eastAsia="Times New Roman"/>
          <w:b w:val="0"/>
          <w:color w:val="000000"/>
          <w:sz w:val="24"/>
        </w:rPr>
        <w:t>[2] Prisma, Prisma Documentation, https://www.prisma.io/docs, consulté le 18/11/2025 à 15h40.</w:t>
      </w:r>
    </w:p>
    <w:p>
      <w:pPr>
        <w:spacing w:line="360" w:lineRule="auto" w:after="120"/>
        <w:ind w:firstLine="0"/>
        <w:jc w:val="left"/>
      </w:pPr>
      <w:r>
        <w:rPr>
          <w:rFonts w:ascii="Times New Roman" w:hAnsi="Times New Roman" w:eastAsia="Times New Roman"/>
          <w:b w:val="0"/>
          <w:color w:val="000000"/>
          <w:sz w:val="24"/>
        </w:rPr>
        <w:t>[3] Oracle, MySQL 8 Documentation, https://dev.mysql.com/doc/, consulté le 03/12/2025 à 09h05.</w:t>
      </w:r>
    </w:p>
    <w:p>
      <w:pPr>
        <w:spacing w:line="360" w:lineRule="auto" w:after="120"/>
        <w:ind w:firstLine="0"/>
        <w:jc w:val="left"/>
      </w:pPr>
      <w:r>
        <w:rPr>
          <w:rFonts w:ascii="Times New Roman" w:hAnsi="Times New Roman" w:eastAsia="Times New Roman"/>
          <w:b w:val="0"/>
          <w:color w:val="000000"/>
          <w:sz w:val="24"/>
        </w:rPr>
        <w:t>[4] Docker Inc., Docker Documentation, https://docs.docker.com/, consulté le 09/12/2025 à 14h25.</w:t>
      </w:r>
    </w:p>
    <w:p>
      <w:pPr>
        <w:spacing w:line="360" w:lineRule="auto" w:after="120"/>
        <w:ind w:firstLine="0"/>
        <w:jc w:val="left"/>
      </w:pPr>
      <w:r>
        <w:rPr>
          <w:rFonts w:ascii="Times New Roman" w:hAnsi="Times New Roman" w:eastAsia="Times New Roman"/>
          <w:b w:val="0"/>
          <w:color w:val="000000"/>
          <w:sz w:val="24"/>
        </w:rPr>
        <w:t>[5] Redis Ltd, Redis Documentation, https://redis.io/docs/, consulté le 16/01/2026 à 11h50.</w:t>
      </w:r>
    </w:p>
    <w:p>
      <w:pPr>
        <w:spacing w:line="360" w:lineRule="auto" w:after="120"/>
        <w:ind w:firstLine="0"/>
        <w:jc w:val="left"/>
      </w:pPr>
      <w:r>
        <w:rPr>
          <w:rFonts w:ascii="Times New Roman" w:hAnsi="Times New Roman" w:eastAsia="Times New Roman"/>
          <w:b w:val="0"/>
          <w:color w:val="000000"/>
          <w:sz w:val="24"/>
        </w:rPr>
        <w:t>[6] Microsoft, Monaco Editor, https://microsoft.github.io/monaco-editor/, consulté le 22/01/2026 à 16h10.</w:t>
      </w:r>
    </w:p>
    <w:p>
      <w:pPr>
        <w:spacing w:line="360" w:lineRule="auto" w:after="120"/>
        <w:ind w:firstLine="0"/>
        <w:jc w:val="left"/>
      </w:pPr>
      <w:r>
        <w:rPr>
          <w:rFonts w:ascii="Times New Roman" w:hAnsi="Times New Roman" w:eastAsia="Times New Roman"/>
          <w:b w:val="0"/>
          <w:color w:val="000000"/>
          <w:sz w:val="24"/>
        </w:rPr>
        <w:t>[7] PlantUML, https://plantuml.com/, consulté le 05/02/2026 à 08h45.</w:t>
      </w:r>
    </w:p>
    <w:p>
      <w:pPr>
        <w:spacing w:line="360" w:lineRule="auto" w:after="120"/>
        <w:ind w:firstLine="0"/>
        <w:jc w:val="left"/>
      </w:pPr>
      <w:r>
        <w:rPr>
          <w:rFonts w:ascii="Times New Roman" w:hAnsi="Times New Roman" w:eastAsia="Times New Roman"/>
          <w:b w:val="0"/>
          <w:color w:val="000000"/>
          <w:sz w:val="24"/>
        </w:rPr>
        <w:t>[8] freeCodeCamp, https://www.freecodecamp.org/, consulté le 19/02/2026 à 13h30.</w:t>
      </w:r>
    </w:p>
    <w:p>
      <w:pPr>
        <w:spacing w:line="360" w:lineRule="auto" w:after="120"/>
        <w:ind w:firstLine="0"/>
        <w:jc w:val="left"/>
      </w:pPr>
      <w:r>
        <w:rPr>
          <w:rFonts w:ascii="Times New Roman" w:hAnsi="Times New Roman" w:eastAsia="Times New Roman"/>
          <w:b w:val="0"/>
          <w:color w:val="000000"/>
          <w:sz w:val="24"/>
        </w:rPr>
        <w:t>[9] Moodle HQ, Moodle Documentation, https://docs.moodle.org/, consulté le 11/03/2026 à 10h55.</w:t>
      </w:r>
    </w:p>
    <w:p>
      <w:pPr>
        <w:spacing w:line="360" w:lineRule="auto" w:after="120"/>
        <w:ind w:firstLine="0"/>
        <w:jc w:val="left"/>
      </w:pPr>
      <w:r>
        <w:rPr>
          <w:rFonts w:ascii="Times New Roman" w:hAnsi="Times New Roman" w:eastAsia="Times New Roman"/>
          <w:b w:val="0"/>
          <w:color w:val="000000"/>
          <w:sz w:val="24"/>
        </w:rPr>
        <w:t>[10] Judge0, Judge0 CE, https://judge0.com/, consulté le 27/03/2026 à 17h20.</w:t>
      </w:r>
    </w:p>
    <w:p>
      <w:pPr>
        <w:spacing w:line="360" w:lineRule="auto" w:after="120"/>
        <w:ind w:firstLine="0"/>
        <w:jc w:val="left"/>
      </w:pPr>
      <w:r>
        <w:rPr>
          <w:rFonts w:ascii="Times New Roman" w:hAnsi="Times New Roman" w:eastAsia="Times New Roman"/>
          <w:b w:val="0"/>
          <w:color w:val="000000"/>
          <w:sz w:val="24"/>
        </w:rPr>
        <w:t>[11] MDN Web Docs, Web APIs, https://developer.mozilla.org/docs/Web/API, consulté le 08/04/2026 à 09h40.</w:t>
      </w:r>
    </w:p>
    <w:p>
      <w:pPr>
        <w:spacing w:line="360" w:lineRule="auto" w:after="120"/>
        <w:ind w:firstLine="0"/>
        <w:jc w:val="left"/>
      </w:pPr>
      <w:r>
        <w:rPr>
          <w:rFonts w:ascii="Times New Roman" w:hAnsi="Times New Roman" w:eastAsia="Times New Roman"/>
          <w:b w:val="0"/>
          <w:color w:val="000000"/>
          <w:sz w:val="24"/>
        </w:rPr>
        <w:t>[12] JWT.io, Introduction to JSON Web Tokens, https://jwt.io/introduction, consulté le 21/05/2026 à 15h05.</w:t>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