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ORVYN: 12-Month Go-To-Market (GTM) Strategy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Phase 1: The Closed Beta &amp; "High-Signal" Waitlist (Months 1–3)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Establish core performance metrics and iron out bugs with an initial batch of 5,000 highly active power users.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Tactic:</w:t>
      </w:r>
      <w:r w:rsidDel="00000000" w:rsidR="00000000" w:rsidRPr="00000000">
        <w:rPr>
          <w:rtl w:val="0"/>
        </w:rPr>
        <w:t xml:space="preserve"> Launch an invite-only web teaser explaining the concept of a "Personal Digital Home" to clear out the tech jargon early. Give digital-creator influencers early access to configure custom AI templates.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Phase 2: The Nexus Launch &amp; Utility Acquisition (Months 4–6)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Scale to 50,000 users by focusing on the app's utility as a unified aggregator rather than promoting it as a brand-new social network.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Tactic:</w:t>
      </w:r>
      <w:r w:rsidDel="00000000" w:rsidR="00000000" w:rsidRPr="00000000">
        <w:rPr>
          <w:rtl w:val="0"/>
        </w:rPr>
        <w:t xml:space="preserve"> Run targeted marketing materials highlighting a single, universal pain point: </w:t>
      </w:r>
      <w:r w:rsidDel="00000000" w:rsidR="00000000" w:rsidRPr="00000000">
        <w:rPr>
          <w:i w:val="1"/>
          <w:iCs w:val="1"/>
          <w:rtl w:val="0"/>
        </w:rPr>
        <w:t xml:space="preserve">"Stop playing app-hopscotch just to reply to your friends."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Phase 3: Activating the Viral Loop (Months 7–12)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Push past 500,000+ users by leveraging built-in creator mechanics.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Tactic:</w:t>
      </w:r>
      <w:r w:rsidDel="00000000" w:rsidR="00000000" w:rsidRPr="00000000">
        <w:rPr>
          <w:rtl w:val="0"/>
        </w:rPr>
        <w:t xml:space="preserve"> Roll out the "Forkable AI" features. When early influencers share links to their custom AI assistants on platforms like X or TikTok, their audiences are brought directly into the ORVYN ecosystem to use them, creating an organic user-acquisition funnel.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