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ORVYN: Creator Economy &amp; Monetization Model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Peer-to-Peer Monetization Architecture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ORVYN avoids locking creators into rigid tier structures by providing primitive, highly customizable building blocks: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Monetization Block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Operational Framework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Living Room Access (Paid Memberships)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Creators can restrict specific private nodes of their "Shared Scrapbooks" (communities) behind monthly subscription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Artifacts &amp; Tools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 marketplace transactional sales for items such as digital guides, custom image templates, workspace configurations, and educational courses.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 Delegations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Creators can build high-utility, highly trained AI experts (e.g., a professional copyeditor or design consultant) and lease access out on a monthly subscription or per-use micro-token cost model.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Platform Split Model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Traditional Social Trap:</w:t>
      </w:r>
      <w:r w:rsidDel="00000000" w:rsidR="00000000" w:rsidRPr="00000000">
        <w:rPr>
          <w:rtl w:val="0"/>
        </w:rPr>
        <w:t xml:space="preserve"> Legacy social platforms capture 30% to 50% of direct creator income to fund massive centralized data infrastructure systems built primarily to track user behavior.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ORVYN Matrix:</w:t>
      </w:r>
      <w:r w:rsidDel="00000000" w:rsidR="00000000" w:rsidRPr="00000000">
        <w:rPr>
          <w:rtl w:val="0"/>
        </w:rPr>
        <w:t xml:space="preserve"> Because core data processing and AI learning occur locally on the user's hardware via the secure device vault, centralized infrastructure costs are fundamentally lower.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Stakeholder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Revenue Split Percentage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Purpose / Allocation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 / Community Builder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Directly retained earnings by the user generating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ORVYN Platform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Retained by the platform to sustain encrypted server relays and basic network maintenance.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