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ООО «ПРОМЫШЛЕННЫЕ РОБОТЫ»</w:t>
      </w:r>
    </w:p>
    <w:p>
      <w:pPr>
        <w:pBdr>
          <w:bottom w:val="single" w:color="999999" w:sz="8" w:space="6"/>
        </w:pBdr>
        <w:spacing w:after="200"/>
        <w:jc w:val="center"/>
      </w:pPr>
      <w:r>
        <w:rPr>
          <w:rFonts w:ascii="Calibri" w:cs="Calibri" w:eastAsia="Calibri" w:hAnsi="Calibri"/>
          <w:color w:val="767B80"/>
          <w:sz w:val="17"/>
          <w:szCs w:val="17"/>
        </w:rPr>
        <w:t xml:space="preserve">г. Гродно, ул. Академическая, 17 · УНП 591043841 · +375 25 509 22 06 · info@promroboty.by</w:t>
      </w:r>
    </w:p>
    <w:tbl>
      <w:tblPr>
        <w:tblW w:type="dxa" w:w="9350"/>
        <w:tblBorders>
          <w:top w:val="single" w:color="C0491B" w:sz="6"/>
          <w:left w:val="single" w:color="C0491B" w:sz="6"/>
          <w:bottom w:val="single" w:color="C0491B" w:sz="6"/>
          <w:right w:val="single" w:color="C0491B" w:sz="6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BF3F0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0" w:line="230"/>
              <w:jc w:val="both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Конфиденциально. Сведения приведены по фактическому опыту специалиста и сгруппированы по выполненным работам. Персональные данные, место проживания, наименования предприятий-работодателей, их заказчиков и учебных заведений из документа исключены — приведены отрасль, масштаб и суть работы; перечень проектов приведён выборочно, по релевантности к задаче. Документ передаётся для оценки квалификации исполнителя; дальнейшая передача третьим лицам без нашего письменного согласия не допускается. Полное резюме и подтверждающие документы — по запросу после заключения соглашения о конфиденциальности.</w:t>
            </w:r>
          </w:p>
        </w:tc>
      </w:tr>
    </w:tbl>
    <w:p>
      <w:pPr>
        <w:spacing w:after="150" w:before="170"/>
      </w:pPr>
      <w:r>
        <w:rPr>
          <w:rFonts w:ascii="Calibri" w:cs="Calibri" w:eastAsia="Calibri" w:hAnsi="Calibri"/>
          <w:b/>
          <w:bCs/>
          <w:color w:val="767B80"/>
          <w:sz w:val="18"/>
          <w:szCs w:val="18"/>
        </w:rPr>
        <w:t xml:space="preserve">ПРИЛОЖЕНИЕ 1 · РЕЗЮМЕ СПЕЦИАЛИСТА ПРОЕКТНОЙ ГРУППЫ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2328"/>
          <w:sz w:val="36"/>
          <w:szCs w:val="36"/>
        </w:rPr>
        <w:t xml:space="preserve">Егор С.</w:t>
      </w:r>
    </w:p>
    <w:p>
      <w:pPr>
        <w:spacing w:after="30"/>
      </w:pPr>
      <w:r>
        <w:rPr>
          <w:rFonts w:ascii="Calibri" w:cs="Calibri" w:eastAsia="Calibri" w:hAnsi="Calibri"/>
          <w:color w:val="1F2328"/>
          <w:sz w:val="23"/>
          <w:szCs w:val="23"/>
        </w:rPr>
        <w:t xml:space="preserve">Архитектор решений, руководитель инженерных проектов</w:t>
      </w:r>
    </w:p>
    <w:p>
      <w:pPr>
        <w:spacing w:after="140"/>
      </w:pPr>
      <w:r>
        <w:rPr>
          <w:rFonts w:ascii="Calibri" w:cs="Calibri" w:eastAsia="Calibri" w:hAnsi="Calibri"/>
          <w:color w:val="767B80"/>
          <w:sz w:val="20"/>
          <w:szCs w:val="20"/>
        </w:rPr>
        <w:t xml:space="preserve">Опыт по специальности — более 10 лет</w:t>
      </w:r>
    </w:p>
    <w:p>
      <w:pPr>
        <w:spacing w:after="60" w:line="25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Архитектор решений и технический руководитель: проектирование систем, машинное зрение и машинное обучение, руководство кросс-функциональными инженерными командами и вывод проектов от постановки задачи до промышленной эксплуатации. Отрасли — промышленная автоматизация и робототехника, машинное зрение, производство, медицинские данные, ритейл и медиа. Ниже приведены проекты, наиболее близкие к задачам роботизации и промышленного контроля; полный перечень шире.</w:t>
      </w:r>
    </w:p>
    <w:p>
      <w:pPr>
        <w:pBdr>
          <w:bottom w:val="single" w:color="D5D9DC" w:sz="6" w:space="5"/>
        </w:pBdr>
        <w:spacing w:after="100" w:before="18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Проекты и работы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105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491B"/>
                <w:sz w:val="26"/>
                <w:szCs w:val="26"/>
              </w:rPr>
              <w:t xml:space="preserve">01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767B80"/>
                <w:sz w:val="18"/>
                <w:szCs w:val="18"/>
              </w:rPr>
              <w:t xml:space="preserve">2019 · доработка 2025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105"/>
              <w:right w:type="dxa" w:w="0"/>
            </w:tcMar>
          </w:tcPr>
          <w:p>
            <w:pPr>
              <w:spacing w:after="65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2"/>
                <w:szCs w:val="22"/>
              </w:rPr>
              <w:t xml:space="preserve">Фотосепаратор: промышленное обнаружение дефектов и сортировка потока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Руководство проектом и инженерная часть: система машинного зрения реального времени для обнаружения примесей и сортировки сыпучего потока на производственной линии пневматическими отсекателями.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Проектирование конвейера обнаружения дефектов на обученных под задачу моделях детекции объектов; интеграция с пневматическими исполнительными механизмами, срабатывающими по результату инференса, с требованием по задержке менее 10 миллисекунд.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Оптимизация инференса под граничные вычисления на GPU для непрерывного потока материала. Полный цикл: калибровка камеры, разметка данных, вывод в промышленную эксплуатацию и мониторинг. Разработка электронной схемы.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105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491B"/>
                <w:sz w:val="26"/>
                <w:szCs w:val="26"/>
              </w:rPr>
              <w:t xml:space="preserve">02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767B80"/>
                <w:sz w:val="18"/>
                <w:szCs w:val="18"/>
              </w:rPr>
              <w:t xml:space="preserve">2021 — 2022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105"/>
              <w:right w:type="dxa" w:w="0"/>
            </w:tcMar>
          </w:tcPr>
          <w:p>
            <w:pPr>
              <w:spacing w:after="65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2"/>
                <w:szCs w:val="22"/>
              </w:rPr>
              <w:t xml:space="preserve">Распознавание защитных маркировок для проверки подлинности продукции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Проектирование конвейера машинного зрения для многоклассовой классификации защитных марок и голограмм.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Предобработка изображений и выделение признаков с учётом разного освещения, углов съёмки и состояния маркировки — то есть работа в условиях реального объекта, а не лабораторного стенда.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Обучение моделей классификации и обнаружения аномалий на размеченных наборах подлинных и поддельных образцов; упаковка решения в API для распознавания в реальном времени с камеры.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105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491B"/>
                <w:sz w:val="26"/>
                <w:szCs w:val="26"/>
              </w:rPr>
              <w:t xml:space="preserve">03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767B80"/>
                <w:sz w:val="18"/>
                <w:szCs w:val="18"/>
              </w:rPr>
              <w:t xml:space="preserve">2017 — 2018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105"/>
              <w:right w:type="dxa" w:w="0"/>
            </w:tcMar>
          </w:tcPr>
          <w:p>
            <w:pPr>
              <w:spacing w:after="65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2"/>
                <w:szCs w:val="22"/>
              </w:rPr>
              <w:t xml:space="preserve">Промышленная система видеоаналитики для сети предприятий общественного питания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Полный цикл вывода системы машинного зрения от прототипа до промышленной эксплуатации более чем на 1 400 объектах в Германии — роль инженера и координатора проекта в команде подрядчика.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Проектирование и оптимизация конвейеров детекции транспорта и очередей на граничном GPU-оборудовании; снижение задержки обработки кадра в два раза за счёт оптимизации инференса и управления GPU-кластером.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Модель прогнозирования оптимального времени размещения рекламных блоков. Сопровождение модуля стабилизации видео с предсказанием движения по данным гироскопа для производителя мобильной электроники.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Внедрение процессов MLOps и DevOps в облаке, управление стоимостью GPU-ресурсов, автоматизированные тестовые фреймворки.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105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491B"/>
                <w:sz w:val="26"/>
                <w:szCs w:val="26"/>
              </w:rPr>
              <w:t xml:space="preserve">04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767B80"/>
                <w:sz w:val="18"/>
                <w:szCs w:val="18"/>
              </w:rPr>
              <w:t xml:space="preserve">2020 — 2022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105"/>
              <w:right w:type="dxa" w:w="0"/>
            </w:tcMar>
          </w:tcPr>
          <w:p>
            <w:pPr>
              <w:spacing w:after="65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2"/>
                <w:szCs w:val="22"/>
              </w:rPr>
              <w:t xml:space="preserve">Техническая предпродажная проработка и архитектура корпоративных проектов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Техническое предпродажное сопровождение более десяти корпоративных проектов: рост конверсии сделок с 10 до 15 процентов за счёт выстроенной методики прототипирования и проверки архитектуры до подписания договора.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Проектирование архитектур и прототипов решений: обнаружение дефектов машинным зрением, распознавание подделок, анализ документов методами обработки естественного языка, автоматизация процессов.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Технические консультации, оценка стоимости и разбор архитектуры. Участие в сертификации компании по ISO через стандартизацию архитектурной документации, методики оценки и практик управления безопасностью.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Практический смысл для Вашего проекта: методика, по которой считается и защищается техническое решение до начала работ, отработана не на одном проекте.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105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491B"/>
                <w:sz w:val="26"/>
                <w:szCs w:val="26"/>
              </w:rPr>
              <w:t xml:space="preserve">05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767B80"/>
                <w:sz w:val="18"/>
                <w:szCs w:val="18"/>
              </w:rPr>
              <w:t xml:space="preserve">2020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105"/>
              <w:right w:type="dxa" w:w="0"/>
            </w:tcMar>
          </w:tcPr>
          <w:p>
            <w:pPr>
              <w:spacing w:after="65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2"/>
                <w:szCs w:val="22"/>
              </w:rPr>
              <w:t xml:space="preserve">Платформа интеграции медицинских данных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Архитектура и вывод минимально жизнеспособного продукта за три месяца, прототип — за две недели. Платформа согласования медицинских данных с межведомственным доступом к записям пациентов по стандарту FHIR 4.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Модульная микросервисная архитектура для масштабирования и переиспользования между учреждениями; утилиты сопоставления данных и автоматической валидации, ускорившие интеграцию и контроль качества.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Руководство междисциплинарной командой: планирование, разбор кода, сдача результата. Согласование проектных решений с профильными экспертами и требованиями к защите данных.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105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491B"/>
                <w:sz w:val="26"/>
                <w:szCs w:val="26"/>
              </w:rPr>
              <w:t xml:space="preserve">06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767B80"/>
                <w:sz w:val="18"/>
                <w:szCs w:val="18"/>
              </w:rPr>
              <w:t xml:space="preserve">2017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105"/>
              <w:right w:type="dxa" w:w="0"/>
            </w:tcMar>
          </w:tcPr>
          <w:p>
            <w:pPr>
              <w:spacing w:after="65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2"/>
                <w:szCs w:val="22"/>
              </w:rPr>
              <w:t xml:space="preserve">Система планирования производства и складского учёта для производственных предприятий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Модульная архитектура: складской учёт, производственные заказы, снабжение и отчётность.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Логика планирования производства от потребности с поддержкой многоскладского учёта; ролевая модель доступа и журналирование для соответствия внутренним регламентам.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Интеграционный слой для связи с внешними системами учёта и логистики.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105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491B"/>
                <w:sz w:val="26"/>
                <w:szCs w:val="26"/>
              </w:rPr>
              <w:t xml:space="preserve">07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767B80"/>
                <w:sz w:val="18"/>
                <w:szCs w:val="18"/>
              </w:rPr>
              <w:t xml:space="preserve">2023 — 2025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105"/>
              <w:right w:type="dxa" w:w="0"/>
            </w:tcMar>
          </w:tcPr>
          <w:p>
            <w:pPr>
              <w:spacing w:after="65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2"/>
                <w:szCs w:val="22"/>
              </w:rPr>
              <w:t xml:space="preserve">Корпоративная платформа знаний на больших языковых моделях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Руководство архитектурой и полным циклом создания платформы: автоматическая генерация экспертного контента и семантический поиск по более чем пяти миллионам источников.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Проектирование масштабируемой распределённой системы на облачной микросервисной архитектуре; снижение инфраструктурных затрат в три раза за счёт модульной архитектуры и перебалансировки нагрузки.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Формирование и руководство кросс-функциональной инженерной командой из десяти человек: наём, технические разборы, планирование спринтов, процессы поставки.</w:t>
            </w:r>
          </w:p>
        </w:tc>
      </w:tr>
    </w:tbl>
    <w:p>
      <w:pPr>
        <w:pBdr>
          <w:bottom w:val="single" w:color="D5D9DC" w:sz="6" w:space="5"/>
        </w:pBdr>
        <w:spacing w:after="100" w:before="18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Компетенции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90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67B80"/>
                <w:sz w:val="20"/>
                <w:szCs w:val="20"/>
              </w:rPr>
              <w:t xml:space="preserve">Инженерия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90"/>
              <w:right w:type="dxa" w:w="0"/>
            </w:tcMar>
          </w:tcPr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Архитектура решений и проектирование систем · машинное зрение и обработка изображений · машинное и глубокое обучение · интеграция с исполнительными механизмами и граничные вычисления · облачная инфраструктура и MLOps · разработка электронных схем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90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67B80"/>
                <w:sz w:val="20"/>
                <w:szCs w:val="20"/>
              </w:rPr>
              <w:t xml:space="preserve">Руководство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90"/>
              <w:right w:type="dxa" w:w="0"/>
            </w:tcMar>
          </w:tcPr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Формирование и руководство инженерными командами до 10 человек · наём и технические разборы · планирование и приёмка этапов · техническая предпродажная проработка, оценка стоимости и защита архитектуры перед заказчиком · стандартизация документации под требования ISO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90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67B80"/>
                <w:sz w:val="20"/>
                <w:szCs w:val="20"/>
              </w:rPr>
              <w:t xml:space="preserve">Отрасли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90"/>
              <w:right w:type="dxa" w:w="0"/>
            </w:tcMar>
          </w:tcPr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Промышленная автоматизация и робототехника · машинное зрение и промышленный контроль · производство и планирование · медицинские данные · ритейл и электронная торговля · медиа</w:t>
            </w:r>
          </w:p>
        </w:tc>
      </w:tr>
    </w:tbl>
    <w:p>
      <w:pPr>
        <w:pBdr>
          <w:bottom w:val="single" w:color="D5D9DC" w:sz="6" w:space="5"/>
        </w:pBdr>
        <w:spacing w:after="100" w:before="18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Технологии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90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67B80"/>
                <w:sz w:val="20"/>
                <w:szCs w:val="20"/>
              </w:rPr>
              <w:t xml:space="preserve">Основные языки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90"/>
              <w:right w:type="dxa" w:w="0"/>
            </w:tcMar>
          </w:tcPr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 — 11 лет · JavaScript и TypeScript — 8 лет · PHP — 5 лет · Node.js — 5 лет · Java — 2 года · C++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90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67B80"/>
                <w:sz w:val="20"/>
                <w:szCs w:val="20"/>
              </w:rPr>
              <w:t xml:space="preserve">Машинное зрение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90"/>
              <w:right w:type="dxa" w:w="0"/>
            </w:tcMar>
          </w:tcPr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OpenCV, YOLO, Ultralytics · CUDA — 5 лет · TensorRT, ONNX · оптимизация инференса под граничные устройства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90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67B80"/>
                <w:sz w:val="20"/>
                <w:szCs w:val="20"/>
              </w:rPr>
              <w:t xml:space="preserve">Машинное обучение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90"/>
              <w:right w:type="dxa" w:w="0"/>
            </w:tcMar>
          </w:tcPr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PyTorch — 8 лет · TensorFlow, Keras · Hugging Face — 6 лет · Scikit-learn — 6 лет · XGBoost, LightGBM, CatBoost, SHAP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90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67B80"/>
                <w:sz w:val="20"/>
                <w:szCs w:val="20"/>
              </w:rPr>
              <w:t xml:space="preserve">Данные и облако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90"/>
              <w:right w:type="dxa" w:w="0"/>
            </w:tcMar>
          </w:tcPr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PostgreSQL, MongoDB, Redis, Qdrant · AWS — 8 лет, Azure, GCP · Docker — 7 лет, Kubernetes, Terraform, Kafka · MLflow, GitHub Actions, CI/CD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90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67B80"/>
                <w:sz w:val="20"/>
                <w:szCs w:val="20"/>
              </w:rPr>
              <w:t xml:space="preserve">Прочее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90"/>
              <w:right w:type="dxa" w:w="0"/>
            </w:tcMar>
          </w:tcPr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LangChain, LangGraph, RAG · FastAPI, Spring Boot, React, Next.js · Git — 10 лет</w:t>
            </w:r>
          </w:p>
        </w:tc>
      </w:tr>
    </w:tbl>
    <w:p>
      <w:pPr>
        <w:pBdr>
          <w:bottom w:val="single" w:color="D5D9DC" w:sz="6" w:space="5"/>
        </w:pBdr>
        <w:spacing w:after="100" w:before="18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Образование и языки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90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67B80"/>
                <w:sz w:val="20"/>
                <w:szCs w:val="20"/>
              </w:rPr>
              <w:t xml:space="preserve">Высшее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90"/>
              <w:right w:type="dxa" w:w="0"/>
            </w:tcMar>
          </w:tcPr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Информационные технологии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90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67B80"/>
                <w:sz w:val="20"/>
                <w:szCs w:val="20"/>
              </w:rPr>
              <w:t xml:space="preserve">Языки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90"/>
              <w:right w:type="dxa" w:w="0"/>
            </w:tcMar>
          </w:tcPr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Русский — родной; английский — C1</w:t>
            </w:r>
          </w:p>
        </w:tc>
      </w:tr>
    </w:tbl>
    <w:sectPr>
      <w:pgSz w:w="11906" w:h="16838" w:orient="portrait"/>
      <w:pgMar w:top="850" w:right="1134" w:bottom="79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2026-09-09T11:40:25.865Z</dcterms:created>
  <dcterms:modified xsi:type="dcterms:W3CDTF">2026-09-09T11:40:25.894Z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