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ООО «ПРОМЫШЛЕННЫЕ РОБОТЫ»</w:t>
      </w:r>
    </w:p>
    <w:p>
      <w:pPr>
        <w:pBdr>
          <w:bottom w:val="single" w:color="999999" w:sz="8" w:space="6"/>
        </w:pBdr>
        <w:spacing w:after="200"/>
        <w:jc w:val="center"/>
      </w:pPr>
      <w:r>
        <w:rPr>
          <w:rFonts w:ascii="Calibri" w:cs="Calibri" w:eastAsia="Calibri" w:hAnsi="Calibri"/>
          <w:color w:val="767B80"/>
          <w:sz w:val="17"/>
          <w:szCs w:val="17"/>
        </w:rPr>
        <w:t xml:space="preserve">г. Гродно, ул. Академическая, 17 · УНП 591043841 · +375 25 509 22 06 · info@promroboty.by</w:t>
      </w:r>
    </w:p>
    <w:tbl>
      <w:tblPr>
        <w:tblW w:type="dxa" w:w="9350"/>
        <w:tblBorders>
          <w:top w:val="single" w:color="C0491B" w:sz="6"/>
          <w:left w:val="single" w:color="C0491B" w:sz="6"/>
          <w:bottom w:val="single" w:color="C0491B" w:sz="6"/>
          <w:right w:val="single" w:color="C0491B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BF3F0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line="230"/>
              <w:jc w:val="both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Конфиденциально. Сведения приведены по фактическому опыту специалиста и сгруппированы по выполненным работам. Персональные данные, место проживания, наименования предприятий-работодателей, их заказчиков и учебных заведений из документа исключены — приведены отрасль производства, тип оборудования и суть работы. Документ передаётся для оценки квалификации исполнителя; дальнейшая передача третьим лицам без нашего письменного согласия не допускается. Полное резюме и подтверждающие документы — по запросу после заключения соглашения о конфиденциальности.</w:t>
            </w:r>
          </w:p>
        </w:tc>
      </w:tr>
    </w:tbl>
    <w:p>
      <w:pPr>
        <w:spacing w:after="150" w:before="170"/>
      </w:pPr>
      <w:r>
        <w:rPr>
          <w:rFonts w:ascii="Calibri" w:cs="Calibri" w:eastAsia="Calibri" w:hAnsi="Calibri"/>
          <w:b/>
          <w:bCs/>
          <w:color w:val="767B80"/>
          <w:sz w:val="18"/>
          <w:szCs w:val="18"/>
        </w:rPr>
        <w:t xml:space="preserve">ПРИЛОЖЕНИЕ 1 · РЕЗЮМЕ СПЕЦИАЛИСТА ПРОЕКТНОЙ ГРУППЫ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2328"/>
          <w:sz w:val="36"/>
          <w:szCs w:val="36"/>
        </w:rPr>
        <w:t xml:space="preserve">Кирилл Т.</w:t>
      </w:r>
    </w:p>
    <w:p>
      <w:pPr>
        <w:spacing w:after="30"/>
      </w:pPr>
      <w:r>
        <w:rPr>
          <w:rFonts w:ascii="Calibri" w:cs="Calibri" w:eastAsia="Calibri" w:hAnsi="Calibri"/>
          <w:color w:val="1F2328"/>
          <w:sz w:val="23"/>
          <w:szCs w:val="23"/>
        </w:rPr>
        <w:t xml:space="preserve">Программист роботизированного комплекса, сервисный инженер</w:t>
      </w:r>
    </w:p>
    <w:p>
      <w:pPr>
        <w:spacing w:after="140"/>
      </w:pPr>
      <w:r>
        <w:rPr>
          <w:rFonts w:ascii="Calibri" w:cs="Calibri" w:eastAsia="Calibri" w:hAnsi="Calibri"/>
          <w:color w:val="767B80"/>
          <w:sz w:val="20"/>
          <w:szCs w:val="20"/>
        </w:rPr>
        <w:t xml:space="preserve">Опыт по специальности — 4 года 2 месяца · сертифицированный сварщик ручной и частично механизированной сварки · двукратный чемпион Москвы и России по роботизированной сварке на роботах FANUC (WorldSkills Russia)</w:t>
      </w:r>
    </w:p>
    <w:p>
      <w:pPr>
        <w:spacing w:after="6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Редкое сочетание для этой роли: профессия сварщика, полученная по среднему специальному образованию, и программирование сварочных роботов. Человек, который понимает и шов, и управляющую программу, а не только одно из двух.</w:t>
      </w:r>
    </w:p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Проекты и работы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01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7 месяцев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Программные решения для коллаборативных роботов, техническая поддержка интеграторов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Написание управляющих программ для коллаборативных роботов Elite на языке Python, разработка нестандартных программных решений, создание цифровых двойников.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Техническая поддержка клиентов, системных интеграторов и менеджеров по продажам, проработка технических заданий заказчиков и интеграторов, участие в сделках с конечными заказчиками.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Обучение персонала клиентов, проведение вебинаров, создание информационно-обучающих материалов, выступления на профильных выставках.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02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11 месяцев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Программирование сварочного робота и интеграция комплекса на производстве заказчика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Программирование сварочного робота STEP, написание программ сварки.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Сборка конвейерных линий — Pick-Up конвейер, буферный конвейер и другие.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Интеграция готового комплекса на производстве клиента: робот, захват, шкафы управления, проводка, конвейерные линии. Проведение пусконаладочных работ и последующая техническая поддержка заказчика.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105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0491B"/>
                <w:sz w:val="26"/>
                <w:szCs w:val="26"/>
              </w:rPr>
              <w:t xml:space="preserve">03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color w:val="767B80"/>
                <w:sz w:val="18"/>
                <w:szCs w:val="18"/>
              </w:rPr>
              <w:t xml:space="preserve">2 года 8 месяцев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105"/>
              <w:right w:type="dxa" w:w="0"/>
            </w:tcMar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2"/>
                <w:szCs w:val="22"/>
              </w:rPr>
              <w:t xml:space="preserve">Подготовка специалистов по роботизированной сварке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 нуля выстроил подготовку студентов по компетенции «Роботизированная сварка»: составление обучающих планов, проведение занятий.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Участие в региональных и национальных чемпионатах в качестве участника, эксперта и тренера, проведение чемпионатов. Под его руководством учебное заведение занимало первые места в этой компетенции два года подряд — до прекращения деятельности движения.</w:t>
            </w:r>
          </w:p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Практический смысл этого опыта для проекта: человек умеет не только настроить робота, но и передать навык персоналу заказчика, что напрямую влияет на то, как комплекс будет работать после нашего ухода с площадки.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Оборудование и технологии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Роботы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FANUC ARC Mate 100iC/12, ARC Mate 100iD, LR Mate 200iD/14L · STEP SP120/2400, SA6/1400H · KUKA KR3 · Kawasaki ZD130S · линейка коллаборативных роботов Elite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САПР и ПО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Autodesk Fusion 360, AutoCAD, Компас-3D, Python, Linux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Работы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Программирование сварочных роботов · написание программ сварки · интеграция комплекса на площадке заказчика · пусконаладочные работы · техническая поддержка · обучение персонала заказчика · чтение чертежей, работа с технической документацией на русском и английском, ЕСКД (частично) · 3D-моделирование и 3D-печать</w:t>
            </w:r>
          </w:p>
        </w:tc>
      </w:tr>
    </w:tbl>
    <w:p>
      <w:pPr>
        <w:pBdr>
          <w:bottom w:val="single" w:color="D5D9DC" w:sz="6" w:space="5"/>
        </w:pBdr>
        <w:spacing w:after="100" w:before="18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Образование и сертификаты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2022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Среднее специальное: сварщик ручной дуговой сварки плавящимся покрытым электродом, сварщик частично механизированной сварки плавлением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2024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Неоконченное высшее: электроэнергетика и электротехника (обучение прекращено на втором курсе в связи с ликвидацией учебного заведения)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Сертификаты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Сертификат FANUC по базовым принципам программирования роботов (2021) · диплом эксперта по компетенции «Роботизированная сварка» (2022) · свидетельство на право проведения региональных чемпионатов в качестве главного эксперта (2022) · Skill Passport сварщика ручной и частично механизированной сварки 15.01.05 (2022)</w:t>
            </w:r>
          </w:p>
        </w:tc>
      </w:tr>
    </w:tbl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50"/>
        <w:gridCol w:w="7600"/>
      </w:tblGrid>
      <w:tr>
        <w:tc>
          <w:tcPr>
            <w:tcW w:type="dxa" w:w="1750"/>
            <w:tcMar>
              <w:top w:type="dxa" w:w="0"/>
              <w:left w:type="dxa" w:w="0"/>
              <w:bottom w:type="dxa" w:w="90"/>
              <w:right w:type="dxa" w:w="2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67B80"/>
                <w:sz w:val="20"/>
                <w:szCs w:val="20"/>
              </w:rPr>
              <w:t xml:space="preserve">Языки</w:t>
            </w:r>
          </w:p>
        </w:tc>
        <w:tc>
          <w:tcPr>
            <w:tcW w:type="dxa" w:w="7600"/>
            <w:tcMar>
              <w:top w:type="dxa" w:w="0"/>
              <w:left w:type="dxa" w:w="0"/>
              <w:bottom w:type="dxa" w:w="90"/>
              <w:right w:type="dxa" w:w="0"/>
            </w:tcMar>
          </w:tcPr>
          <w:p>
            <w:pPr>
              <w:spacing w:after="60" w:line="250"/>
              <w:jc w:val="both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Русский — родной; английский — B1</w:t>
            </w:r>
          </w:p>
        </w:tc>
      </w:tr>
    </w:tbl>
    <w:sectPr>
      <w:pgSz w:w="11906" w:h="16838" w:orient="portrait"/>
      <w:pgMar w:top="850" w:right="1134" w:bottom="79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2026-09-09T08:26:11.137Z</dcterms:created>
  <dcterms:modified xsi:type="dcterms:W3CDTF">2026-09-09T08:26:11.137Z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