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line="264" w:lineRule="auto"/>
        <w:jc w:val="center"/>
      </w:pPr>
      <w:r>
        <w:rPr>
          <w:rFonts w:ascii="Calibri" w:hAnsi="Calibri"/>
          <w:b/>
          <w:i w:val="0"/>
          <w:color w:val="5A5A5A"/>
          <w:sz w:val="22"/>
        </w:rPr>
        <w:t>TF</w:t>
      </w:r>
    </w:p>
    <w:p>
      <w:pPr>
        <w:spacing w:before="0" w:after="40" w:line="264" w:lineRule="auto"/>
        <w:jc w:val="center"/>
      </w:pPr>
      <w:r>
        <w:rPr>
          <w:rFonts w:ascii="Calibri" w:hAnsi="Calibri"/>
          <w:b/>
          <w:i w:val="0"/>
          <w:color w:val="0B2545"/>
          <w:sz w:val="56"/>
        </w:rPr>
        <w:t>PowerSight</w:t>
      </w:r>
    </w:p>
    <w:p>
      <w:pPr>
        <w:spacing w:before="0" w:after="360" w:line="264" w:lineRule="auto"/>
        <w:jc w:val="center"/>
      </w:pPr>
      <w:r>
        <w:rPr>
          <w:rFonts w:ascii="Calibri" w:hAnsi="Calibri"/>
          <w:b w:val="0"/>
          <w:i w:val="0"/>
          <w:color w:val="1F4D78"/>
          <w:sz w:val="28"/>
        </w:rPr>
        <w:t>Sistema distribuido para pronóstico preventivo de consumo eléctrico residencial</w:t>
      </w:r>
    </w:p>
    <w:p>
      <w:pPr>
        <w:spacing w:before="0" w:after="60" w:line="264" w:lineRule="auto"/>
        <w:jc w:val="center"/>
      </w:pPr>
      <w:r>
        <w:rPr>
          <w:rFonts w:ascii="Calibri" w:hAnsi="Calibri"/>
          <w:b w:val="0"/>
          <w:i w:val="0"/>
          <w:sz w:val="24"/>
        </w:rPr>
        <w:t>Programación Concurrente y Distribuida</w:t>
      </w:r>
    </w:p>
    <w:p>
      <w:pPr>
        <w:spacing w:before="0" w:after="60" w:line="264" w:lineRule="auto"/>
        <w:jc w:val="center"/>
      </w:pPr>
      <w:r>
        <w:rPr>
          <w:rFonts w:ascii="Calibri" w:hAnsi="Calibri"/>
          <w:b w:val="0"/>
          <w:i w:val="0"/>
          <w:sz w:val="22"/>
        </w:rPr>
        <w:t>Carrera de Ciencias de la Computación</w:t>
      </w:r>
    </w:p>
    <w:p>
      <w:pPr>
        <w:spacing w:before="0" w:after="400" w:line="264" w:lineRule="auto"/>
        <w:jc w:val="center"/>
      </w:pPr>
      <w:r>
        <w:rPr>
          <w:rFonts w:ascii="Calibri" w:hAnsi="Calibri"/>
          <w:b w:val="0"/>
          <w:i w:val="0"/>
          <w:sz w:val="22"/>
        </w:rPr>
        <w:t>Profesor: Carlos Jara</w:t>
      </w:r>
    </w:p>
    <w:tbl>
      <w:tblPr>
        <w:tblW w:type="dxa" w:w="9360"/>
        <w:jc w:val="center"/>
        <w:tblLayout w:type="fixed"/>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9360"/>
      </w:tblGrid>
      <w:tr>
        <w:tc>
          <w:tcPr>
            <w:tcW w:type="dxa" w:w="9360"/>
            <w:shd w:fill="E8EEF5"/>
          </w:tcPr>
          <w:p>
            <w:pPr>
              <w:spacing w:after="60"/>
            </w:pPr>
            <w:r/>
            <w:r>
              <w:rPr>
                <w:rFonts w:ascii="Calibri" w:hAnsi="Calibri"/>
                <w:b/>
                <w:color w:val="0B2545"/>
                <w:sz w:val="21"/>
              </w:rPr>
              <w:t>Resumen ejecutivo</w:t>
            </w:r>
          </w:p>
          <w:p>
            <w:pPr>
              <w:spacing w:after="0"/>
            </w:pPr>
            <w:r>
              <w:rPr>
                <w:rFonts w:ascii="Calibri" w:hAnsi="Calibri"/>
                <w:sz w:val="20"/>
              </w:rPr>
              <w:t>PowerSight procesa más de dos millones de registros eléctricos residenciales, entrena una regresión logística con cálculo concurrente/distribuido y expone un servicio REST en Go que pronostica riesgo de consumo alto sostenido en los próximos 30 minutos. El sistema usa una topología estrella con API/coordinador, tres nodos ML por TCP interno, MongoDB persistente, Redis como cache y WebSocket para eventos en tiempo real.</w:t>
            </w:r>
          </w:p>
        </w:tc>
      </w:tr>
    </w:tbl>
    <w:p>
      <w:pPr>
        <w:spacing w:after="80"/>
      </w:pPr>
    </w:p>
    <w:tbl>
      <w:tblPr>
        <w:tblW w:type="dxa" w:w="9360"/>
        <w:jc w:val="center"/>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4680"/>
        <w:gridCol w:w="4680"/>
      </w:tblGrid>
      <w:tr>
        <w:tc>
          <w:tcPr>
            <w:tcW w:type="dxa" w:w="4031"/>
            <w:shd w:fill="F2F4F7"/>
            <w:vAlign w:val="center"/>
          </w:tcPr>
          <w:p>
            <w:pPr>
              <w:spacing w:after="0"/>
            </w:pPr>
            <w:r/>
            <w:r>
              <w:rPr>
                <w:rFonts w:ascii="Calibri" w:hAnsi="Calibri"/>
                <w:b/>
                <w:color w:val="0B2545"/>
                <w:sz w:val="18"/>
              </w:rPr>
              <w:t>Resultado clave</w:t>
            </w:r>
          </w:p>
        </w:tc>
        <w:tc>
          <w:tcPr>
            <w:tcW w:type="dxa" w:w="5328"/>
            <w:shd w:fill="F2F4F7"/>
            <w:vAlign w:val="center"/>
          </w:tcPr>
          <w:p>
            <w:pPr>
              <w:spacing w:after="0"/>
            </w:pPr>
            <w:r/>
            <w:r>
              <w:rPr>
                <w:rFonts w:ascii="Calibri" w:hAnsi="Calibri"/>
                <w:b/>
                <w:color w:val="0B2545"/>
                <w:sz w:val="18"/>
              </w:rPr>
              <w:t>Valor</w:t>
            </w:r>
          </w:p>
        </w:tc>
      </w:tr>
      <w:tr>
        <w:tc>
          <w:tcPr>
            <w:tcW w:type="dxa" w:w="4031"/>
            <w:vAlign w:val="center"/>
          </w:tcPr>
          <w:p>
            <w:pPr>
              <w:spacing w:after="0"/>
            </w:pPr>
            <w:r/>
            <w:r>
              <w:rPr>
                <w:rFonts w:ascii="Calibri" w:hAnsi="Calibri"/>
                <w:b w:val="0"/>
                <w:sz w:val="18"/>
              </w:rPr>
              <w:t>Registros crudos procesados</w:t>
            </w:r>
          </w:p>
        </w:tc>
        <w:tc>
          <w:tcPr>
            <w:tcW w:type="dxa" w:w="5328"/>
            <w:vAlign w:val="center"/>
          </w:tcPr>
          <w:p>
            <w:pPr>
              <w:spacing w:after="0"/>
            </w:pPr>
            <w:r/>
            <w:r>
              <w:rPr>
                <w:rFonts w:ascii="Calibri" w:hAnsi="Calibri"/>
                <w:b w:val="0"/>
                <w:sz w:val="18"/>
              </w:rPr>
              <w:t>2 075 259</w:t>
            </w:r>
          </w:p>
        </w:tc>
      </w:tr>
      <w:tr>
        <w:tc>
          <w:tcPr>
            <w:tcW w:type="dxa" w:w="4031"/>
            <w:vAlign w:val="center"/>
          </w:tcPr>
          <w:p>
            <w:pPr>
              <w:spacing w:after="0"/>
            </w:pPr>
            <w:r/>
            <w:r>
              <w:rPr>
                <w:rFonts w:ascii="Calibri" w:hAnsi="Calibri"/>
                <w:b w:val="0"/>
                <w:sz w:val="18"/>
              </w:rPr>
              <w:t>Registros limpios</w:t>
            </w:r>
          </w:p>
        </w:tc>
        <w:tc>
          <w:tcPr>
            <w:tcW w:type="dxa" w:w="5328"/>
            <w:vAlign w:val="center"/>
          </w:tcPr>
          <w:p>
            <w:pPr>
              <w:spacing w:after="0"/>
            </w:pPr>
            <w:r/>
            <w:r>
              <w:rPr>
                <w:rFonts w:ascii="Calibri" w:hAnsi="Calibri"/>
                <w:b w:val="0"/>
                <w:sz w:val="18"/>
              </w:rPr>
              <w:t>2 049 280</w:t>
            </w:r>
          </w:p>
        </w:tc>
      </w:tr>
      <w:tr>
        <w:tc>
          <w:tcPr>
            <w:tcW w:type="dxa" w:w="4031"/>
            <w:vAlign w:val="center"/>
          </w:tcPr>
          <w:p>
            <w:pPr>
              <w:spacing w:after="0"/>
            </w:pPr>
            <w:r/>
            <w:r>
              <w:rPr>
                <w:rFonts w:ascii="Calibri" w:hAnsi="Calibri"/>
                <w:b w:val="0"/>
                <w:sz w:val="18"/>
              </w:rPr>
              <w:t>Ventanas predictivas generadas</w:t>
            </w:r>
          </w:p>
        </w:tc>
        <w:tc>
          <w:tcPr>
            <w:tcW w:type="dxa" w:w="5328"/>
            <w:vAlign w:val="center"/>
          </w:tcPr>
          <w:p>
            <w:pPr>
              <w:spacing w:after="0"/>
            </w:pPr>
            <w:r/>
            <w:r>
              <w:rPr>
                <w:rFonts w:ascii="Calibri" w:hAnsi="Calibri"/>
                <w:b w:val="0"/>
                <w:sz w:val="18"/>
              </w:rPr>
              <w:t>409 239</w:t>
            </w:r>
          </w:p>
        </w:tc>
      </w:tr>
      <w:tr>
        <w:tc>
          <w:tcPr>
            <w:tcW w:type="dxa" w:w="4031"/>
            <w:vAlign w:val="center"/>
          </w:tcPr>
          <w:p>
            <w:pPr>
              <w:spacing w:after="0"/>
            </w:pPr>
            <w:r/>
            <w:r>
              <w:rPr>
                <w:rFonts w:ascii="Calibri" w:hAnsi="Calibri"/>
                <w:b w:val="0"/>
                <w:sz w:val="18"/>
              </w:rPr>
              <w:t>Recall en prueba</w:t>
            </w:r>
          </w:p>
        </w:tc>
        <w:tc>
          <w:tcPr>
            <w:tcW w:type="dxa" w:w="5328"/>
            <w:vAlign w:val="center"/>
          </w:tcPr>
          <w:p>
            <w:pPr>
              <w:spacing w:after="0"/>
            </w:pPr>
            <w:r/>
            <w:r>
              <w:rPr>
                <w:rFonts w:ascii="Calibri" w:hAnsi="Calibri"/>
                <w:b w:val="0"/>
                <w:sz w:val="18"/>
              </w:rPr>
              <w:t>87.90%</w:t>
            </w:r>
          </w:p>
        </w:tc>
      </w:tr>
      <w:tr>
        <w:tc>
          <w:tcPr>
            <w:tcW w:type="dxa" w:w="4031"/>
            <w:vAlign w:val="center"/>
          </w:tcPr>
          <w:p>
            <w:pPr>
              <w:spacing w:after="0"/>
            </w:pPr>
            <w:r/>
            <w:r>
              <w:rPr>
                <w:rFonts w:ascii="Calibri" w:hAnsi="Calibri"/>
                <w:b w:val="0"/>
                <w:sz w:val="18"/>
              </w:rPr>
              <w:t>F1-score en prueba</w:t>
            </w:r>
          </w:p>
        </w:tc>
        <w:tc>
          <w:tcPr>
            <w:tcW w:type="dxa" w:w="5328"/>
            <w:vAlign w:val="center"/>
          </w:tcPr>
          <w:p>
            <w:pPr>
              <w:spacing w:after="0"/>
            </w:pPr>
            <w:r/>
            <w:r>
              <w:rPr>
                <w:rFonts w:ascii="Calibri" w:hAnsi="Calibri"/>
                <w:b w:val="0"/>
                <w:sz w:val="18"/>
              </w:rPr>
              <w:t>69.22%</w:t>
            </w:r>
          </w:p>
        </w:tc>
      </w:tr>
      <w:tr>
        <w:tc>
          <w:tcPr>
            <w:tcW w:type="dxa" w:w="4031"/>
            <w:vAlign w:val="center"/>
          </w:tcPr>
          <w:p>
            <w:pPr>
              <w:spacing w:after="0"/>
            </w:pPr>
            <w:r/>
            <w:r>
              <w:rPr>
                <w:rFonts w:ascii="Calibri" w:hAnsi="Calibri"/>
                <w:b w:val="0"/>
                <w:sz w:val="18"/>
              </w:rPr>
              <w:t>Speedup de entrenamiento con 8 workers</w:t>
            </w:r>
          </w:p>
        </w:tc>
        <w:tc>
          <w:tcPr>
            <w:tcW w:type="dxa" w:w="5328"/>
            <w:vAlign w:val="center"/>
          </w:tcPr>
          <w:p>
            <w:pPr>
              <w:spacing w:after="0"/>
            </w:pPr>
            <w:r/>
            <w:r>
              <w:rPr>
                <w:rFonts w:ascii="Calibri" w:hAnsi="Calibri"/>
                <w:b w:val="0"/>
                <w:sz w:val="18"/>
              </w:rPr>
              <w:t>6.74×</w:t>
            </w:r>
          </w:p>
        </w:tc>
      </w:tr>
      <w:tr>
        <w:tc>
          <w:tcPr>
            <w:tcW w:type="dxa" w:w="4031"/>
            <w:vAlign w:val="center"/>
          </w:tcPr>
          <w:p>
            <w:pPr>
              <w:spacing w:after="0"/>
            </w:pPr>
            <w:r/>
            <w:r>
              <w:rPr>
                <w:rFonts w:ascii="Calibri" w:hAnsi="Calibri"/>
                <w:b w:val="0"/>
                <w:sz w:val="18"/>
              </w:rPr>
              <w:t>Latencia API observada</w:t>
            </w:r>
          </w:p>
        </w:tc>
        <w:tc>
          <w:tcPr>
            <w:tcW w:type="dxa" w:w="5328"/>
            <w:vAlign w:val="center"/>
          </w:tcPr>
          <w:p>
            <w:pPr>
              <w:spacing w:after="0"/>
            </w:pPr>
            <w:r/>
            <w:r>
              <w:rPr>
                <w:rFonts w:ascii="Calibri" w:hAnsi="Calibri"/>
                <w:b w:val="0"/>
                <w:sz w:val="18"/>
              </w:rPr>
              <w:t>Mediana 2.41 ms, p95 25.15 ms</w:t>
            </w:r>
          </w:p>
        </w:tc>
      </w:tr>
    </w:tbl>
    <w:p>
      <w:pPr>
        <w:spacing w:after="80"/>
      </w:pPr>
    </w:p>
    <w:p>
      <w:r>
        <w:br w:type="page"/>
      </w:r>
    </w:p>
    <w:p>
      <w:pPr>
        <w:pStyle w:val="Heading1"/>
        <w:spacing w:before="320" w:after="160"/>
      </w:pPr>
      <w:r>
        <w:rPr>
          <w:rFonts w:ascii="Calibri" w:hAnsi="Calibri"/>
          <w:b/>
          <w:color w:val="2E74B5"/>
          <w:sz w:val="32"/>
        </w:rPr>
        <w:t>Índice</w:t>
      </w:r>
    </w:p>
    <w:p>
      <w:pPr>
        <w:pStyle w:val="ListNumber"/>
        <w:spacing w:after="80"/>
      </w:pPr>
      <w:r>
        <w:rPr>
          <w:rFonts w:ascii="Calibri" w:hAnsi="Calibri"/>
          <w:sz w:val="21"/>
        </w:rPr>
        <w:t>1. Presentación del caso a resolver</w:t>
      </w:r>
    </w:p>
    <w:p>
      <w:pPr>
        <w:pStyle w:val="ListNumber"/>
        <w:spacing w:after="80"/>
      </w:pPr>
      <w:r>
        <w:rPr>
          <w:rFonts w:ascii="Calibri" w:hAnsi="Calibri"/>
          <w:sz w:val="21"/>
        </w:rPr>
        <w:t>2. Limpieza, análisis y preparación de datos</w:t>
      </w:r>
    </w:p>
    <w:p>
      <w:pPr>
        <w:pStyle w:val="ListNumber"/>
        <w:spacing w:after="80"/>
      </w:pPr>
      <w:r>
        <w:rPr>
          <w:rFonts w:ascii="Calibri" w:hAnsi="Calibri"/>
          <w:sz w:val="21"/>
        </w:rPr>
        <w:t>3. Diseño del modelo de Machine Learning</w:t>
      </w:r>
    </w:p>
    <w:p>
      <w:pPr>
        <w:pStyle w:val="ListNumber"/>
        <w:spacing w:after="80"/>
      </w:pPr>
      <w:r>
        <w:rPr>
          <w:rFonts w:ascii="Calibri" w:hAnsi="Calibri"/>
          <w:sz w:val="21"/>
        </w:rPr>
        <w:t>4. Arquitectura distribuida, API y almacenamiento</w:t>
      </w:r>
    </w:p>
    <w:p>
      <w:pPr>
        <w:pStyle w:val="ListNumber"/>
        <w:spacing w:after="80"/>
      </w:pPr>
      <w:r>
        <w:rPr>
          <w:rFonts w:ascii="Calibri" w:hAnsi="Calibri"/>
          <w:sz w:val="21"/>
        </w:rPr>
        <w:t>5. Paralelización del cálculo</w:t>
      </w:r>
    </w:p>
    <w:p>
      <w:pPr>
        <w:pStyle w:val="ListNumber"/>
        <w:spacing w:after="80"/>
      </w:pPr>
      <w:r>
        <w:rPr>
          <w:rFonts w:ascii="Calibri" w:hAnsi="Calibri"/>
          <w:sz w:val="21"/>
        </w:rPr>
        <w:t>6. Resultados científicos y experimentales</w:t>
      </w:r>
    </w:p>
    <w:p>
      <w:pPr>
        <w:pStyle w:val="ListNumber"/>
        <w:spacing w:after="80"/>
      </w:pPr>
      <w:r>
        <w:rPr>
          <w:rFonts w:ascii="Calibri" w:hAnsi="Calibri"/>
          <w:sz w:val="21"/>
        </w:rPr>
        <w:t>7. Fragmentos de código clave en Go</w:t>
      </w:r>
    </w:p>
    <w:p>
      <w:pPr>
        <w:pStyle w:val="ListNumber"/>
        <w:spacing w:after="80"/>
      </w:pPr>
      <w:r>
        <w:rPr>
          <w:rFonts w:ascii="Calibri" w:hAnsi="Calibri"/>
          <w:sz w:val="21"/>
        </w:rPr>
        <w:t>8. Instrucciones de reproducción</w:t>
      </w:r>
    </w:p>
    <w:p>
      <w:pPr>
        <w:pStyle w:val="ListNumber"/>
        <w:spacing w:after="80"/>
      </w:pPr>
      <w:r>
        <w:rPr>
          <w:rFonts w:ascii="Calibri" w:hAnsi="Calibri"/>
          <w:sz w:val="21"/>
        </w:rPr>
        <w:t>9. Conclusiones y trabajo futuro</w:t>
      </w:r>
    </w:p>
    <w:p>
      <w:pPr>
        <w:pStyle w:val="ListNumber"/>
        <w:spacing w:after="80"/>
      </w:pPr>
      <w:r>
        <w:rPr>
          <w:rFonts w:ascii="Calibri" w:hAnsi="Calibri"/>
          <w:sz w:val="21"/>
        </w:rPr>
        <w:t>10. Referencias bibliográficas</w:t>
      </w:r>
    </w:p>
    <w:p>
      <w:r>
        <w:br w:type="page"/>
      </w:r>
    </w:p>
    <w:p>
      <w:pPr>
        <w:pStyle w:val="Heading1"/>
        <w:spacing w:before="320" w:after="160"/>
      </w:pPr>
      <w:r>
        <w:rPr>
          <w:rFonts w:ascii="Calibri" w:hAnsi="Calibri"/>
          <w:b/>
          <w:color w:val="2E74B5"/>
          <w:sz w:val="32"/>
        </w:rPr>
        <w:t>1. Presentación del caso a resolver</w:t>
      </w:r>
    </w:p>
    <w:p>
      <w:pPr>
        <w:pStyle w:val="Heading2"/>
        <w:spacing w:before="240" w:after="120"/>
      </w:pPr>
      <w:r>
        <w:rPr>
          <w:rFonts w:ascii="Calibri" w:hAnsi="Calibri"/>
          <w:b/>
          <w:color w:val="2E74B5"/>
          <w:sz w:val="26"/>
        </w:rPr>
        <w:t>1.1 Contexto y motivación</w:t>
      </w:r>
    </w:p>
    <w:p>
      <w:pPr>
        <w:spacing w:before="0" w:after="120" w:line="264" w:lineRule="auto"/>
      </w:pPr>
      <w:r>
        <w:rPr>
          <w:rFonts w:ascii="Calibri" w:hAnsi="Calibri"/>
          <w:b w:val="0"/>
          <w:i w:val="0"/>
          <w:sz w:val="22"/>
        </w:rPr>
        <w:t>La sostenibilidad energética residencial exige herramientas capaces de transformar lecturas eléctricas en decisiones útiles para los hogares. Los medidores inteligentes pueden generar datos por minuto, pero esos datos pierden valor si solo se revisan de forma agregada al final del mes.</w:t>
      </w:r>
    </w:p>
    <w:p>
      <w:pPr>
        <w:spacing w:before="0" w:after="120" w:line="264" w:lineRule="auto"/>
      </w:pPr>
      <w:r>
        <w:rPr>
          <w:rFonts w:ascii="Calibri" w:hAnsi="Calibri"/>
          <w:b w:val="0"/>
          <w:i w:val="0"/>
          <w:sz w:val="22"/>
        </w:rPr>
        <w:t>PowerSight propone un enfoque preventivo: usar el comportamiento reciente del hogar y el contexto histórico para anticipar periodos de consumo alto sostenido. La aplicación no se limita a afirmar si el consumo actual ya es alto; estima si existe riesgo de que el consumo permanezca alto durante los próximos 30 minutos y genera recomendaciones accionables.</w:t>
      </w:r>
    </w:p>
    <w:p>
      <w:pPr>
        <w:pStyle w:val="Heading2"/>
        <w:spacing w:before="240" w:after="120"/>
      </w:pPr>
      <w:r>
        <w:rPr>
          <w:rFonts w:ascii="Calibri" w:hAnsi="Calibri"/>
          <w:b/>
          <w:color w:val="2E74B5"/>
          <w:sz w:val="26"/>
        </w:rPr>
        <w:t>1.2 Pregunta de impacto social</w:t>
      </w:r>
    </w:p>
    <w:tbl>
      <w:tblPr>
        <w:tblW w:type="dxa" w:w="9360"/>
        <w:jc w:val="center"/>
        <w:tblLayout w:type="fixed"/>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9360"/>
      </w:tblGrid>
      <w:tr>
        <w:tc>
          <w:tcPr>
            <w:tcW w:type="dxa" w:w="9360"/>
            <w:shd w:fill="E8EEF5"/>
          </w:tcPr>
          <w:p>
            <w:pPr>
              <w:spacing w:after="60"/>
            </w:pPr>
            <w:r/>
            <w:r>
              <w:rPr>
                <w:rFonts w:ascii="Calibri" w:hAnsi="Calibri"/>
                <w:b/>
                <w:color w:val="0B2545"/>
                <w:sz w:val="21"/>
              </w:rPr>
              <w:t>Pregunta de investigación aplicada</w:t>
            </w:r>
          </w:p>
          <w:p>
            <w:pPr>
              <w:spacing w:after="0"/>
            </w:pPr>
            <w:r>
              <w:rPr>
                <w:rFonts w:ascii="Calibri" w:hAnsi="Calibri"/>
                <w:sz w:val="20"/>
              </w:rPr>
              <w:t>¿En qué franjas horarias, días de la semana y periodos del año se concentra el mayor consumo eléctrico residencial, y cómo puede esta información, combinada con mediciones recientes, orientar hábitos de eficiencia energética sostenible para reducir desperdicio eléctrico?</w:t>
            </w:r>
          </w:p>
        </w:tc>
      </w:tr>
    </w:tbl>
    <w:p>
      <w:pPr>
        <w:spacing w:after="80"/>
      </w:pPr>
    </w:p>
    <w:p>
      <w:pPr>
        <w:pStyle w:val="Heading2"/>
        <w:spacing w:before="240" w:after="120"/>
      </w:pPr>
      <w:r>
        <w:rPr>
          <w:rFonts w:ascii="Calibri" w:hAnsi="Calibri"/>
          <w:b/>
          <w:color w:val="2E74B5"/>
          <w:sz w:val="26"/>
        </w:rPr>
        <w:t>1.3 Objetivos</w:t>
      </w:r>
    </w:p>
    <w:p>
      <w:pPr>
        <w:spacing w:before="0" w:after="60" w:line="264" w:lineRule="auto"/>
      </w:pPr>
      <w:r>
        <w:rPr>
          <w:rFonts w:ascii="Calibri" w:hAnsi="Calibri"/>
          <w:b/>
          <w:i w:val="0"/>
          <w:color w:val="1F4D78"/>
          <w:sz w:val="22"/>
        </w:rPr>
        <w:t>Objetivo general</w:t>
      </w:r>
    </w:p>
    <w:p>
      <w:pPr>
        <w:spacing w:before="0" w:after="120" w:line="264" w:lineRule="auto"/>
      </w:pPr>
      <w:r>
        <w:rPr>
          <w:rFonts w:ascii="Calibri" w:hAnsi="Calibri"/>
          <w:b w:val="0"/>
          <w:i w:val="0"/>
          <w:sz w:val="22"/>
        </w:rPr>
        <w:t>Construir un sistema concurrente y distribuido en Go que procese grandes volúmenes de datos eléctricos, entrene un modelo predictivo y exponga una API útil para anticipar riesgo de consumo alto residencial.</w:t>
      </w:r>
    </w:p>
    <w:p>
      <w:pPr>
        <w:spacing w:before="0" w:after="60" w:line="264" w:lineRule="auto"/>
      </w:pPr>
      <w:r>
        <w:rPr>
          <w:rFonts w:ascii="Calibri" w:hAnsi="Calibri"/>
          <w:b/>
          <w:i w:val="0"/>
          <w:color w:val="1F4D78"/>
          <w:sz w:val="22"/>
        </w:rPr>
        <w:t>Objetivos específicos</w:t>
      </w:r>
    </w:p>
    <w:p>
      <w:pPr>
        <w:pStyle w:val="ListBullet"/>
        <w:spacing w:after="80"/>
      </w:pPr>
      <w:r>
        <w:rPr>
          <w:rFonts w:ascii="Calibri" w:hAnsi="Calibri"/>
          <w:sz w:val="21"/>
        </w:rPr>
        <w:t>Procesar el dataset completo mediante goroutines y channels.</w:t>
      </w:r>
    </w:p>
    <w:p>
      <w:pPr>
        <w:pStyle w:val="ListBullet"/>
        <w:spacing w:after="80"/>
      </w:pPr>
      <w:r>
        <w:rPr>
          <w:rFonts w:ascii="Calibri" w:hAnsi="Calibri"/>
          <w:sz w:val="21"/>
        </w:rPr>
        <w:t>Generar ventanas temporales de 15 minutos para pronosticar los próximos 30 minutos.</w:t>
      </w:r>
    </w:p>
    <w:p>
      <w:pPr>
        <w:pStyle w:val="ListBullet"/>
        <w:spacing w:after="80"/>
      </w:pPr>
      <w:r>
        <w:rPr>
          <w:rFonts w:ascii="Calibri" w:hAnsi="Calibri"/>
          <w:sz w:val="21"/>
        </w:rPr>
        <w:t>Entrenar una regresión logística con cálculo concurrente de gradientes.</w:t>
      </w:r>
    </w:p>
    <w:p>
      <w:pPr>
        <w:pStyle w:val="ListBullet"/>
        <w:spacing w:after="80"/>
      </w:pPr>
      <w:r>
        <w:rPr>
          <w:rFonts w:ascii="Calibri" w:hAnsi="Calibri"/>
          <w:sz w:val="21"/>
        </w:rPr>
        <w:t>Distribuir inferencia y entrenamiento sobre un clúster de tres nodos ML comunicados por TCP.</w:t>
      </w:r>
    </w:p>
    <w:p>
      <w:pPr>
        <w:pStyle w:val="ListBullet"/>
        <w:spacing w:after="80"/>
      </w:pPr>
      <w:r>
        <w:rPr>
          <w:rFonts w:ascii="Calibri" w:hAnsi="Calibri"/>
          <w:sz w:val="21"/>
        </w:rPr>
        <w:t>Exponer endpoints REST/JSON con JWT, Swagger y WebSocket.</w:t>
      </w:r>
    </w:p>
    <w:p>
      <w:pPr>
        <w:pStyle w:val="ListBullet"/>
        <w:spacing w:after="80"/>
      </w:pPr>
      <w:r>
        <w:rPr>
          <w:rFonts w:ascii="Calibri" w:hAnsi="Calibri"/>
          <w:sz w:val="21"/>
        </w:rPr>
        <w:t>Persistir resultados en MongoDB y usar Redis como cache de baja latencia.</w:t>
      </w:r>
    </w:p>
    <w:p>
      <w:pPr>
        <w:pStyle w:val="ListBullet"/>
        <w:spacing w:after="80"/>
      </w:pPr>
      <w:r>
        <w:rPr>
          <w:rFonts w:ascii="Calibri" w:hAnsi="Calibri"/>
          <w:sz w:val="21"/>
        </w:rPr>
        <w:t>Evaluar métricas de ML, speedup, latencia y comportamiento del sistema distribuido.</w:t>
      </w:r>
    </w:p>
    <w:p>
      <w:pPr>
        <w:pStyle w:val="Heading1"/>
        <w:spacing w:before="320" w:after="160"/>
      </w:pPr>
      <w:r>
        <w:rPr>
          <w:rFonts w:ascii="Calibri" w:hAnsi="Calibri"/>
          <w:b/>
          <w:color w:val="2E74B5"/>
          <w:sz w:val="32"/>
        </w:rPr>
        <w:t>2. Limpieza, análisis y preparación de datos</w:t>
      </w:r>
    </w:p>
    <w:p>
      <w:pPr>
        <w:pStyle w:val="Heading2"/>
        <w:spacing w:before="240" w:after="120"/>
      </w:pPr>
      <w:r>
        <w:rPr>
          <w:rFonts w:ascii="Calibri" w:hAnsi="Calibri"/>
          <w:b/>
          <w:color w:val="2E74B5"/>
          <w:sz w:val="26"/>
        </w:rPr>
        <w:t>2.1 Dataset seleccionado</w:t>
      </w:r>
    </w:p>
    <w:p>
      <w:pPr>
        <w:spacing w:before="0" w:after="120" w:line="264" w:lineRule="auto"/>
      </w:pPr>
      <w:r>
        <w:rPr>
          <w:rFonts w:ascii="Calibri" w:hAnsi="Calibri"/>
          <w:b w:val="0"/>
          <w:i w:val="0"/>
          <w:sz w:val="22"/>
        </w:rPr>
        <w:t>Se utiliza el dataset Individual Household Electric Power Consumption del UCI Machine Learning Repository. El archivo registra mediciones minuto a minuto de un hogar entre 2006 y 2010, incluyendo potencia activa global, potencia reactiva, voltaje, intensidad y tres submedidores.</w:t>
      </w:r>
    </w:p>
    <w:tbl>
      <w:tblPr>
        <w:tblW w:type="dxa" w:w="9360"/>
        <w:jc w:val="center"/>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4680"/>
        <w:gridCol w:w="4680"/>
      </w:tblGrid>
      <w:tr>
        <w:tc>
          <w:tcPr>
            <w:tcW w:type="dxa" w:w="2592"/>
            <w:shd w:fill="F2F4F7"/>
            <w:vAlign w:val="center"/>
          </w:tcPr>
          <w:p>
            <w:pPr>
              <w:spacing w:after="0"/>
            </w:pPr>
            <w:r/>
            <w:r>
              <w:rPr>
                <w:rFonts w:ascii="Calibri" w:hAnsi="Calibri"/>
                <w:b/>
                <w:color w:val="0B2545"/>
                <w:sz w:val="18"/>
              </w:rPr>
              <w:t>Aspecto</w:t>
            </w:r>
          </w:p>
        </w:tc>
        <w:tc>
          <w:tcPr>
            <w:tcW w:type="dxa" w:w="6768"/>
            <w:shd w:fill="F2F4F7"/>
            <w:vAlign w:val="center"/>
          </w:tcPr>
          <w:p>
            <w:pPr>
              <w:spacing w:after="0"/>
            </w:pPr>
            <w:r/>
            <w:r>
              <w:rPr>
                <w:rFonts w:ascii="Calibri" w:hAnsi="Calibri"/>
                <w:b/>
                <w:color w:val="0B2545"/>
                <w:sz w:val="18"/>
              </w:rPr>
              <w:t>Descripción</w:t>
            </w:r>
          </w:p>
        </w:tc>
      </w:tr>
      <w:tr>
        <w:tc>
          <w:tcPr>
            <w:tcW w:type="dxa" w:w="2592"/>
            <w:vAlign w:val="center"/>
          </w:tcPr>
          <w:p>
            <w:pPr>
              <w:spacing w:after="0"/>
            </w:pPr>
            <w:r/>
            <w:r>
              <w:rPr>
                <w:rFonts w:ascii="Calibri" w:hAnsi="Calibri"/>
                <w:b w:val="0"/>
                <w:sz w:val="18"/>
              </w:rPr>
              <w:t>Volumen</w:t>
            </w:r>
          </w:p>
        </w:tc>
        <w:tc>
          <w:tcPr>
            <w:tcW w:type="dxa" w:w="6768"/>
            <w:vAlign w:val="center"/>
          </w:tcPr>
          <w:p>
            <w:pPr>
              <w:spacing w:after="0"/>
            </w:pPr>
            <w:r/>
            <w:r>
              <w:rPr>
                <w:rFonts w:ascii="Calibri" w:hAnsi="Calibri"/>
                <w:b w:val="0"/>
                <w:sz w:val="18"/>
              </w:rPr>
              <w:t>2 075 259 filas crudas; 2 049 280 filas válidas tras limpieza.</w:t>
            </w:r>
          </w:p>
        </w:tc>
      </w:tr>
      <w:tr>
        <w:tc>
          <w:tcPr>
            <w:tcW w:type="dxa" w:w="2592"/>
            <w:vAlign w:val="center"/>
          </w:tcPr>
          <w:p>
            <w:pPr>
              <w:spacing w:after="0"/>
            </w:pPr>
            <w:r/>
            <w:r>
              <w:rPr>
                <w:rFonts w:ascii="Calibri" w:hAnsi="Calibri"/>
                <w:b w:val="0"/>
                <w:sz w:val="18"/>
              </w:rPr>
              <w:t>Granularidad</w:t>
            </w:r>
          </w:p>
        </w:tc>
        <w:tc>
          <w:tcPr>
            <w:tcW w:type="dxa" w:w="6768"/>
            <w:vAlign w:val="center"/>
          </w:tcPr>
          <w:p>
            <w:pPr>
              <w:spacing w:after="0"/>
            </w:pPr>
            <w:r/>
            <w:r>
              <w:rPr>
                <w:rFonts w:ascii="Calibri" w:hAnsi="Calibri"/>
                <w:b w:val="0"/>
                <w:sz w:val="18"/>
              </w:rPr>
              <w:t>Una medición por minuto, adecuada para análisis temporal y ventanas predictivas.</w:t>
            </w:r>
          </w:p>
        </w:tc>
      </w:tr>
      <w:tr>
        <w:tc>
          <w:tcPr>
            <w:tcW w:type="dxa" w:w="2592"/>
            <w:vAlign w:val="center"/>
          </w:tcPr>
          <w:p>
            <w:pPr>
              <w:spacing w:after="0"/>
            </w:pPr>
            <w:r/>
            <w:r>
              <w:rPr>
                <w:rFonts w:ascii="Calibri" w:hAnsi="Calibri"/>
                <w:b w:val="0"/>
                <w:sz w:val="18"/>
              </w:rPr>
              <w:t>Variables eléctricas</w:t>
            </w:r>
          </w:p>
        </w:tc>
        <w:tc>
          <w:tcPr>
            <w:tcW w:type="dxa" w:w="6768"/>
            <w:vAlign w:val="center"/>
          </w:tcPr>
          <w:p>
            <w:pPr>
              <w:spacing w:after="0"/>
            </w:pPr>
            <w:r/>
            <w:r>
              <w:rPr>
                <w:rFonts w:ascii="Calibri" w:hAnsi="Calibri"/>
                <w:b w:val="0"/>
                <w:sz w:val="18"/>
              </w:rPr>
              <w:t>Global_active_power, Global_reactive_power, Voltage, Global_intensity y sub_metering_1/2/3.</w:t>
            </w:r>
          </w:p>
        </w:tc>
      </w:tr>
      <w:tr>
        <w:tc>
          <w:tcPr>
            <w:tcW w:type="dxa" w:w="2592"/>
            <w:vAlign w:val="center"/>
          </w:tcPr>
          <w:p>
            <w:pPr>
              <w:spacing w:after="0"/>
            </w:pPr>
            <w:r/>
            <w:r>
              <w:rPr>
                <w:rFonts w:ascii="Calibri" w:hAnsi="Calibri"/>
                <w:b w:val="0"/>
                <w:sz w:val="18"/>
              </w:rPr>
              <w:t>Variable de negocio</w:t>
            </w:r>
          </w:p>
        </w:tc>
        <w:tc>
          <w:tcPr>
            <w:tcW w:type="dxa" w:w="6768"/>
            <w:vAlign w:val="center"/>
          </w:tcPr>
          <w:p>
            <w:pPr>
              <w:spacing w:after="0"/>
            </w:pPr>
            <w:r/>
            <w:r>
              <w:rPr>
                <w:rFonts w:ascii="Calibri" w:hAnsi="Calibri"/>
                <w:b w:val="0"/>
                <w:sz w:val="18"/>
              </w:rPr>
              <w:t>Riesgo de consumo alto sostenido durante los próximos 30 minutos.</w:t>
            </w:r>
          </w:p>
        </w:tc>
      </w:tr>
    </w:tbl>
    <w:p>
      <w:pPr>
        <w:spacing w:after="80"/>
      </w:pPr>
    </w:p>
    <w:p>
      <w:pPr>
        <w:pStyle w:val="Heading2"/>
        <w:spacing w:before="240" w:after="120"/>
      </w:pPr>
      <w:r>
        <w:rPr>
          <w:rFonts w:ascii="Calibri" w:hAnsi="Calibri"/>
          <w:b/>
          <w:color w:val="2E74B5"/>
          <w:sz w:val="26"/>
        </w:rPr>
        <w:t>2.2 Reglas de limpieza implementadas</w:t>
      </w:r>
    </w:p>
    <w:p>
      <w:pPr>
        <w:pStyle w:val="ListBullet"/>
        <w:spacing w:after="80"/>
      </w:pPr>
      <w:r>
        <w:rPr>
          <w:rFonts w:ascii="Calibri" w:hAnsi="Calibri"/>
          <w:sz w:val="21"/>
        </w:rPr>
        <w:t>Descartar filas con valores faltantes codificados como ?.</w:t>
      </w:r>
    </w:p>
    <w:p>
      <w:pPr>
        <w:pStyle w:val="ListBullet"/>
        <w:spacing w:after="80"/>
      </w:pPr>
      <w:r>
        <w:rPr>
          <w:rFonts w:ascii="Calibri" w:hAnsi="Calibri"/>
          <w:sz w:val="21"/>
        </w:rPr>
        <w:t>Validar que Date y Time formen un timestamp correcto.</w:t>
      </w:r>
    </w:p>
    <w:p>
      <w:pPr>
        <w:pStyle w:val="ListBullet"/>
        <w:spacing w:after="80"/>
      </w:pPr>
      <w:r>
        <w:rPr>
          <w:rFonts w:ascii="Calibri" w:hAnsi="Calibri"/>
          <w:sz w:val="21"/>
        </w:rPr>
        <w:t>Descartar valores físicamente inválidos: potencias negativas, voltaje no positivo, intensidad negativa o submedidores negativos.</w:t>
      </w:r>
    </w:p>
    <w:p>
      <w:pPr>
        <w:pStyle w:val="ListBullet"/>
        <w:spacing w:after="80"/>
      </w:pPr>
      <w:r>
        <w:rPr>
          <w:rFonts w:ascii="Calibri" w:hAnsi="Calibri"/>
          <w:sz w:val="21"/>
        </w:rPr>
        <w:t>Derivar variables temporales: hora, día de semana y mes.</w:t>
      </w:r>
    </w:p>
    <w:p>
      <w:pPr>
        <w:pStyle w:val="ListBullet"/>
        <w:spacing w:after="80"/>
      </w:pPr>
      <w:r>
        <w:rPr>
          <w:rFonts w:ascii="Calibri" w:hAnsi="Calibri"/>
          <w:sz w:val="21"/>
        </w:rPr>
        <w:t>Calcular consumo no submedido a partir de la diferencia entre potencia activa global y submedidores.</w:t>
      </w:r>
    </w:p>
    <w:p>
      <w:pPr>
        <w:pStyle w:val="Heading2"/>
        <w:spacing w:before="240" w:after="120"/>
      </w:pPr>
      <w:r>
        <w:rPr>
          <w:rFonts w:ascii="Calibri" w:hAnsi="Calibri"/>
          <w:b/>
          <w:color w:val="2E74B5"/>
          <w:sz w:val="26"/>
        </w:rPr>
        <w:t>2.3 Generación del objetivo predictivo</w:t>
      </w:r>
    </w:p>
    <w:p>
      <w:pPr>
        <w:spacing w:before="0" w:after="120" w:line="264" w:lineRule="auto"/>
      </w:pPr>
      <w:r>
        <w:rPr>
          <w:rFonts w:ascii="Calibri" w:hAnsi="Calibri"/>
          <w:b w:val="0"/>
          <w:i w:val="0"/>
          <w:sz w:val="22"/>
        </w:rPr>
        <w:t>La etiqueta de entrenamiento no describe únicamente el estado actual. Para cada punto temporal válido se toma una historia de 15 minutos y se revisan los 30 minutos posteriores. La etiqueta FutureSustainedHighConsumption30m vale 1 cuando al menos 10 de esos 30 minutos futuros superan 1.528 kW.</w:t>
      </w:r>
    </w:p>
    <w:tbl>
      <w:tblPr>
        <w:tblW w:type="dxa" w:w="9360"/>
        <w:jc w:val="center"/>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4680"/>
        <w:gridCol w:w="4680"/>
      </w:tblGrid>
      <w:tr>
        <w:tc>
          <w:tcPr>
            <w:tcW w:type="dxa" w:w="3600"/>
            <w:shd w:fill="F2F4F7"/>
            <w:vAlign w:val="center"/>
          </w:tcPr>
          <w:p>
            <w:pPr>
              <w:spacing w:after="0"/>
            </w:pPr>
            <w:r/>
            <w:r>
              <w:rPr>
                <w:rFonts w:ascii="Calibri" w:hAnsi="Calibri"/>
                <w:b/>
                <w:color w:val="0B2545"/>
                <w:sz w:val="18"/>
              </w:rPr>
              <w:t>Parámetro</w:t>
            </w:r>
          </w:p>
        </w:tc>
        <w:tc>
          <w:tcPr>
            <w:tcW w:type="dxa" w:w="5760"/>
            <w:shd w:fill="F2F4F7"/>
            <w:vAlign w:val="center"/>
          </w:tcPr>
          <w:p>
            <w:pPr>
              <w:spacing w:after="0"/>
            </w:pPr>
            <w:r/>
            <w:r>
              <w:rPr>
                <w:rFonts w:ascii="Calibri" w:hAnsi="Calibri"/>
                <w:b/>
                <w:color w:val="0B2545"/>
                <w:sz w:val="18"/>
              </w:rPr>
              <w:t>Valor</w:t>
            </w:r>
          </w:p>
        </w:tc>
      </w:tr>
      <w:tr>
        <w:tc>
          <w:tcPr>
            <w:tcW w:type="dxa" w:w="3600"/>
            <w:vAlign w:val="center"/>
          </w:tcPr>
          <w:p>
            <w:pPr>
              <w:spacing w:after="0"/>
            </w:pPr>
            <w:r/>
            <w:r>
              <w:rPr>
                <w:rFonts w:ascii="Calibri" w:hAnsi="Calibri"/>
                <w:b w:val="0"/>
                <w:sz w:val="18"/>
              </w:rPr>
              <w:t>Historia usada como input</w:t>
            </w:r>
          </w:p>
        </w:tc>
        <w:tc>
          <w:tcPr>
            <w:tcW w:type="dxa" w:w="5760"/>
            <w:vAlign w:val="center"/>
          </w:tcPr>
          <w:p>
            <w:pPr>
              <w:spacing w:after="0"/>
            </w:pPr>
            <w:r/>
            <w:r>
              <w:rPr>
                <w:rFonts w:ascii="Calibri" w:hAnsi="Calibri"/>
                <w:b w:val="0"/>
                <w:sz w:val="18"/>
              </w:rPr>
              <w:t>15 lecturas consecutivas, una por minuto.</w:t>
            </w:r>
          </w:p>
        </w:tc>
      </w:tr>
      <w:tr>
        <w:tc>
          <w:tcPr>
            <w:tcW w:type="dxa" w:w="3600"/>
            <w:vAlign w:val="center"/>
          </w:tcPr>
          <w:p>
            <w:pPr>
              <w:spacing w:after="0"/>
            </w:pPr>
            <w:r/>
            <w:r>
              <w:rPr>
                <w:rFonts w:ascii="Calibri" w:hAnsi="Calibri"/>
                <w:b w:val="0"/>
                <w:sz w:val="18"/>
              </w:rPr>
              <w:t>Horizonte de predicción</w:t>
            </w:r>
          </w:p>
        </w:tc>
        <w:tc>
          <w:tcPr>
            <w:tcW w:type="dxa" w:w="5760"/>
            <w:vAlign w:val="center"/>
          </w:tcPr>
          <w:p>
            <w:pPr>
              <w:spacing w:after="0"/>
            </w:pPr>
            <w:r/>
            <w:r>
              <w:rPr>
                <w:rFonts w:ascii="Calibri" w:hAnsi="Calibri"/>
                <w:b w:val="0"/>
                <w:sz w:val="18"/>
              </w:rPr>
              <w:t>30 minutos.</w:t>
            </w:r>
          </w:p>
        </w:tc>
      </w:tr>
      <w:tr>
        <w:tc>
          <w:tcPr>
            <w:tcW w:type="dxa" w:w="3600"/>
            <w:vAlign w:val="center"/>
          </w:tcPr>
          <w:p>
            <w:pPr>
              <w:spacing w:after="0"/>
            </w:pPr>
            <w:r/>
            <w:r>
              <w:rPr>
                <w:rFonts w:ascii="Calibri" w:hAnsi="Calibri"/>
                <w:b w:val="0"/>
                <w:sz w:val="18"/>
              </w:rPr>
              <w:t>Criterio de consumo alto</w:t>
            </w:r>
          </w:p>
        </w:tc>
        <w:tc>
          <w:tcPr>
            <w:tcW w:type="dxa" w:w="5760"/>
            <w:vAlign w:val="center"/>
          </w:tcPr>
          <w:p>
            <w:pPr>
              <w:spacing w:after="0"/>
            </w:pPr>
            <w:r/>
            <w:r>
              <w:rPr>
                <w:rFonts w:ascii="Calibri" w:hAnsi="Calibri"/>
                <w:b w:val="0"/>
                <w:sz w:val="18"/>
              </w:rPr>
              <w:t>Global_active_power &gt;= 1.528 kW.</w:t>
            </w:r>
          </w:p>
        </w:tc>
      </w:tr>
      <w:tr>
        <w:tc>
          <w:tcPr>
            <w:tcW w:type="dxa" w:w="3600"/>
            <w:vAlign w:val="center"/>
          </w:tcPr>
          <w:p>
            <w:pPr>
              <w:spacing w:after="0"/>
            </w:pPr>
            <w:r/>
            <w:r>
              <w:rPr>
                <w:rFonts w:ascii="Calibri" w:hAnsi="Calibri"/>
                <w:b w:val="0"/>
                <w:sz w:val="18"/>
              </w:rPr>
              <w:t>Criterio de evento futuro</w:t>
            </w:r>
          </w:p>
        </w:tc>
        <w:tc>
          <w:tcPr>
            <w:tcW w:type="dxa" w:w="5760"/>
            <w:vAlign w:val="center"/>
          </w:tcPr>
          <w:p>
            <w:pPr>
              <w:spacing w:after="0"/>
            </w:pPr>
            <w:r/>
            <w:r>
              <w:rPr>
                <w:rFonts w:ascii="Calibri" w:hAnsi="Calibri"/>
                <w:b w:val="0"/>
                <w:sz w:val="18"/>
              </w:rPr>
              <w:t>Al menos 10 minutos altos dentro de los próximos 30.</w:t>
            </w:r>
          </w:p>
        </w:tc>
      </w:tr>
      <w:tr>
        <w:tc>
          <w:tcPr>
            <w:tcW w:type="dxa" w:w="3600"/>
            <w:vAlign w:val="center"/>
          </w:tcPr>
          <w:p>
            <w:pPr>
              <w:spacing w:after="0"/>
            </w:pPr>
            <w:r/>
            <w:r>
              <w:rPr>
                <w:rFonts w:ascii="Calibri" w:hAnsi="Calibri"/>
                <w:b w:val="0"/>
                <w:sz w:val="18"/>
              </w:rPr>
              <w:t>Split</w:t>
            </w:r>
          </w:p>
        </w:tc>
        <w:tc>
          <w:tcPr>
            <w:tcW w:type="dxa" w:w="5760"/>
            <w:vAlign w:val="center"/>
          </w:tcPr>
          <w:p>
            <w:pPr>
              <w:spacing w:after="0"/>
            </w:pPr>
            <w:r/>
            <w:r>
              <w:rPr>
                <w:rFonts w:ascii="Calibri" w:hAnsi="Calibri"/>
                <w:b w:val="0"/>
                <w:sz w:val="18"/>
              </w:rPr>
              <w:t>80% temporal para entrenamiento y 20% temporal para prueba.</w:t>
            </w:r>
          </w:p>
        </w:tc>
      </w:tr>
    </w:tbl>
    <w:p>
      <w:pPr>
        <w:spacing w:after="80"/>
      </w:pPr>
    </w:p>
    <w:p>
      <w:pPr>
        <w:pStyle w:val="Heading2"/>
        <w:spacing w:before="240" w:after="120"/>
      </w:pPr>
      <w:r>
        <w:rPr>
          <w:rFonts w:ascii="Calibri" w:hAnsi="Calibri"/>
          <w:b/>
          <w:color w:val="2E74B5"/>
          <w:sz w:val="26"/>
        </w:rPr>
        <w:t>2.4 Artefactos generados</w:t>
      </w:r>
    </w:p>
    <w:tbl>
      <w:tblPr>
        <w:tblW w:type="dxa" w:w="9360"/>
        <w:jc w:val="center"/>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4680"/>
        <w:gridCol w:w="4680"/>
      </w:tblGrid>
      <w:tr>
        <w:tc>
          <w:tcPr>
            <w:tcW w:type="dxa" w:w="3168"/>
            <w:shd w:fill="F2F4F7"/>
            <w:vAlign w:val="center"/>
          </w:tcPr>
          <w:p>
            <w:pPr>
              <w:spacing w:after="0"/>
            </w:pPr>
            <w:r/>
            <w:r>
              <w:rPr>
                <w:rFonts w:ascii="Calibri" w:hAnsi="Calibri"/>
                <w:b/>
                <w:color w:val="0B2545"/>
                <w:sz w:val="18"/>
              </w:rPr>
              <w:t>Archivo</w:t>
            </w:r>
          </w:p>
        </w:tc>
        <w:tc>
          <w:tcPr>
            <w:tcW w:type="dxa" w:w="6192"/>
            <w:shd w:fill="F2F4F7"/>
            <w:vAlign w:val="center"/>
          </w:tcPr>
          <w:p>
            <w:pPr>
              <w:spacing w:after="0"/>
            </w:pPr>
            <w:r/>
            <w:r>
              <w:rPr>
                <w:rFonts w:ascii="Calibri" w:hAnsi="Calibri"/>
                <w:b/>
                <w:color w:val="0B2545"/>
                <w:sz w:val="18"/>
              </w:rPr>
              <w:t>Función</w:t>
            </w:r>
          </w:p>
        </w:tc>
      </w:tr>
      <w:tr>
        <w:tc>
          <w:tcPr>
            <w:tcW w:type="dxa" w:w="3168"/>
            <w:vAlign w:val="center"/>
          </w:tcPr>
          <w:p>
            <w:pPr>
              <w:spacing w:after="0"/>
            </w:pPr>
            <w:r/>
            <w:r>
              <w:rPr>
                <w:rFonts w:ascii="Calibri" w:hAnsi="Calibri"/>
                <w:b w:val="0"/>
                <w:sz w:val="18"/>
              </w:rPr>
              <w:t>processed_data.csv</w:t>
            </w:r>
          </w:p>
        </w:tc>
        <w:tc>
          <w:tcPr>
            <w:tcW w:type="dxa" w:w="6192"/>
            <w:vAlign w:val="center"/>
          </w:tcPr>
          <w:p>
            <w:pPr>
              <w:spacing w:after="0"/>
            </w:pPr>
            <w:r/>
            <w:r>
              <w:rPr>
                <w:rFonts w:ascii="Calibri" w:hAnsi="Calibri"/>
                <w:b w:val="0"/>
                <w:sz w:val="18"/>
              </w:rPr>
              <w:t>Dataset limpio completo.</w:t>
            </w:r>
          </w:p>
        </w:tc>
      </w:tr>
      <w:tr>
        <w:tc>
          <w:tcPr>
            <w:tcW w:type="dxa" w:w="3168"/>
            <w:vAlign w:val="center"/>
          </w:tcPr>
          <w:p>
            <w:pPr>
              <w:spacing w:after="0"/>
            </w:pPr>
            <w:r/>
            <w:r>
              <w:rPr>
                <w:rFonts w:ascii="Calibri" w:hAnsi="Calibri"/>
                <w:b w:val="0"/>
                <w:sz w:val="18"/>
              </w:rPr>
              <w:t>forecast_training.csv</w:t>
            </w:r>
          </w:p>
        </w:tc>
        <w:tc>
          <w:tcPr>
            <w:tcW w:type="dxa" w:w="6192"/>
            <w:vAlign w:val="center"/>
          </w:tcPr>
          <w:p>
            <w:pPr>
              <w:spacing w:after="0"/>
            </w:pPr>
            <w:r/>
            <w:r>
              <w:rPr>
                <w:rFonts w:ascii="Calibri" w:hAnsi="Calibri"/>
                <w:b w:val="0"/>
                <w:sz w:val="18"/>
              </w:rPr>
              <w:t>Ventanas temporales usadas para entrenamiento.</w:t>
            </w:r>
          </w:p>
        </w:tc>
      </w:tr>
      <w:tr>
        <w:tc>
          <w:tcPr>
            <w:tcW w:type="dxa" w:w="3168"/>
            <w:vAlign w:val="center"/>
          </w:tcPr>
          <w:p>
            <w:pPr>
              <w:spacing w:after="0"/>
            </w:pPr>
            <w:r/>
            <w:r>
              <w:rPr>
                <w:rFonts w:ascii="Calibri" w:hAnsi="Calibri"/>
                <w:b w:val="0"/>
                <w:sz w:val="18"/>
              </w:rPr>
              <w:t>forecast_test.csv</w:t>
            </w:r>
          </w:p>
        </w:tc>
        <w:tc>
          <w:tcPr>
            <w:tcW w:type="dxa" w:w="6192"/>
            <w:vAlign w:val="center"/>
          </w:tcPr>
          <w:p>
            <w:pPr>
              <w:spacing w:after="0"/>
            </w:pPr>
            <w:r/>
            <w:r>
              <w:rPr>
                <w:rFonts w:ascii="Calibri" w:hAnsi="Calibri"/>
                <w:b w:val="0"/>
                <w:sz w:val="18"/>
              </w:rPr>
              <w:t>Ventanas temporales usadas para evaluación final.</w:t>
            </w:r>
          </w:p>
        </w:tc>
      </w:tr>
      <w:tr>
        <w:tc>
          <w:tcPr>
            <w:tcW w:type="dxa" w:w="3168"/>
            <w:vAlign w:val="center"/>
          </w:tcPr>
          <w:p>
            <w:pPr>
              <w:spacing w:after="0"/>
            </w:pPr>
            <w:r/>
            <w:r>
              <w:rPr>
                <w:rFonts w:ascii="Calibri" w:hAnsi="Calibri"/>
                <w:b w:val="0"/>
                <w:sz w:val="18"/>
              </w:rPr>
              <w:t>forecast_model.json</w:t>
            </w:r>
          </w:p>
        </w:tc>
        <w:tc>
          <w:tcPr>
            <w:tcW w:type="dxa" w:w="6192"/>
            <w:vAlign w:val="center"/>
          </w:tcPr>
          <w:p>
            <w:pPr>
              <w:spacing w:after="0"/>
            </w:pPr>
            <w:r/>
            <w:r>
              <w:rPr>
                <w:rFonts w:ascii="Calibri" w:hAnsi="Calibri"/>
                <w:b w:val="0"/>
                <w:sz w:val="18"/>
              </w:rPr>
              <w:t>Modelo entrenado, pesos, features, umbral y métricas.</w:t>
            </w:r>
          </w:p>
        </w:tc>
      </w:tr>
      <w:tr>
        <w:tc>
          <w:tcPr>
            <w:tcW w:type="dxa" w:w="3168"/>
            <w:vAlign w:val="center"/>
          </w:tcPr>
          <w:p>
            <w:pPr>
              <w:spacing w:after="0"/>
            </w:pPr>
            <w:r/>
            <w:r>
              <w:rPr>
                <w:rFonts w:ascii="Calibri" w:hAnsi="Calibri"/>
                <w:b w:val="0"/>
                <w:sz w:val="18"/>
              </w:rPr>
              <w:t>sustainability_report.json</w:t>
            </w:r>
          </w:p>
        </w:tc>
        <w:tc>
          <w:tcPr>
            <w:tcW w:type="dxa" w:w="6192"/>
            <w:vAlign w:val="center"/>
          </w:tcPr>
          <w:p>
            <w:pPr>
              <w:spacing w:after="0"/>
            </w:pPr>
            <w:r/>
            <w:r>
              <w:rPr>
                <w:rFonts w:ascii="Calibri" w:hAnsi="Calibri"/>
                <w:b w:val="0"/>
                <w:sz w:val="18"/>
              </w:rPr>
              <w:t>Patrones horarios, semanales, estacionales y recomendaciones.</w:t>
            </w:r>
          </w:p>
        </w:tc>
      </w:tr>
    </w:tbl>
    <w:p>
      <w:pPr>
        <w:spacing w:after="80"/>
      </w:pPr>
    </w:p>
    <w:p>
      <w:pPr>
        <w:pStyle w:val="Heading1"/>
        <w:spacing w:before="320" w:after="160"/>
      </w:pPr>
      <w:r>
        <w:rPr>
          <w:rFonts w:ascii="Calibri" w:hAnsi="Calibri"/>
          <w:b/>
          <w:color w:val="2E74B5"/>
          <w:sz w:val="32"/>
        </w:rPr>
        <w:t>3. Diseño del modelo de Machine Learning</w:t>
      </w:r>
    </w:p>
    <w:p>
      <w:pPr>
        <w:pStyle w:val="Heading2"/>
        <w:spacing w:before="240" w:after="120"/>
      </w:pPr>
      <w:r>
        <w:rPr>
          <w:rFonts w:ascii="Calibri" w:hAnsi="Calibri"/>
          <w:b/>
          <w:color w:val="2E74B5"/>
          <w:sz w:val="26"/>
        </w:rPr>
        <w:t>3.1 Problema de clasificación</w:t>
      </w:r>
    </w:p>
    <w:p>
      <w:pPr>
        <w:spacing w:before="0" w:after="120" w:line="264" w:lineRule="auto"/>
      </w:pPr>
      <w:r>
        <w:rPr>
          <w:rFonts w:ascii="Calibri" w:hAnsi="Calibri"/>
          <w:b w:val="0"/>
          <w:i w:val="0"/>
          <w:sz w:val="22"/>
        </w:rPr>
        <w:t>El modelo resuelve una clasificación binaria: estimar si existe riesgo de consumo alto sostenido durante los próximos 30 minutos. Esta formulación evita que el modelo sea solo una regla sobre el consumo actual y permite anticipar situaciones de desperdicio eléctrico.</w:t>
      </w:r>
    </w:p>
    <w:p>
      <w:pPr>
        <w:pStyle w:val="Heading2"/>
        <w:spacing w:before="240" w:after="120"/>
      </w:pPr>
      <w:r>
        <w:rPr>
          <w:rFonts w:ascii="Calibri" w:hAnsi="Calibri"/>
          <w:b/>
          <w:color w:val="2E74B5"/>
          <w:sz w:val="26"/>
        </w:rPr>
        <w:t>3.2 Algoritmo</w:t>
      </w:r>
    </w:p>
    <w:p>
      <w:pPr>
        <w:spacing w:before="0" w:after="120" w:line="264" w:lineRule="auto"/>
      </w:pPr>
      <w:r>
        <w:rPr>
          <w:rFonts w:ascii="Calibri" w:hAnsi="Calibri"/>
          <w:b w:val="0"/>
          <w:i w:val="0"/>
          <w:sz w:val="22"/>
        </w:rPr>
        <w:t>Se implementa regresión logística binaria entrenada con gradient descent. La elección es adecuada para el curso porque el cálculo de gradientes se puede dividir por particiones de datos, enviar a goroutines o nodos ML y combinar de forma determinista en un coordinador.</w:t>
      </w:r>
    </w:p>
    <w:p>
      <w:pPr>
        <w:pStyle w:val="Heading2"/>
        <w:spacing w:before="240" w:after="120"/>
      </w:pPr>
      <w:r>
        <w:rPr>
          <w:rFonts w:ascii="Calibri" w:hAnsi="Calibri"/>
          <w:b/>
          <w:color w:val="2E74B5"/>
          <w:sz w:val="26"/>
        </w:rPr>
        <w:t>3.3 Variables de entrada</w:t>
      </w:r>
    </w:p>
    <w:tbl>
      <w:tblPr>
        <w:tblW w:type="dxa" w:w="9360"/>
        <w:jc w:val="center"/>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4680"/>
        <w:gridCol w:w="4680"/>
      </w:tblGrid>
      <w:tr>
        <w:tc>
          <w:tcPr>
            <w:tcW w:type="dxa" w:w="2448"/>
            <w:shd w:fill="F2F4F7"/>
            <w:vAlign w:val="center"/>
          </w:tcPr>
          <w:p>
            <w:pPr>
              <w:spacing w:after="0"/>
            </w:pPr>
            <w:r/>
            <w:r>
              <w:rPr>
                <w:rFonts w:ascii="Calibri" w:hAnsi="Calibri"/>
                <w:b/>
                <w:color w:val="0B2545"/>
                <w:sz w:val="18"/>
              </w:rPr>
              <w:t>Grupo</w:t>
            </w:r>
          </w:p>
        </w:tc>
        <w:tc>
          <w:tcPr>
            <w:tcW w:type="dxa" w:w="6912"/>
            <w:shd w:fill="F2F4F7"/>
            <w:vAlign w:val="center"/>
          </w:tcPr>
          <w:p>
            <w:pPr>
              <w:spacing w:after="0"/>
            </w:pPr>
            <w:r/>
            <w:r>
              <w:rPr>
                <w:rFonts w:ascii="Calibri" w:hAnsi="Calibri"/>
                <w:b/>
                <w:color w:val="0B2545"/>
                <w:sz w:val="18"/>
              </w:rPr>
              <w:t>Features</w:t>
            </w:r>
          </w:p>
        </w:tc>
      </w:tr>
      <w:tr>
        <w:tc>
          <w:tcPr>
            <w:tcW w:type="dxa" w:w="2448"/>
            <w:vAlign w:val="center"/>
          </w:tcPr>
          <w:p>
            <w:pPr>
              <w:spacing w:after="0"/>
            </w:pPr>
            <w:r/>
            <w:r>
              <w:rPr>
                <w:rFonts w:ascii="Calibri" w:hAnsi="Calibri"/>
                <w:b w:val="0"/>
                <w:sz w:val="17"/>
              </w:rPr>
              <w:t>Consumo reciente</w:t>
            </w:r>
          </w:p>
        </w:tc>
        <w:tc>
          <w:tcPr>
            <w:tcW w:type="dxa" w:w="6912"/>
            <w:vAlign w:val="center"/>
          </w:tcPr>
          <w:p>
            <w:pPr>
              <w:spacing w:after="0"/>
            </w:pPr>
            <w:r/>
            <w:r>
              <w:rPr>
                <w:rFonts w:ascii="Calibri" w:hAnsi="Calibri"/>
                <w:b w:val="0"/>
                <w:sz w:val="17"/>
              </w:rPr>
              <w:t>CurrentActivePower, RecentAverageActivePower, RecentMaximumActivePower, RecentStdDevActivePower, RecentActivePowerTrend</w:t>
            </w:r>
          </w:p>
        </w:tc>
      </w:tr>
      <w:tr>
        <w:tc>
          <w:tcPr>
            <w:tcW w:type="dxa" w:w="2448"/>
            <w:vAlign w:val="center"/>
          </w:tcPr>
          <w:p>
            <w:pPr>
              <w:spacing w:after="0"/>
            </w:pPr>
            <w:r/>
            <w:r>
              <w:rPr>
                <w:rFonts w:ascii="Calibri" w:hAnsi="Calibri"/>
                <w:b w:val="0"/>
                <w:sz w:val="17"/>
              </w:rPr>
              <w:t>Variables eléctricas</w:t>
            </w:r>
          </w:p>
        </w:tc>
        <w:tc>
          <w:tcPr>
            <w:tcW w:type="dxa" w:w="6912"/>
            <w:vAlign w:val="center"/>
          </w:tcPr>
          <w:p>
            <w:pPr>
              <w:spacing w:after="0"/>
            </w:pPr>
            <w:r/>
            <w:r>
              <w:rPr>
                <w:rFonts w:ascii="Calibri" w:hAnsi="Calibri"/>
                <w:b w:val="0"/>
                <w:sz w:val="17"/>
              </w:rPr>
              <w:t>CurrentReactivePower, CurrentVoltage, CurrentIntensity, CurrentSubMeteringTotal, CurrentOtherConsumption</w:t>
            </w:r>
          </w:p>
        </w:tc>
      </w:tr>
      <w:tr>
        <w:tc>
          <w:tcPr>
            <w:tcW w:type="dxa" w:w="2448"/>
            <w:vAlign w:val="center"/>
          </w:tcPr>
          <w:p>
            <w:pPr>
              <w:spacing w:after="0"/>
            </w:pPr>
            <w:r/>
            <w:r>
              <w:rPr>
                <w:rFonts w:ascii="Calibri" w:hAnsi="Calibri"/>
                <w:b w:val="0"/>
                <w:sz w:val="17"/>
              </w:rPr>
              <w:t>Contexto temporal</w:t>
            </w:r>
          </w:p>
        </w:tc>
        <w:tc>
          <w:tcPr>
            <w:tcW w:type="dxa" w:w="6912"/>
            <w:vAlign w:val="center"/>
          </w:tcPr>
          <w:p>
            <w:pPr>
              <w:spacing w:after="0"/>
            </w:pPr>
            <w:r/>
            <w:r>
              <w:rPr>
                <w:rFonts w:ascii="Calibri" w:hAnsi="Calibri"/>
                <w:b w:val="0"/>
                <w:sz w:val="17"/>
              </w:rPr>
              <w:t>Hour, DayOfWeek, Month</w:t>
            </w:r>
          </w:p>
        </w:tc>
      </w:tr>
      <w:tr>
        <w:tc>
          <w:tcPr>
            <w:tcW w:type="dxa" w:w="2448"/>
            <w:vAlign w:val="center"/>
          </w:tcPr>
          <w:p>
            <w:pPr>
              <w:spacing w:after="0"/>
            </w:pPr>
            <w:r/>
            <w:r>
              <w:rPr>
                <w:rFonts w:ascii="Calibri" w:hAnsi="Calibri"/>
                <w:b w:val="0"/>
                <w:sz w:val="17"/>
              </w:rPr>
              <w:t>Contexto histórico</w:t>
            </w:r>
          </w:p>
        </w:tc>
        <w:tc>
          <w:tcPr>
            <w:tcW w:type="dxa" w:w="6912"/>
            <w:vAlign w:val="center"/>
          </w:tcPr>
          <w:p>
            <w:pPr>
              <w:spacing w:after="0"/>
            </w:pPr>
            <w:r/>
            <w:r>
              <w:rPr>
                <w:rFonts w:ascii="Calibri" w:hAnsi="Calibri"/>
                <w:b w:val="0"/>
                <w:sz w:val="17"/>
              </w:rPr>
              <w:t>HistoricalHourHighRate, HistoricalDayHourHighRate</w:t>
            </w:r>
          </w:p>
        </w:tc>
      </w:tr>
    </w:tbl>
    <w:p>
      <w:pPr>
        <w:spacing w:after="80"/>
      </w:pPr>
    </w:p>
    <w:p>
      <w:pPr>
        <w:pStyle w:val="Heading2"/>
        <w:spacing w:before="240" w:after="120"/>
      </w:pPr>
      <w:r>
        <w:rPr>
          <w:rFonts w:ascii="Calibri" w:hAnsi="Calibri"/>
          <w:b/>
          <w:color w:val="2E74B5"/>
          <w:sz w:val="26"/>
        </w:rPr>
        <w:t>3.4 Hiperparámetros</w:t>
      </w:r>
    </w:p>
    <w:tbl>
      <w:tblPr>
        <w:tblW w:type="dxa" w:w="9360"/>
        <w:jc w:val="center"/>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4680"/>
        <w:gridCol w:w="4680"/>
      </w:tblGrid>
      <w:tr>
        <w:tc>
          <w:tcPr>
            <w:tcW w:type="dxa" w:w="3600"/>
            <w:shd w:fill="F2F4F7"/>
            <w:vAlign w:val="center"/>
          </w:tcPr>
          <w:p>
            <w:pPr>
              <w:spacing w:after="0"/>
            </w:pPr>
            <w:r/>
            <w:r>
              <w:rPr>
                <w:rFonts w:ascii="Calibri" w:hAnsi="Calibri"/>
                <w:b/>
                <w:color w:val="0B2545"/>
                <w:sz w:val="18"/>
              </w:rPr>
              <w:t>Hiperparámetro</w:t>
            </w:r>
          </w:p>
        </w:tc>
        <w:tc>
          <w:tcPr>
            <w:tcW w:type="dxa" w:w="5760"/>
            <w:shd w:fill="F2F4F7"/>
            <w:vAlign w:val="center"/>
          </w:tcPr>
          <w:p>
            <w:pPr>
              <w:spacing w:after="0"/>
            </w:pPr>
            <w:r/>
            <w:r>
              <w:rPr>
                <w:rFonts w:ascii="Calibri" w:hAnsi="Calibri"/>
                <w:b/>
                <w:color w:val="0B2545"/>
                <w:sz w:val="18"/>
              </w:rPr>
              <w:t>Valor</w:t>
            </w:r>
          </w:p>
        </w:tc>
      </w:tr>
      <w:tr>
        <w:tc>
          <w:tcPr>
            <w:tcW w:type="dxa" w:w="3600"/>
            <w:vAlign w:val="center"/>
          </w:tcPr>
          <w:p>
            <w:pPr>
              <w:spacing w:after="0"/>
            </w:pPr>
            <w:r/>
            <w:r>
              <w:rPr>
                <w:rFonts w:ascii="Calibri" w:hAnsi="Calibri"/>
                <w:b w:val="0"/>
                <w:sz w:val="18"/>
              </w:rPr>
              <w:t>Épocas</w:t>
            </w:r>
          </w:p>
        </w:tc>
        <w:tc>
          <w:tcPr>
            <w:tcW w:type="dxa" w:w="5760"/>
            <w:vAlign w:val="center"/>
          </w:tcPr>
          <w:p>
            <w:pPr>
              <w:spacing w:after="0"/>
            </w:pPr>
            <w:r/>
            <w:r>
              <w:rPr>
                <w:rFonts w:ascii="Calibri" w:hAnsi="Calibri"/>
                <w:b w:val="0"/>
                <w:sz w:val="18"/>
              </w:rPr>
              <w:t>80</w:t>
            </w:r>
          </w:p>
        </w:tc>
      </w:tr>
      <w:tr>
        <w:tc>
          <w:tcPr>
            <w:tcW w:type="dxa" w:w="3600"/>
            <w:vAlign w:val="center"/>
          </w:tcPr>
          <w:p>
            <w:pPr>
              <w:spacing w:after="0"/>
            </w:pPr>
            <w:r/>
            <w:r>
              <w:rPr>
                <w:rFonts w:ascii="Calibri" w:hAnsi="Calibri"/>
                <w:b w:val="0"/>
                <w:sz w:val="18"/>
              </w:rPr>
              <w:t>Learning rate</w:t>
            </w:r>
          </w:p>
        </w:tc>
        <w:tc>
          <w:tcPr>
            <w:tcW w:type="dxa" w:w="5760"/>
            <w:vAlign w:val="center"/>
          </w:tcPr>
          <w:p>
            <w:pPr>
              <w:spacing w:after="0"/>
            </w:pPr>
            <w:r/>
            <w:r>
              <w:rPr>
                <w:rFonts w:ascii="Calibri" w:hAnsi="Calibri"/>
                <w:b w:val="0"/>
                <w:sz w:val="18"/>
              </w:rPr>
              <w:t>0.25</w:t>
            </w:r>
          </w:p>
        </w:tc>
      </w:tr>
      <w:tr>
        <w:tc>
          <w:tcPr>
            <w:tcW w:type="dxa" w:w="3600"/>
            <w:vAlign w:val="center"/>
          </w:tcPr>
          <w:p>
            <w:pPr>
              <w:spacing w:after="0"/>
            </w:pPr>
            <w:r/>
            <w:r>
              <w:rPr>
                <w:rFonts w:ascii="Calibri" w:hAnsi="Calibri"/>
                <w:b w:val="0"/>
                <w:sz w:val="18"/>
              </w:rPr>
              <w:t>Workers usados en entrenamiento local validado</w:t>
            </w:r>
          </w:p>
        </w:tc>
        <w:tc>
          <w:tcPr>
            <w:tcW w:type="dxa" w:w="5760"/>
            <w:vAlign w:val="center"/>
          </w:tcPr>
          <w:p>
            <w:pPr>
              <w:spacing w:after="0"/>
            </w:pPr>
            <w:r/>
            <w:r>
              <w:rPr>
                <w:rFonts w:ascii="Calibri" w:hAnsi="Calibri"/>
                <w:b w:val="0"/>
                <w:sz w:val="18"/>
              </w:rPr>
              <w:t>8</w:t>
            </w:r>
          </w:p>
        </w:tc>
      </w:tr>
      <w:tr>
        <w:tc>
          <w:tcPr>
            <w:tcW w:type="dxa" w:w="3600"/>
            <w:vAlign w:val="center"/>
          </w:tcPr>
          <w:p>
            <w:pPr>
              <w:spacing w:after="0"/>
            </w:pPr>
            <w:r/>
            <w:r>
              <w:rPr>
                <w:rFonts w:ascii="Calibri" w:hAnsi="Calibri"/>
                <w:b w:val="0"/>
                <w:sz w:val="18"/>
              </w:rPr>
              <w:t>Umbral de decisión</w:t>
            </w:r>
          </w:p>
        </w:tc>
        <w:tc>
          <w:tcPr>
            <w:tcW w:type="dxa" w:w="5760"/>
            <w:vAlign w:val="center"/>
          </w:tcPr>
          <w:p>
            <w:pPr>
              <w:spacing w:after="0"/>
            </w:pPr>
            <w:r/>
            <w:r>
              <w:rPr>
                <w:rFonts w:ascii="Calibri" w:hAnsi="Calibri"/>
                <w:b w:val="0"/>
                <w:sz w:val="18"/>
              </w:rPr>
              <w:t>0.3</w:t>
            </w:r>
          </w:p>
        </w:tc>
      </w:tr>
      <w:tr>
        <w:tc>
          <w:tcPr>
            <w:tcW w:type="dxa" w:w="3600"/>
            <w:vAlign w:val="center"/>
          </w:tcPr>
          <w:p>
            <w:pPr>
              <w:spacing w:after="0"/>
            </w:pPr>
            <w:r/>
            <w:r>
              <w:rPr>
                <w:rFonts w:ascii="Calibri" w:hAnsi="Calibri"/>
                <w:b w:val="0"/>
                <w:sz w:val="18"/>
              </w:rPr>
              <w:t>Función de pérdida</w:t>
            </w:r>
          </w:p>
        </w:tc>
        <w:tc>
          <w:tcPr>
            <w:tcW w:type="dxa" w:w="5760"/>
            <w:vAlign w:val="center"/>
          </w:tcPr>
          <w:p>
            <w:pPr>
              <w:spacing w:after="0"/>
            </w:pPr>
            <w:r/>
            <w:r>
              <w:rPr>
                <w:rFonts w:ascii="Calibri" w:hAnsi="Calibri"/>
                <w:b w:val="0"/>
                <w:sz w:val="18"/>
              </w:rPr>
              <w:t>Binary cross-entropy</w:t>
            </w:r>
          </w:p>
        </w:tc>
      </w:tr>
      <w:tr>
        <w:tc>
          <w:tcPr>
            <w:tcW w:type="dxa" w:w="3600"/>
            <w:vAlign w:val="center"/>
          </w:tcPr>
          <w:p>
            <w:pPr>
              <w:spacing w:after="0"/>
            </w:pPr>
            <w:r/>
            <w:r>
              <w:rPr>
                <w:rFonts w:ascii="Calibri" w:hAnsi="Calibri"/>
                <w:b w:val="0"/>
                <w:sz w:val="18"/>
              </w:rPr>
              <w:t>Función de activación</w:t>
            </w:r>
          </w:p>
        </w:tc>
        <w:tc>
          <w:tcPr>
            <w:tcW w:type="dxa" w:w="5760"/>
            <w:vAlign w:val="center"/>
          </w:tcPr>
          <w:p>
            <w:pPr>
              <w:spacing w:after="0"/>
            </w:pPr>
            <w:r/>
            <w:r>
              <w:rPr>
                <w:rFonts w:ascii="Calibri" w:hAnsi="Calibri"/>
                <w:b w:val="0"/>
                <w:sz w:val="18"/>
              </w:rPr>
              <w:t>Sigmoid numéricamente estable</w:t>
            </w:r>
          </w:p>
        </w:tc>
      </w:tr>
    </w:tbl>
    <w:p>
      <w:pPr>
        <w:spacing w:after="80"/>
      </w:pPr>
    </w:p>
    <w:p>
      <w:pPr>
        <w:pStyle w:val="Heading1"/>
        <w:spacing w:before="320" w:after="160"/>
      </w:pPr>
      <w:r>
        <w:rPr>
          <w:rFonts w:ascii="Calibri" w:hAnsi="Calibri"/>
          <w:b/>
          <w:color w:val="2E74B5"/>
          <w:sz w:val="32"/>
        </w:rPr>
        <w:t>4. Arquitectura distribuida, API y almacenamiento</w:t>
      </w:r>
    </w:p>
    <w:p>
      <w:pPr>
        <w:pStyle w:val="Heading2"/>
        <w:spacing w:before="240" w:after="120"/>
      </w:pPr>
      <w:r>
        <w:rPr>
          <w:rFonts w:ascii="Calibri" w:hAnsi="Calibri"/>
          <w:b/>
          <w:color w:val="2E74B5"/>
          <w:sz w:val="26"/>
        </w:rPr>
        <w:t>4.1 Topología del clúster</w:t>
      </w:r>
    </w:p>
    <w:p>
      <w:pPr>
        <w:spacing w:before="0" w:after="120" w:line="264" w:lineRule="auto"/>
      </w:pPr>
      <w:r>
        <w:rPr>
          <w:rFonts w:ascii="Calibri" w:hAnsi="Calibri"/>
          <w:b w:val="0"/>
          <w:i w:val="0"/>
          <w:sz w:val="22"/>
        </w:rPr>
        <w:t>Se usa una topología estrella: la API actúa como coordinador central y mantiene conexiones persistentes con tres workers ML. Esta topología simplifica el balanceo, la observabilidad, la agregación de gradientes y la recuperación ante caída de nodos frente a alternativas como anillo o malla.</w:t>
      </w:r>
    </w:p>
    <w:p>
      <w:pPr>
        <w:jc w:val="center"/>
      </w:pPr>
      <w:r>
        <w:drawing>
          <wp:inline xmlns:a="http://schemas.openxmlformats.org/drawingml/2006/main" xmlns:pic="http://schemas.openxmlformats.org/drawingml/2006/picture">
            <wp:extent cx="5943600" cy="2834640"/>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943600" cy="2834640"/>
                    </a:xfrm>
                    <a:prstGeom prst="rect"/>
                  </pic:spPr>
                </pic:pic>
              </a:graphicData>
            </a:graphic>
          </wp:inline>
        </w:drawing>
      </w:r>
    </w:p>
    <w:p>
      <w:pPr>
        <w:spacing w:before="0" w:after="120" w:line="264" w:lineRule="auto"/>
        <w:jc w:val="center"/>
      </w:pPr>
      <w:r>
        <w:rPr>
          <w:rFonts w:ascii="Calibri" w:hAnsi="Calibri"/>
          <w:b w:val="0"/>
          <w:i w:val="0"/>
          <w:color w:val="5A5A5A"/>
          <w:sz w:val="18"/>
        </w:rPr>
        <w:t>Figura 1. Arquitectura distribuida implementada.</w:t>
      </w:r>
    </w:p>
    <w:p>
      <w:pPr>
        <w:pStyle w:val="Heading2"/>
        <w:spacing w:before="240" w:after="120"/>
      </w:pPr>
      <w:r>
        <w:rPr>
          <w:rFonts w:ascii="Calibri" w:hAnsi="Calibri"/>
          <w:b/>
          <w:color w:val="2E74B5"/>
          <w:sz w:val="26"/>
        </w:rPr>
        <w:t>4.2 Protocolo interno TCP</w:t>
      </w:r>
    </w:p>
    <w:p>
      <w:pPr>
        <w:spacing w:before="0" w:after="120" w:line="264" w:lineRule="auto"/>
      </w:pPr>
      <w:r>
        <w:rPr>
          <w:rFonts w:ascii="Calibri" w:hAnsi="Calibri"/>
          <w:b w:val="0"/>
          <w:i w:val="0"/>
          <w:sz w:val="22"/>
        </w:rPr>
        <w:t>La comunicación entre coordinador y workers se implementa con net y bufio. Los mensajes son JSON delimitados por salto de línea, lo que facilita el procesamiento de mensajes parciales y mantiene conexiones TCP persistentes.</w:t>
      </w:r>
    </w:p>
    <w:tbl>
      <w:tblPr>
        <w:tblW w:type="dxa" w:w="9360"/>
        <w:jc w:val="center"/>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4680"/>
        <w:gridCol w:w="4680"/>
      </w:tblGrid>
      <w:tr>
        <w:tc>
          <w:tcPr>
            <w:tcW w:type="dxa" w:w="2448"/>
            <w:shd w:fill="F2F4F7"/>
            <w:vAlign w:val="center"/>
          </w:tcPr>
          <w:p>
            <w:pPr>
              <w:spacing w:after="0"/>
            </w:pPr>
            <w:r/>
            <w:r>
              <w:rPr>
                <w:rFonts w:ascii="Calibri" w:hAnsi="Calibri"/>
                <w:b/>
                <w:color w:val="0B2545"/>
                <w:sz w:val="18"/>
              </w:rPr>
              <w:t>Mensaje</w:t>
            </w:r>
          </w:p>
        </w:tc>
        <w:tc>
          <w:tcPr>
            <w:tcW w:type="dxa" w:w="6912"/>
            <w:shd w:fill="F2F4F7"/>
            <w:vAlign w:val="center"/>
          </w:tcPr>
          <w:p>
            <w:pPr>
              <w:spacing w:after="0"/>
            </w:pPr>
            <w:r/>
            <w:r>
              <w:rPr>
                <w:rFonts w:ascii="Calibri" w:hAnsi="Calibri"/>
                <w:b/>
                <w:color w:val="0B2545"/>
                <w:sz w:val="18"/>
              </w:rPr>
              <w:t>Uso</w:t>
            </w:r>
          </w:p>
        </w:tc>
      </w:tr>
      <w:tr>
        <w:tc>
          <w:tcPr>
            <w:tcW w:type="dxa" w:w="2448"/>
            <w:vAlign w:val="center"/>
          </w:tcPr>
          <w:p>
            <w:pPr>
              <w:spacing w:after="0"/>
            </w:pPr>
            <w:r/>
            <w:r>
              <w:rPr>
                <w:rFonts w:ascii="Calibri" w:hAnsi="Calibri"/>
                <w:b w:val="0"/>
                <w:sz w:val="18"/>
              </w:rPr>
              <w:t>register</w:t>
            </w:r>
          </w:p>
        </w:tc>
        <w:tc>
          <w:tcPr>
            <w:tcW w:type="dxa" w:w="6912"/>
            <w:vAlign w:val="center"/>
          </w:tcPr>
          <w:p>
            <w:pPr>
              <w:spacing w:after="0"/>
            </w:pPr>
            <w:r/>
            <w:r>
              <w:rPr>
                <w:rFonts w:ascii="Calibri" w:hAnsi="Calibri"/>
                <w:b w:val="0"/>
                <w:sz w:val="18"/>
              </w:rPr>
              <w:t>Registro inicial del worker con ID, capacidad y versión.</w:t>
            </w:r>
          </w:p>
        </w:tc>
      </w:tr>
      <w:tr>
        <w:tc>
          <w:tcPr>
            <w:tcW w:type="dxa" w:w="2448"/>
            <w:vAlign w:val="center"/>
          </w:tcPr>
          <w:p>
            <w:pPr>
              <w:spacing w:after="0"/>
            </w:pPr>
            <w:r/>
            <w:r>
              <w:rPr>
                <w:rFonts w:ascii="Calibri" w:hAnsi="Calibri"/>
                <w:b w:val="0"/>
                <w:sz w:val="18"/>
              </w:rPr>
              <w:t>heartbeat</w:t>
            </w:r>
          </w:p>
        </w:tc>
        <w:tc>
          <w:tcPr>
            <w:tcW w:type="dxa" w:w="6912"/>
            <w:vAlign w:val="center"/>
          </w:tcPr>
          <w:p>
            <w:pPr>
              <w:spacing w:after="0"/>
            </w:pPr>
            <w:r/>
            <w:r>
              <w:rPr>
                <w:rFonts w:ascii="Calibri" w:hAnsi="Calibri"/>
                <w:b w:val="0"/>
                <w:sz w:val="18"/>
              </w:rPr>
              <w:t>Control de salud del nodo.</w:t>
            </w:r>
          </w:p>
        </w:tc>
      </w:tr>
      <w:tr>
        <w:tc>
          <w:tcPr>
            <w:tcW w:type="dxa" w:w="2448"/>
            <w:vAlign w:val="center"/>
          </w:tcPr>
          <w:p>
            <w:pPr>
              <w:spacing w:after="0"/>
            </w:pPr>
            <w:r/>
            <w:r>
              <w:rPr>
                <w:rFonts w:ascii="Calibri" w:hAnsi="Calibri"/>
                <w:b w:val="0"/>
                <w:sz w:val="18"/>
              </w:rPr>
              <w:t>predict</w:t>
            </w:r>
          </w:p>
        </w:tc>
        <w:tc>
          <w:tcPr>
            <w:tcW w:type="dxa" w:w="6912"/>
            <w:vAlign w:val="center"/>
          </w:tcPr>
          <w:p>
            <w:pPr>
              <w:spacing w:after="0"/>
            </w:pPr>
            <w:r/>
            <w:r>
              <w:rPr>
                <w:rFonts w:ascii="Calibri" w:hAnsi="Calibri"/>
                <w:b w:val="0"/>
                <w:sz w:val="18"/>
              </w:rPr>
              <w:t>Inferencia distribuida para un request del API.</w:t>
            </w:r>
          </w:p>
        </w:tc>
      </w:tr>
      <w:tr>
        <w:tc>
          <w:tcPr>
            <w:tcW w:type="dxa" w:w="2448"/>
            <w:vAlign w:val="center"/>
          </w:tcPr>
          <w:p>
            <w:pPr>
              <w:spacing w:after="0"/>
            </w:pPr>
            <w:r/>
            <w:r>
              <w:rPr>
                <w:rFonts w:ascii="Calibri" w:hAnsi="Calibri"/>
                <w:b w:val="0"/>
                <w:sz w:val="18"/>
              </w:rPr>
              <w:t>train_init</w:t>
            </w:r>
          </w:p>
        </w:tc>
        <w:tc>
          <w:tcPr>
            <w:tcW w:type="dxa" w:w="6912"/>
            <w:vAlign w:val="center"/>
          </w:tcPr>
          <w:p>
            <w:pPr>
              <w:spacing w:after="0"/>
            </w:pPr>
            <w:r/>
            <w:r>
              <w:rPr>
                <w:rFonts w:ascii="Calibri" w:hAnsi="Calibri"/>
                <w:b w:val="0"/>
                <w:sz w:val="18"/>
              </w:rPr>
              <w:t>Inicialización del dataset de entrenamiento en workers.</w:t>
            </w:r>
          </w:p>
        </w:tc>
      </w:tr>
      <w:tr>
        <w:tc>
          <w:tcPr>
            <w:tcW w:type="dxa" w:w="2448"/>
            <w:vAlign w:val="center"/>
          </w:tcPr>
          <w:p>
            <w:pPr>
              <w:spacing w:after="0"/>
            </w:pPr>
            <w:r/>
            <w:r>
              <w:rPr>
                <w:rFonts w:ascii="Calibri" w:hAnsi="Calibri"/>
                <w:b w:val="0"/>
                <w:sz w:val="18"/>
              </w:rPr>
              <w:t>train_epoch</w:t>
            </w:r>
          </w:p>
        </w:tc>
        <w:tc>
          <w:tcPr>
            <w:tcW w:type="dxa" w:w="6912"/>
            <w:vAlign w:val="center"/>
          </w:tcPr>
          <w:p>
            <w:pPr>
              <w:spacing w:after="0"/>
            </w:pPr>
            <w:r/>
            <w:r>
              <w:rPr>
                <w:rFonts w:ascii="Calibri" w:hAnsi="Calibri"/>
                <w:b w:val="0"/>
                <w:sz w:val="18"/>
              </w:rPr>
              <w:t>Cálculo de gradiente para un shard.</w:t>
            </w:r>
          </w:p>
        </w:tc>
      </w:tr>
      <w:tr>
        <w:tc>
          <w:tcPr>
            <w:tcW w:type="dxa" w:w="2448"/>
            <w:vAlign w:val="center"/>
          </w:tcPr>
          <w:p>
            <w:pPr>
              <w:spacing w:after="0"/>
            </w:pPr>
            <w:r/>
            <w:r>
              <w:rPr>
                <w:rFonts w:ascii="Calibri" w:hAnsi="Calibri"/>
                <w:b w:val="0"/>
                <w:sz w:val="18"/>
              </w:rPr>
              <w:t>gradient_result</w:t>
            </w:r>
          </w:p>
        </w:tc>
        <w:tc>
          <w:tcPr>
            <w:tcW w:type="dxa" w:w="6912"/>
            <w:vAlign w:val="center"/>
          </w:tcPr>
          <w:p>
            <w:pPr>
              <w:spacing w:after="0"/>
            </w:pPr>
            <w:r/>
            <w:r>
              <w:rPr>
                <w:rFonts w:ascii="Calibri" w:hAnsi="Calibri"/>
                <w:b w:val="0"/>
                <w:sz w:val="18"/>
              </w:rPr>
              <w:t>Respuesta del worker con gradiente, loss y conteo.</w:t>
            </w:r>
          </w:p>
        </w:tc>
      </w:tr>
      <w:tr>
        <w:tc>
          <w:tcPr>
            <w:tcW w:type="dxa" w:w="2448"/>
            <w:vAlign w:val="center"/>
          </w:tcPr>
          <w:p>
            <w:pPr>
              <w:spacing w:after="0"/>
            </w:pPr>
            <w:r/>
            <w:r>
              <w:rPr>
                <w:rFonts w:ascii="Calibri" w:hAnsi="Calibri"/>
                <w:b w:val="0"/>
                <w:sz w:val="18"/>
              </w:rPr>
              <w:t>error</w:t>
            </w:r>
          </w:p>
        </w:tc>
        <w:tc>
          <w:tcPr>
            <w:tcW w:type="dxa" w:w="6912"/>
            <w:vAlign w:val="center"/>
          </w:tcPr>
          <w:p>
            <w:pPr>
              <w:spacing w:after="0"/>
            </w:pPr>
            <w:r/>
            <w:r>
              <w:rPr>
                <w:rFonts w:ascii="Calibri" w:hAnsi="Calibri"/>
                <w:b w:val="0"/>
                <w:sz w:val="18"/>
              </w:rPr>
              <w:t>Respuesta estándar ante fallas de validación o ejecución.</w:t>
            </w:r>
          </w:p>
        </w:tc>
      </w:tr>
    </w:tbl>
    <w:p>
      <w:pPr>
        <w:spacing w:after="80"/>
      </w:pPr>
    </w:p>
    <w:p>
      <w:pPr>
        <w:pStyle w:val="Heading2"/>
        <w:spacing w:before="240" w:after="120"/>
      </w:pPr>
      <w:r>
        <w:rPr>
          <w:rFonts w:ascii="Calibri" w:hAnsi="Calibri"/>
          <w:b/>
          <w:color w:val="2E74B5"/>
          <w:sz w:val="26"/>
        </w:rPr>
        <w:t>4.3 API REST</w:t>
      </w:r>
    </w:p>
    <w:tbl>
      <w:tblPr>
        <w:tblW w:type="dxa" w:w="9360"/>
        <w:jc w:val="center"/>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4680"/>
        <w:gridCol w:w="4680"/>
      </w:tblGrid>
      <w:tr>
        <w:tc>
          <w:tcPr>
            <w:tcW w:type="dxa" w:w="3456"/>
            <w:shd w:fill="F2F4F7"/>
            <w:vAlign w:val="center"/>
          </w:tcPr>
          <w:p>
            <w:pPr>
              <w:spacing w:after="0"/>
            </w:pPr>
            <w:r/>
            <w:r>
              <w:rPr>
                <w:rFonts w:ascii="Calibri" w:hAnsi="Calibri"/>
                <w:b/>
                <w:color w:val="0B2545"/>
                <w:sz w:val="18"/>
              </w:rPr>
              <w:t>Endpoint</w:t>
            </w:r>
          </w:p>
        </w:tc>
        <w:tc>
          <w:tcPr>
            <w:tcW w:type="dxa" w:w="5903"/>
            <w:shd w:fill="F2F4F7"/>
            <w:vAlign w:val="center"/>
          </w:tcPr>
          <w:p>
            <w:pPr>
              <w:spacing w:after="0"/>
            </w:pPr>
            <w:r/>
            <w:r>
              <w:rPr>
                <w:rFonts w:ascii="Calibri" w:hAnsi="Calibri"/>
                <w:b/>
                <w:color w:val="0B2545"/>
                <w:sz w:val="18"/>
              </w:rPr>
              <w:t>Propósito</w:t>
            </w:r>
          </w:p>
        </w:tc>
      </w:tr>
      <w:tr>
        <w:tc>
          <w:tcPr>
            <w:tcW w:type="dxa" w:w="3456"/>
            <w:vAlign w:val="center"/>
          </w:tcPr>
          <w:p>
            <w:pPr>
              <w:spacing w:after="0"/>
            </w:pPr>
            <w:r/>
            <w:r>
              <w:rPr>
                <w:rFonts w:ascii="Calibri" w:hAnsi="Calibri"/>
                <w:b w:val="0"/>
                <w:sz w:val="17"/>
              </w:rPr>
              <w:t>POST /api/v1/auth/login</w:t>
            </w:r>
          </w:p>
        </w:tc>
        <w:tc>
          <w:tcPr>
            <w:tcW w:type="dxa" w:w="5903"/>
            <w:vAlign w:val="center"/>
          </w:tcPr>
          <w:p>
            <w:pPr>
              <w:spacing w:after="0"/>
            </w:pPr>
            <w:r/>
            <w:r>
              <w:rPr>
                <w:rFonts w:ascii="Calibri" w:hAnsi="Calibri"/>
                <w:b w:val="0"/>
                <w:sz w:val="17"/>
              </w:rPr>
              <w:t>Genera JWT.</w:t>
            </w:r>
          </w:p>
        </w:tc>
      </w:tr>
      <w:tr>
        <w:tc>
          <w:tcPr>
            <w:tcW w:type="dxa" w:w="3456"/>
            <w:vAlign w:val="center"/>
          </w:tcPr>
          <w:p>
            <w:pPr>
              <w:spacing w:after="0"/>
            </w:pPr>
            <w:r/>
            <w:r>
              <w:rPr>
                <w:rFonts w:ascii="Calibri" w:hAnsi="Calibri"/>
                <w:b w:val="0"/>
                <w:sz w:val="17"/>
              </w:rPr>
              <w:t>POST /api/v1/forecasts</w:t>
            </w:r>
          </w:p>
        </w:tc>
        <w:tc>
          <w:tcPr>
            <w:tcW w:type="dxa" w:w="5903"/>
            <w:vAlign w:val="center"/>
          </w:tcPr>
          <w:p>
            <w:pPr>
              <w:spacing w:after="0"/>
            </w:pPr>
            <w:r/>
            <w:r>
              <w:rPr>
                <w:rFonts w:ascii="Calibri" w:hAnsi="Calibri"/>
                <w:b w:val="0"/>
                <w:sz w:val="17"/>
              </w:rPr>
              <w:t>Recibe 15 lecturas y genera pronóstico preventivo.</w:t>
            </w:r>
          </w:p>
        </w:tc>
      </w:tr>
      <w:tr>
        <w:tc>
          <w:tcPr>
            <w:tcW w:type="dxa" w:w="3456"/>
            <w:vAlign w:val="center"/>
          </w:tcPr>
          <w:p>
            <w:pPr>
              <w:spacing w:after="0"/>
            </w:pPr>
            <w:r/>
            <w:r>
              <w:rPr>
                <w:rFonts w:ascii="Calibri" w:hAnsi="Calibri"/>
                <w:b w:val="0"/>
                <w:sz w:val="17"/>
              </w:rPr>
              <w:t>GET /api/v1/forecasts</w:t>
            </w:r>
          </w:p>
        </w:tc>
        <w:tc>
          <w:tcPr>
            <w:tcW w:type="dxa" w:w="5903"/>
            <w:vAlign w:val="center"/>
          </w:tcPr>
          <w:p>
            <w:pPr>
              <w:spacing w:after="0"/>
            </w:pPr>
            <w:r/>
            <w:r>
              <w:rPr>
                <w:rFonts w:ascii="Calibri" w:hAnsi="Calibri"/>
                <w:b w:val="0"/>
                <w:sz w:val="17"/>
              </w:rPr>
              <w:t>Historial paginado de pronósticos.</w:t>
            </w:r>
          </w:p>
        </w:tc>
      </w:tr>
      <w:tr>
        <w:tc>
          <w:tcPr>
            <w:tcW w:type="dxa" w:w="3456"/>
            <w:vAlign w:val="center"/>
          </w:tcPr>
          <w:p>
            <w:pPr>
              <w:spacing w:after="0"/>
            </w:pPr>
            <w:r/>
            <w:r>
              <w:rPr>
                <w:rFonts w:ascii="Calibri" w:hAnsi="Calibri"/>
                <w:b w:val="0"/>
                <w:sz w:val="17"/>
              </w:rPr>
              <w:t>POST /api/v1/trainings</w:t>
            </w:r>
          </w:p>
        </w:tc>
        <w:tc>
          <w:tcPr>
            <w:tcW w:type="dxa" w:w="5903"/>
            <w:vAlign w:val="center"/>
          </w:tcPr>
          <w:p>
            <w:pPr>
              <w:spacing w:after="0"/>
            </w:pPr>
            <w:r/>
            <w:r>
              <w:rPr>
                <w:rFonts w:ascii="Calibri" w:hAnsi="Calibri"/>
                <w:b w:val="0"/>
                <w:sz w:val="17"/>
              </w:rPr>
              <w:t>Inicia entrenamiento distribuido asíncrono.</w:t>
            </w:r>
          </w:p>
        </w:tc>
      </w:tr>
      <w:tr>
        <w:tc>
          <w:tcPr>
            <w:tcW w:type="dxa" w:w="3456"/>
            <w:vAlign w:val="center"/>
          </w:tcPr>
          <w:p>
            <w:pPr>
              <w:spacing w:after="0"/>
            </w:pPr>
            <w:r/>
            <w:r>
              <w:rPr>
                <w:rFonts w:ascii="Calibri" w:hAnsi="Calibri"/>
                <w:b w:val="0"/>
                <w:sz w:val="17"/>
              </w:rPr>
              <w:t>GET /api/v1/models/active</w:t>
            </w:r>
          </w:p>
        </w:tc>
        <w:tc>
          <w:tcPr>
            <w:tcW w:type="dxa" w:w="5903"/>
            <w:vAlign w:val="center"/>
          </w:tcPr>
          <w:p>
            <w:pPr>
              <w:spacing w:after="0"/>
            </w:pPr>
            <w:r/>
            <w:r>
              <w:rPr>
                <w:rFonts w:ascii="Calibri" w:hAnsi="Calibri"/>
                <w:b w:val="0"/>
                <w:sz w:val="17"/>
              </w:rPr>
              <w:t>Modelo activo y métricas.</w:t>
            </w:r>
          </w:p>
        </w:tc>
      </w:tr>
      <w:tr>
        <w:tc>
          <w:tcPr>
            <w:tcW w:type="dxa" w:w="3456"/>
            <w:vAlign w:val="center"/>
          </w:tcPr>
          <w:p>
            <w:pPr>
              <w:spacing w:after="0"/>
            </w:pPr>
            <w:r/>
            <w:r>
              <w:rPr>
                <w:rFonts w:ascii="Calibri" w:hAnsi="Calibri"/>
                <w:b w:val="0"/>
                <w:sz w:val="17"/>
              </w:rPr>
              <w:t>GET /api/v1/cluster/nodes</w:t>
            </w:r>
          </w:p>
        </w:tc>
        <w:tc>
          <w:tcPr>
            <w:tcW w:type="dxa" w:w="5903"/>
            <w:vAlign w:val="center"/>
          </w:tcPr>
          <w:p>
            <w:pPr>
              <w:spacing w:after="0"/>
            </w:pPr>
            <w:r/>
            <w:r>
              <w:rPr>
                <w:rFonts w:ascii="Calibri" w:hAnsi="Calibri"/>
                <w:b w:val="0"/>
                <w:sz w:val="17"/>
              </w:rPr>
              <w:t>Estado y estadísticas de workers.</w:t>
            </w:r>
          </w:p>
        </w:tc>
      </w:tr>
      <w:tr>
        <w:tc>
          <w:tcPr>
            <w:tcW w:type="dxa" w:w="3456"/>
            <w:vAlign w:val="center"/>
          </w:tcPr>
          <w:p>
            <w:pPr>
              <w:spacing w:after="0"/>
            </w:pPr>
            <w:r/>
            <w:r>
              <w:rPr>
                <w:rFonts w:ascii="Calibri" w:hAnsi="Calibri"/>
                <w:b w:val="0"/>
                <w:sz w:val="17"/>
              </w:rPr>
              <w:t>GET /api/v1/reports/sustainability</w:t>
            </w:r>
          </w:p>
        </w:tc>
        <w:tc>
          <w:tcPr>
            <w:tcW w:type="dxa" w:w="5903"/>
            <w:vAlign w:val="center"/>
          </w:tcPr>
          <w:p>
            <w:pPr>
              <w:spacing w:after="0"/>
            </w:pPr>
            <w:r/>
            <w:r>
              <w:rPr>
                <w:rFonts w:ascii="Calibri" w:hAnsi="Calibri"/>
                <w:b w:val="0"/>
                <w:sz w:val="17"/>
              </w:rPr>
              <w:t>Reporte histórico de sostenibilidad.</w:t>
            </w:r>
          </w:p>
        </w:tc>
      </w:tr>
      <w:tr>
        <w:tc>
          <w:tcPr>
            <w:tcW w:type="dxa" w:w="3456"/>
            <w:vAlign w:val="center"/>
          </w:tcPr>
          <w:p>
            <w:pPr>
              <w:spacing w:after="0"/>
            </w:pPr>
            <w:r/>
            <w:r>
              <w:rPr>
                <w:rFonts w:ascii="Calibri" w:hAnsi="Calibri"/>
                <w:b w:val="0"/>
                <w:sz w:val="17"/>
              </w:rPr>
              <w:t>GET /health</w:t>
            </w:r>
          </w:p>
        </w:tc>
        <w:tc>
          <w:tcPr>
            <w:tcW w:type="dxa" w:w="5903"/>
            <w:vAlign w:val="center"/>
          </w:tcPr>
          <w:p>
            <w:pPr>
              <w:spacing w:after="0"/>
            </w:pPr>
            <w:r/>
            <w:r>
              <w:rPr>
                <w:rFonts w:ascii="Calibri" w:hAnsi="Calibri"/>
                <w:b w:val="0"/>
                <w:sz w:val="17"/>
              </w:rPr>
              <w:t>Salud de API, MongoDB, Redis y clúster.</w:t>
            </w:r>
          </w:p>
        </w:tc>
      </w:tr>
      <w:tr>
        <w:tc>
          <w:tcPr>
            <w:tcW w:type="dxa" w:w="3456"/>
            <w:vAlign w:val="center"/>
          </w:tcPr>
          <w:p>
            <w:pPr>
              <w:spacing w:after="0"/>
            </w:pPr>
            <w:r/>
            <w:r>
              <w:rPr>
                <w:rFonts w:ascii="Calibri" w:hAnsi="Calibri"/>
                <w:b w:val="0"/>
                <w:sz w:val="17"/>
              </w:rPr>
              <w:t>GET /ws</w:t>
            </w:r>
          </w:p>
        </w:tc>
        <w:tc>
          <w:tcPr>
            <w:tcW w:type="dxa" w:w="5903"/>
            <w:vAlign w:val="center"/>
          </w:tcPr>
          <w:p>
            <w:pPr>
              <w:spacing w:after="0"/>
            </w:pPr>
            <w:r/>
            <w:r>
              <w:rPr>
                <w:rFonts w:ascii="Calibri" w:hAnsi="Calibri"/>
                <w:b w:val="0"/>
                <w:sz w:val="17"/>
              </w:rPr>
              <w:t>Eventos en tiempo real para frontend.</w:t>
            </w:r>
          </w:p>
        </w:tc>
      </w:tr>
    </w:tbl>
    <w:p>
      <w:pPr>
        <w:spacing w:after="80"/>
      </w:pPr>
    </w:p>
    <w:p>
      <w:pPr>
        <w:pStyle w:val="Heading2"/>
        <w:spacing w:before="240" w:after="120"/>
      </w:pPr>
      <w:r>
        <w:rPr>
          <w:rFonts w:ascii="Calibri" w:hAnsi="Calibri"/>
          <w:b/>
          <w:color w:val="2E74B5"/>
          <w:sz w:val="26"/>
        </w:rPr>
        <w:t>4.4 Persistencia y cache</w:t>
      </w:r>
    </w:p>
    <w:p>
      <w:pPr>
        <w:pStyle w:val="ListBullet"/>
        <w:spacing w:after="80"/>
      </w:pPr>
      <w:r>
        <w:rPr>
          <w:rFonts w:ascii="Calibri" w:hAnsi="Calibri"/>
          <w:sz w:val="21"/>
        </w:rPr>
        <w:t>MongoDB persiste forecasts, modelos, ejecuciones de entrenamiento y eventos del clúster.</w:t>
      </w:r>
    </w:p>
    <w:p>
      <w:pPr>
        <w:pStyle w:val="ListBullet"/>
        <w:spacing w:after="80"/>
      </w:pPr>
      <w:r>
        <w:rPr>
          <w:rFonts w:ascii="Calibri" w:hAnsi="Calibri"/>
          <w:sz w:val="21"/>
        </w:rPr>
        <w:t>Redis almacena cache de respuestas y datos colaborativos de baja latencia.</w:t>
      </w:r>
    </w:p>
    <w:p>
      <w:pPr>
        <w:pStyle w:val="ListBullet"/>
        <w:spacing w:after="80"/>
      </w:pPr>
      <w:r>
        <w:rPr>
          <w:rFonts w:ascii="Calibri" w:hAnsi="Calibri"/>
          <w:sz w:val="21"/>
        </w:rPr>
        <w:t>WebSocket permite emitir eventos forecast.created y forecast.alert.</w:t>
      </w:r>
    </w:p>
    <w:p>
      <w:pPr>
        <w:pStyle w:val="ListBullet"/>
        <w:spacing w:after="80"/>
      </w:pPr>
      <w:r>
        <w:rPr>
          <w:rFonts w:ascii="Calibri" w:hAnsi="Calibri"/>
          <w:sz w:val="21"/>
        </w:rPr>
        <w:t>JWT protege endpoints de negocio sin agregar dependencias de framework web.</w:t>
      </w:r>
    </w:p>
    <w:p>
      <w:pPr>
        <w:pStyle w:val="Heading1"/>
        <w:spacing w:before="320" w:after="160"/>
      </w:pPr>
      <w:r>
        <w:rPr>
          <w:rFonts w:ascii="Calibri" w:hAnsi="Calibri"/>
          <w:b/>
          <w:color w:val="2E74B5"/>
          <w:sz w:val="32"/>
        </w:rPr>
        <w:t>5. Paralelización del cálculo</w:t>
      </w:r>
    </w:p>
    <w:p>
      <w:pPr>
        <w:pStyle w:val="Heading2"/>
        <w:spacing w:before="240" w:after="120"/>
      </w:pPr>
      <w:r>
        <w:rPr>
          <w:rFonts w:ascii="Calibri" w:hAnsi="Calibri"/>
          <w:b/>
          <w:color w:val="2E74B5"/>
          <w:sz w:val="26"/>
        </w:rPr>
        <w:t>5.1 Carga y limpieza concurrente</w:t>
      </w:r>
    </w:p>
    <w:p>
      <w:pPr>
        <w:spacing w:before="0" w:after="120" w:line="264" w:lineRule="auto"/>
      </w:pPr>
      <w:r>
        <w:rPr>
          <w:rFonts w:ascii="Calibri" w:hAnsi="Calibri"/>
          <w:b w:val="0"/>
          <w:i w:val="0"/>
          <w:sz w:val="22"/>
        </w:rPr>
        <w:t>El archivo crudo se divide por rangos de bytes. Cada goroutine procesa una sección del archivo, descarta líneas parciales de borde cuando corresponde y envía un chunk limpio a un channel. La estructura final se combina en el goroutine coordinador, evitando race conditions.</w:t>
      </w:r>
    </w:p>
    <w:p>
      <w:pPr>
        <w:pStyle w:val="Heading2"/>
        <w:spacing w:before="240" w:after="120"/>
      </w:pPr>
      <w:r>
        <w:rPr>
          <w:rFonts w:ascii="Calibri" w:hAnsi="Calibri"/>
          <w:b/>
          <w:color w:val="2E74B5"/>
          <w:sz w:val="26"/>
        </w:rPr>
        <w:t>5.2 Entrenamiento concurrente local</w:t>
      </w:r>
    </w:p>
    <w:p>
      <w:pPr>
        <w:spacing w:before="0" w:after="120" w:line="264" w:lineRule="auto"/>
      </w:pPr>
      <w:r>
        <w:rPr>
          <w:rFonts w:ascii="Calibri" w:hAnsi="Calibri"/>
          <w:b w:val="0"/>
          <w:i w:val="0"/>
          <w:sz w:val="22"/>
        </w:rPr>
        <w:t>En cada época, el dataset se divide en particiones. Cada goroutine calcula gradientes locales sobre una partición de solo lectura. El coordinador agrega los gradientes ponderados y actualiza los pesos una sola vez por época.</w:t>
      </w:r>
    </w:p>
    <w:p>
      <w:pPr>
        <w:pStyle w:val="Heading2"/>
        <w:spacing w:before="240" w:after="120"/>
      </w:pPr>
      <w:r>
        <w:rPr>
          <w:rFonts w:ascii="Calibri" w:hAnsi="Calibri"/>
          <w:b/>
          <w:color w:val="2E74B5"/>
          <w:sz w:val="26"/>
        </w:rPr>
        <w:t>5.3 Entrenamiento distribuido en clúster</w:t>
      </w:r>
    </w:p>
    <w:p>
      <w:pPr>
        <w:spacing w:before="0" w:after="120" w:line="264" w:lineRule="auto"/>
      </w:pPr>
      <w:r>
        <w:rPr>
          <w:rFonts w:ascii="Calibri" w:hAnsi="Calibri"/>
          <w:b w:val="0"/>
          <w:i w:val="0"/>
          <w:sz w:val="22"/>
        </w:rPr>
        <w:t>En modo distribuido, el coordinador reparte shards a workers ML por TCP. Cada nodo calcula gradientes usando goroutines internas y devuelve un gradient_result. Si un nodo falla, el coordinador intenta reasignar el shard a otro nodo saludable.</w:t>
      </w:r>
    </w:p>
    <w:p>
      <w:pPr>
        <w:pStyle w:val="Heading1"/>
        <w:spacing w:before="320" w:after="160"/>
      </w:pPr>
      <w:r>
        <w:rPr>
          <w:rFonts w:ascii="Calibri" w:hAnsi="Calibri"/>
          <w:b/>
          <w:color w:val="2E74B5"/>
          <w:sz w:val="32"/>
        </w:rPr>
        <w:t>6. Resultados científicos y experimentales</w:t>
      </w:r>
    </w:p>
    <w:p>
      <w:pPr>
        <w:pStyle w:val="Heading2"/>
        <w:spacing w:before="240" w:after="120"/>
      </w:pPr>
      <w:r>
        <w:rPr>
          <w:rFonts w:ascii="Calibri" w:hAnsi="Calibri"/>
          <w:b/>
          <w:color w:val="2E74B5"/>
          <w:sz w:val="26"/>
        </w:rPr>
        <w:t>6.1 Calidad de datos</w:t>
      </w:r>
    </w:p>
    <w:tbl>
      <w:tblPr>
        <w:tblW w:type="dxa" w:w="9360"/>
        <w:jc w:val="center"/>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4680"/>
        <w:gridCol w:w="4680"/>
      </w:tblGrid>
      <w:tr>
        <w:tc>
          <w:tcPr>
            <w:tcW w:type="dxa" w:w="4608"/>
            <w:shd w:fill="F2F4F7"/>
            <w:vAlign w:val="center"/>
          </w:tcPr>
          <w:p>
            <w:pPr>
              <w:spacing w:after="0"/>
            </w:pPr>
            <w:r/>
            <w:r>
              <w:rPr>
                <w:rFonts w:ascii="Calibri" w:hAnsi="Calibri"/>
                <w:b/>
                <w:color w:val="0B2545"/>
                <w:sz w:val="18"/>
              </w:rPr>
              <w:t>Métrica</w:t>
            </w:r>
          </w:p>
        </w:tc>
        <w:tc>
          <w:tcPr>
            <w:tcW w:type="dxa" w:w="4752"/>
            <w:shd w:fill="F2F4F7"/>
            <w:vAlign w:val="center"/>
          </w:tcPr>
          <w:p>
            <w:pPr>
              <w:spacing w:after="0"/>
            </w:pPr>
            <w:r/>
            <w:r>
              <w:rPr>
                <w:rFonts w:ascii="Calibri" w:hAnsi="Calibri"/>
                <w:b/>
                <w:color w:val="0B2545"/>
                <w:sz w:val="18"/>
              </w:rPr>
              <w:t>Resultado</w:t>
            </w:r>
          </w:p>
        </w:tc>
      </w:tr>
      <w:tr>
        <w:tc>
          <w:tcPr>
            <w:tcW w:type="dxa" w:w="4608"/>
            <w:vAlign w:val="center"/>
          </w:tcPr>
          <w:p>
            <w:pPr>
              <w:spacing w:after="0"/>
            </w:pPr>
            <w:r/>
            <w:r>
              <w:rPr>
                <w:rFonts w:ascii="Calibri" w:hAnsi="Calibri"/>
                <w:b w:val="0"/>
                <w:sz w:val="18"/>
              </w:rPr>
              <w:t>Filas leídas</w:t>
            </w:r>
          </w:p>
        </w:tc>
        <w:tc>
          <w:tcPr>
            <w:tcW w:type="dxa" w:w="4752"/>
            <w:vAlign w:val="center"/>
          </w:tcPr>
          <w:p>
            <w:pPr>
              <w:spacing w:after="0"/>
            </w:pPr>
            <w:r/>
            <w:r>
              <w:rPr>
                <w:rFonts w:ascii="Calibri" w:hAnsi="Calibri"/>
                <w:b w:val="0"/>
                <w:sz w:val="18"/>
              </w:rPr>
              <w:t>2 075 259</w:t>
            </w:r>
          </w:p>
        </w:tc>
      </w:tr>
      <w:tr>
        <w:tc>
          <w:tcPr>
            <w:tcW w:type="dxa" w:w="4608"/>
            <w:vAlign w:val="center"/>
          </w:tcPr>
          <w:p>
            <w:pPr>
              <w:spacing w:after="0"/>
            </w:pPr>
            <w:r/>
            <w:r>
              <w:rPr>
                <w:rFonts w:ascii="Calibri" w:hAnsi="Calibri"/>
                <w:b w:val="0"/>
                <w:sz w:val="18"/>
              </w:rPr>
              <w:t>Filas válidas</w:t>
            </w:r>
          </w:p>
        </w:tc>
        <w:tc>
          <w:tcPr>
            <w:tcW w:type="dxa" w:w="4752"/>
            <w:vAlign w:val="center"/>
          </w:tcPr>
          <w:p>
            <w:pPr>
              <w:spacing w:after="0"/>
            </w:pPr>
            <w:r/>
            <w:r>
              <w:rPr>
                <w:rFonts w:ascii="Calibri" w:hAnsi="Calibri"/>
                <w:b w:val="0"/>
                <w:sz w:val="18"/>
              </w:rPr>
              <w:t>2 049 280</w:t>
            </w:r>
          </w:p>
        </w:tc>
      </w:tr>
      <w:tr>
        <w:tc>
          <w:tcPr>
            <w:tcW w:type="dxa" w:w="4608"/>
            <w:vAlign w:val="center"/>
          </w:tcPr>
          <w:p>
            <w:pPr>
              <w:spacing w:after="0"/>
            </w:pPr>
            <w:r/>
            <w:r>
              <w:rPr>
                <w:rFonts w:ascii="Calibri" w:hAnsi="Calibri"/>
                <w:b w:val="0"/>
                <w:sz w:val="18"/>
              </w:rPr>
              <w:t>Filas descartadas por valores faltantes</w:t>
            </w:r>
          </w:p>
        </w:tc>
        <w:tc>
          <w:tcPr>
            <w:tcW w:type="dxa" w:w="4752"/>
            <w:vAlign w:val="center"/>
          </w:tcPr>
          <w:p>
            <w:pPr>
              <w:spacing w:after="0"/>
            </w:pPr>
            <w:r/>
            <w:r>
              <w:rPr>
                <w:rFonts w:ascii="Calibri" w:hAnsi="Calibri"/>
                <w:b w:val="0"/>
                <w:sz w:val="18"/>
              </w:rPr>
              <w:t>25 979</w:t>
            </w:r>
          </w:p>
        </w:tc>
      </w:tr>
      <w:tr>
        <w:tc>
          <w:tcPr>
            <w:tcW w:type="dxa" w:w="4608"/>
            <w:vAlign w:val="center"/>
          </w:tcPr>
          <w:p>
            <w:pPr>
              <w:spacing w:after="0"/>
            </w:pPr>
            <w:r/>
            <w:r>
              <w:rPr>
                <w:rFonts w:ascii="Calibri" w:hAnsi="Calibri"/>
                <w:b w:val="0"/>
                <w:sz w:val="18"/>
              </w:rPr>
              <w:t>Filas descartadas por valores inválidos</w:t>
            </w:r>
          </w:p>
        </w:tc>
        <w:tc>
          <w:tcPr>
            <w:tcW w:type="dxa" w:w="4752"/>
            <w:vAlign w:val="center"/>
          </w:tcPr>
          <w:p>
            <w:pPr>
              <w:spacing w:after="0"/>
            </w:pPr>
            <w:r/>
            <w:r>
              <w:rPr>
                <w:rFonts w:ascii="Calibri" w:hAnsi="Calibri"/>
                <w:b w:val="0"/>
                <w:sz w:val="18"/>
              </w:rPr>
              <w:t>0</w:t>
            </w:r>
          </w:p>
        </w:tc>
      </w:tr>
      <w:tr>
        <w:tc>
          <w:tcPr>
            <w:tcW w:type="dxa" w:w="4608"/>
            <w:vAlign w:val="center"/>
          </w:tcPr>
          <w:p>
            <w:pPr>
              <w:spacing w:after="0"/>
            </w:pPr>
            <w:r/>
            <w:r>
              <w:rPr>
                <w:rFonts w:ascii="Calibri" w:hAnsi="Calibri"/>
                <w:b w:val="0"/>
                <w:sz w:val="18"/>
              </w:rPr>
              <w:t>Ventanas predictivas totales</w:t>
            </w:r>
          </w:p>
        </w:tc>
        <w:tc>
          <w:tcPr>
            <w:tcW w:type="dxa" w:w="4752"/>
            <w:vAlign w:val="center"/>
          </w:tcPr>
          <w:p>
            <w:pPr>
              <w:spacing w:after="0"/>
            </w:pPr>
            <w:r/>
            <w:r>
              <w:rPr>
                <w:rFonts w:ascii="Calibri" w:hAnsi="Calibri"/>
                <w:b w:val="0"/>
                <w:sz w:val="18"/>
              </w:rPr>
              <w:t>409 239</w:t>
            </w:r>
          </w:p>
        </w:tc>
      </w:tr>
      <w:tr>
        <w:tc>
          <w:tcPr>
            <w:tcW w:type="dxa" w:w="4608"/>
            <w:vAlign w:val="center"/>
          </w:tcPr>
          <w:p>
            <w:pPr>
              <w:spacing w:after="0"/>
            </w:pPr>
            <w:r/>
            <w:r>
              <w:rPr>
                <w:rFonts w:ascii="Calibri" w:hAnsi="Calibri"/>
                <w:b w:val="0"/>
                <w:sz w:val="18"/>
              </w:rPr>
              <w:t>Ventanas de entrenamiento</w:t>
            </w:r>
          </w:p>
        </w:tc>
        <w:tc>
          <w:tcPr>
            <w:tcW w:type="dxa" w:w="4752"/>
            <w:vAlign w:val="center"/>
          </w:tcPr>
          <w:p>
            <w:pPr>
              <w:spacing w:after="0"/>
            </w:pPr>
            <w:r/>
            <w:r>
              <w:rPr>
                <w:rFonts w:ascii="Calibri" w:hAnsi="Calibri"/>
                <w:b w:val="0"/>
                <w:sz w:val="18"/>
              </w:rPr>
              <w:t>327 391</w:t>
            </w:r>
          </w:p>
        </w:tc>
      </w:tr>
      <w:tr>
        <w:tc>
          <w:tcPr>
            <w:tcW w:type="dxa" w:w="4608"/>
            <w:vAlign w:val="center"/>
          </w:tcPr>
          <w:p>
            <w:pPr>
              <w:spacing w:after="0"/>
            </w:pPr>
            <w:r/>
            <w:r>
              <w:rPr>
                <w:rFonts w:ascii="Calibri" w:hAnsi="Calibri"/>
                <w:b w:val="0"/>
                <w:sz w:val="18"/>
              </w:rPr>
              <w:t>Ventanas de prueba</w:t>
            </w:r>
          </w:p>
        </w:tc>
        <w:tc>
          <w:tcPr>
            <w:tcW w:type="dxa" w:w="4752"/>
            <w:vAlign w:val="center"/>
          </w:tcPr>
          <w:p>
            <w:pPr>
              <w:spacing w:after="0"/>
            </w:pPr>
            <w:r/>
            <w:r>
              <w:rPr>
                <w:rFonts w:ascii="Calibri" w:hAnsi="Calibri"/>
                <w:b w:val="0"/>
                <w:sz w:val="18"/>
              </w:rPr>
              <w:t>81 848</w:t>
            </w:r>
          </w:p>
        </w:tc>
      </w:tr>
    </w:tbl>
    <w:p>
      <w:pPr>
        <w:spacing w:after="80"/>
      </w:pPr>
    </w:p>
    <w:p>
      <w:pPr>
        <w:pStyle w:val="Heading2"/>
        <w:spacing w:before="240" w:after="120"/>
      </w:pPr>
      <w:r>
        <w:rPr>
          <w:rFonts w:ascii="Calibri" w:hAnsi="Calibri"/>
          <w:b/>
          <w:color w:val="2E74B5"/>
          <w:sz w:val="26"/>
        </w:rPr>
        <w:t>6.2 Patrones horarios, semanales y estacionales</w:t>
      </w:r>
    </w:p>
    <w:p>
      <w:pPr>
        <w:jc w:val="center"/>
      </w:pPr>
      <w:r>
        <w:drawing>
          <wp:inline xmlns:a="http://schemas.openxmlformats.org/drawingml/2006/main" xmlns:pic="http://schemas.openxmlformats.org/drawingml/2006/picture">
            <wp:extent cx="5943600" cy="2377440"/>
            <wp:docPr id="2" name="Picture 2"/>
            <wp:cNvGraphicFramePr>
              <a:graphicFrameLocks noChangeAspect="1"/>
            </wp:cNvGraphicFramePr>
            <a:graphic>
              <a:graphicData uri="http://schemas.openxmlformats.org/drawingml/2006/picture">
                <pic:pic>
                  <pic:nvPicPr>
                    <pic:cNvPr id="0" name="hourly.png"/>
                    <pic:cNvPicPr/>
                  </pic:nvPicPr>
                  <pic:blipFill>
                    <a:blip r:embed="rId12"/>
                    <a:stretch>
                      <a:fillRect/>
                    </a:stretch>
                  </pic:blipFill>
                  <pic:spPr>
                    <a:xfrm>
                      <a:off x="0" y="0"/>
                      <a:ext cx="5943600" cy="2377440"/>
                    </a:xfrm>
                    <a:prstGeom prst="rect"/>
                  </pic:spPr>
                </pic:pic>
              </a:graphicData>
            </a:graphic>
          </wp:inline>
        </w:drawing>
      </w:r>
    </w:p>
    <w:p>
      <w:pPr>
        <w:spacing w:before="0" w:after="120" w:line="264" w:lineRule="auto"/>
        <w:jc w:val="center"/>
      </w:pPr>
      <w:r>
        <w:rPr>
          <w:rFonts w:ascii="Calibri" w:hAnsi="Calibri"/>
          <w:b w:val="0"/>
          <w:i w:val="0"/>
          <w:color w:val="5A5A5A"/>
          <w:sz w:val="18"/>
        </w:rPr>
        <w:t>Figura 2. La concentración histórica más alta aparece entre 19:00 y 21:00.</w:t>
      </w:r>
    </w:p>
    <w:p>
      <w:pPr>
        <w:jc w:val="center"/>
      </w:pPr>
      <w:r>
        <w:drawing>
          <wp:inline xmlns:a="http://schemas.openxmlformats.org/drawingml/2006/main" xmlns:pic="http://schemas.openxmlformats.org/drawingml/2006/picture">
            <wp:extent cx="5943600" cy="2377440"/>
            <wp:docPr id="3" name="Picture 3"/>
            <wp:cNvGraphicFramePr>
              <a:graphicFrameLocks noChangeAspect="1"/>
            </wp:cNvGraphicFramePr>
            <a:graphic>
              <a:graphicData uri="http://schemas.openxmlformats.org/drawingml/2006/picture">
                <pic:pic>
                  <pic:nvPicPr>
                    <pic:cNvPr id="0" name="monthly.png"/>
                    <pic:cNvPicPr/>
                  </pic:nvPicPr>
                  <pic:blipFill>
                    <a:blip r:embed="rId13"/>
                    <a:stretch>
                      <a:fillRect/>
                    </a:stretch>
                  </pic:blipFill>
                  <pic:spPr>
                    <a:xfrm>
                      <a:off x="0" y="0"/>
                      <a:ext cx="5943600" cy="2377440"/>
                    </a:xfrm>
                    <a:prstGeom prst="rect"/>
                  </pic:spPr>
                </pic:pic>
              </a:graphicData>
            </a:graphic>
          </wp:inline>
        </w:drawing>
      </w:r>
    </w:p>
    <w:p>
      <w:pPr>
        <w:spacing w:before="0" w:after="120" w:line="264" w:lineRule="auto"/>
        <w:jc w:val="center"/>
      </w:pPr>
      <w:r>
        <w:rPr>
          <w:rFonts w:ascii="Calibri" w:hAnsi="Calibri"/>
          <w:b w:val="0"/>
          <w:i w:val="0"/>
          <w:color w:val="5A5A5A"/>
          <w:sz w:val="18"/>
        </w:rPr>
        <w:t>Figura 3. Los meses con mayor tasa histórica son diciembre y enero, seguidos por febrero y noviembre.</w:t>
      </w:r>
    </w:p>
    <w:tbl>
      <w:tblPr>
        <w:tblW w:type="dxa" w:w="9360"/>
        <w:jc w:val="center"/>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4680"/>
        <w:gridCol w:w="4680"/>
      </w:tblGrid>
      <w:tr>
        <w:tc>
          <w:tcPr>
            <w:tcW w:type="dxa" w:w="3168"/>
            <w:shd w:fill="F2F4F7"/>
            <w:vAlign w:val="center"/>
          </w:tcPr>
          <w:p>
            <w:pPr>
              <w:spacing w:after="0"/>
            </w:pPr>
            <w:r/>
            <w:r>
              <w:rPr>
                <w:rFonts w:ascii="Calibri" w:hAnsi="Calibri"/>
                <w:b/>
                <w:color w:val="0B2545"/>
                <w:sz w:val="18"/>
              </w:rPr>
              <w:t>Patrón</w:t>
            </w:r>
          </w:p>
        </w:tc>
        <w:tc>
          <w:tcPr>
            <w:tcW w:type="dxa" w:w="6192"/>
            <w:shd w:fill="F2F4F7"/>
            <w:vAlign w:val="center"/>
          </w:tcPr>
          <w:p>
            <w:pPr>
              <w:spacing w:after="0"/>
            </w:pPr>
            <w:r/>
            <w:r>
              <w:rPr>
                <w:rFonts w:ascii="Calibri" w:hAnsi="Calibri"/>
                <w:b/>
                <w:color w:val="0B2545"/>
                <w:sz w:val="18"/>
              </w:rPr>
              <w:t>Resultado principal</w:t>
            </w:r>
          </w:p>
        </w:tc>
      </w:tr>
      <w:tr>
        <w:tc>
          <w:tcPr>
            <w:tcW w:type="dxa" w:w="3168"/>
            <w:vAlign w:val="center"/>
          </w:tcPr>
          <w:p>
            <w:pPr>
              <w:spacing w:after="0"/>
            </w:pPr>
            <w:r/>
            <w:r>
              <w:rPr>
                <w:rFonts w:ascii="Calibri" w:hAnsi="Calibri"/>
                <w:b w:val="0"/>
                <w:sz w:val="17"/>
              </w:rPr>
              <w:t>Horas pico</w:t>
            </w:r>
          </w:p>
        </w:tc>
        <w:tc>
          <w:tcPr>
            <w:tcW w:type="dxa" w:w="6192"/>
            <w:vAlign w:val="center"/>
          </w:tcPr>
          <w:p>
            <w:pPr>
              <w:spacing w:after="0"/>
            </w:pPr>
            <w:r/>
            <w:r>
              <w:rPr>
                <w:rFonts w:ascii="Calibri" w:hAnsi="Calibri"/>
                <w:b w:val="0"/>
                <w:sz w:val="17"/>
              </w:rPr>
              <w:t>21:00 (56.24%), 20:00 (55.32%), 19:00 (49.08%).</w:t>
            </w:r>
          </w:p>
        </w:tc>
      </w:tr>
      <w:tr>
        <w:tc>
          <w:tcPr>
            <w:tcW w:type="dxa" w:w="3168"/>
            <w:vAlign w:val="center"/>
          </w:tcPr>
          <w:p>
            <w:pPr>
              <w:spacing w:after="0"/>
            </w:pPr>
            <w:r/>
            <w:r>
              <w:rPr>
                <w:rFonts w:ascii="Calibri" w:hAnsi="Calibri"/>
                <w:b w:val="0"/>
                <w:sz w:val="17"/>
              </w:rPr>
              <w:t>Días de mayor tasa global</w:t>
            </w:r>
          </w:p>
        </w:tc>
        <w:tc>
          <w:tcPr>
            <w:tcW w:type="dxa" w:w="6192"/>
            <w:vAlign w:val="center"/>
          </w:tcPr>
          <w:p>
            <w:pPr>
              <w:spacing w:after="0"/>
            </w:pPr>
            <w:r/>
            <w:r>
              <w:rPr>
                <w:rFonts w:ascii="Calibri" w:hAnsi="Calibri"/>
                <w:b w:val="0"/>
                <w:sz w:val="17"/>
              </w:rPr>
              <w:t>Sábado (31.54%) y domingo (30.17%).</w:t>
            </w:r>
          </w:p>
        </w:tc>
      </w:tr>
      <w:tr>
        <w:tc>
          <w:tcPr>
            <w:tcW w:type="dxa" w:w="3168"/>
            <w:vAlign w:val="center"/>
          </w:tcPr>
          <w:p>
            <w:pPr>
              <w:spacing w:after="0"/>
            </w:pPr>
            <w:r/>
            <w:r>
              <w:rPr>
                <w:rFonts w:ascii="Calibri" w:hAnsi="Calibri"/>
                <w:b w:val="0"/>
                <w:sz w:val="17"/>
              </w:rPr>
              <w:t>Combinaciones día-hora</w:t>
            </w:r>
          </w:p>
        </w:tc>
        <w:tc>
          <w:tcPr>
            <w:tcW w:type="dxa" w:w="6192"/>
            <w:vAlign w:val="center"/>
          </w:tcPr>
          <w:p>
            <w:pPr>
              <w:spacing w:after="0"/>
            </w:pPr>
            <w:r/>
            <w:r>
              <w:rPr>
                <w:rFonts w:ascii="Calibri" w:hAnsi="Calibri"/>
                <w:b w:val="0"/>
                <w:sz w:val="17"/>
              </w:rPr>
              <w:t>Domingo 21:00 (63.44%), miércoles 07:00 (62.99%), domingo 20:00 (62.22%).</w:t>
            </w:r>
          </w:p>
        </w:tc>
      </w:tr>
      <w:tr>
        <w:tc>
          <w:tcPr>
            <w:tcW w:type="dxa" w:w="3168"/>
            <w:vAlign w:val="center"/>
          </w:tcPr>
          <w:p>
            <w:pPr>
              <w:spacing w:after="0"/>
            </w:pPr>
            <w:r/>
            <w:r>
              <w:rPr>
                <w:rFonts w:ascii="Calibri" w:hAnsi="Calibri"/>
                <w:b w:val="0"/>
                <w:sz w:val="17"/>
              </w:rPr>
              <w:t>Fechas recurrentes</w:t>
            </w:r>
          </w:p>
        </w:tc>
        <w:tc>
          <w:tcPr>
            <w:tcW w:type="dxa" w:w="6192"/>
            <w:vAlign w:val="center"/>
          </w:tcPr>
          <w:p>
            <w:pPr>
              <w:spacing w:after="0"/>
            </w:pPr>
            <w:r/>
            <w:r>
              <w:rPr>
                <w:rFonts w:ascii="Calibri" w:hAnsi="Calibri"/>
                <w:b w:val="0"/>
                <w:sz w:val="17"/>
              </w:rPr>
              <w:t>January 28 (55.11%), February 03 (55.02%), December 31 (54.39%).</w:t>
            </w:r>
          </w:p>
        </w:tc>
      </w:tr>
    </w:tbl>
    <w:p>
      <w:pPr>
        <w:spacing w:after="80"/>
      </w:pPr>
    </w:p>
    <w:p>
      <w:pPr>
        <w:pStyle w:val="Heading2"/>
        <w:spacing w:before="240" w:after="120"/>
      </w:pPr>
      <w:r>
        <w:rPr>
          <w:rFonts w:ascii="Calibri" w:hAnsi="Calibri"/>
          <w:b/>
          <w:color w:val="2E74B5"/>
          <w:sz w:val="26"/>
        </w:rPr>
        <w:t>6.3 Métricas del modelo ML</w:t>
      </w:r>
    </w:p>
    <w:tbl>
      <w:tblPr>
        <w:tblW w:type="dxa" w:w="9360"/>
        <w:jc w:val="center"/>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120"/>
        <w:gridCol w:w="3120"/>
        <w:gridCol w:w="3120"/>
      </w:tblGrid>
      <w:tr>
        <w:tc>
          <w:tcPr>
            <w:tcW w:type="dxa" w:w="3311"/>
            <w:shd w:fill="F2F4F7"/>
            <w:vAlign w:val="center"/>
          </w:tcPr>
          <w:p>
            <w:pPr>
              <w:spacing w:after="0"/>
            </w:pPr>
            <w:r/>
            <w:r>
              <w:rPr>
                <w:rFonts w:ascii="Calibri" w:hAnsi="Calibri"/>
                <w:b/>
                <w:color w:val="0B2545"/>
                <w:sz w:val="18"/>
              </w:rPr>
              <w:t>Métrica</w:t>
            </w:r>
          </w:p>
        </w:tc>
        <w:tc>
          <w:tcPr>
            <w:tcW w:type="dxa" w:w="3024"/>
            <w:shd w:fill="F2F4F7"/>
            <w:vAlign w:val="center"/>
          </w:tcPr>
          <w:p>
            <w:pPr>
              <w:spacing w:after="0"/>
            </w:pPr>
            <w:r/>
            <w:r>
              <w:rPr>
                <w:rFonts w:ascii="Calibri" w:hAnsi="Calibri"/>
                <w:b/>
                <w:color w:val="0B2545"/>
                <w:sz w:val="18"/>
              </w:rPr>
              <w:t>Entrenamiento</w:t>
            </w:r>
          </w:p>
        </w:tc>
        <w:tc>
          <w:tcPr>
            <w:tcW w:type="dxa" w:w="3024"/>
            <w:shd w:fill="F2F4F7"/>
            <w:vAlign w:val="center"/>
          </w:tcPr>
          <w:p>
            <w:pPr>
              <w:spacing w:after="0"/>
            </w:pPr>
            <w:r/>
            <w:r>
              <w:rPr>
                <w:rFonts w:ascii="Calibri" w:hAnsi="Calibri"/>
                <w:b/>
                <w:color w:val="0B2545"/>
                <w:sz w:val="18"/>
              </w:rPr>
              <w:t>Prueba</w:t>
            </w:r>
          </w:p>
        </w:tc>
      </w:tr>
      <w:tr>
        <w:tc>
          <w:tcPr>
            <w:tcW w:type="dxa" w:w="3311"/>
            <w:vAlign w:val="center"/>
          </w:tcPr>
          <w:p>
            <w:pPr>
              <w:spacing w:after="0"/>
            </w:pPr>
            <w:r/>
            <w:r>
              <w:rPr>
                <w:rFonts w:ascii="Calibri" w:hAnsi="Calibri"/>
                <w:b w:val="0"/>
                <w:sz w:val="18"/>
              </w:rPr>
              <w:t>Accuracy</w:t>
            </w:r>
          </w:p>
        </w:tc>
        <w:tc>
          <w:tcPr>
            <w:tcW w:type="dxa" w:w="3024"/>
            <w:vAlign w:val="center"/>
          </w:tcPr>
          <w:p>
            <w:pPr>
              <w:spacing w:after="0"/>
            </w:pPr>
            <w:r/>
            <w:r>
              <w:rPr>
                <w:rFonts w:ascii="Calibri" w:hAnsi="Calibri"/>
                <w:b w:val="0"/>
                <w:sz w:val="18"/>
              </w:rPr>
              <w:t>81.15%</w:t>
            </w:r>
          </w:p>
        </w:tc>
        <w:tc>
          <w:tcPr>
            <w:tcW w:type="dxa" w:w="3024"/>
            <w:vAlign w:val="center"/>
          </w:tcPr>
          <w:p>
            <w:pPr>
              <w:spacing w:after="0"/>
            </w:pPr>
            <w:r/>
            <w:r>
              <w:rPr>
                <w:rFonts w:ascii="Calibri" w:hAnsi="Calibri"/>
                <w:b w:val="0"/>
                <w:sz w:val="18"/>
              </w:rPr>
              <w:t>79.29%</w:t>
            </w:r>
          </w:p>
        </w:tc>
      </w:tr>
      <w:tr>
        <w:tc>
          <w:tcPr>
            <w:tcW w:type="dxa" w:w="3311"/>
            <w:vAlign w:val="center"/>
          </w:tcPr>
          <w:p>
            <w:pPr>
              <w:spacing w:after="0"/>
            </w:pPr>
            <w:r/>
            <w:r>
              <w:rPr>
                <w:rFonts w:ascii="Calibri" w:hAnsi="Calibri"/>
                <w:b w:val="0"/>
                <w:sz w:val="18"/>
              </w:rPr>
              <w:t>Precision</w:t>
            </w:r>
          </w:p>
        </w:tc>
        <w:tc>
          <w:tcPr>
            <w:tcW w:type="dxa" w:w="3024"/>
            <w:vAlign w:val="center"/>
          </w:tcPr>
          <w:p>
            <w:pPr>
              <w:spacing w:after="0"/>
            </w:pPr>
            <w:r/>
            <w:r>
              <w:rPr>
                <w:rFonts w:ascii="Calibri" w:hAnsi="Calibri"/>
                <w:b w:val="0"/>
                <w:sz w:val="18"/>
              </w:rPr>
              <w:t>63.02%</w:t>
            </w:r>
          </w:p>
        </w:tc>
        <w:tc>
          <w:tcPr>
            <w:tcW w:type="dxa" w:w="3024"/>
            <w:vAlign w:val="center"/>
          </w:tcPr>
          <w:p>
            <w:pPr>
              <w:spacing w:after="0"/>
            </w:pPr>
            <w:r/>
            <w:r>
              <w:rPr>
                <w:rFonts w:ascii="Calibri" w:hAnsi="Calibri"/>
                <w:b w:val="0"/>
                <w:sz w:val="18"/>
              </w:rPr>
              <w:t>57.09%</w:t>
            </w:r>
          </w:p>
        </w:tc>
      </w:tr>
      <w:tr>
        <w:tc>
          <w:tcPr>
            <w:tcW w:type="dxa" w:w="3311"/>
            <w:vAlign w:val="center"/>
          </w:tcPr>
          <w:p>
            <w:pPr>
              <w:spacing w:after="0"/>
            </w:pPr>
            <w:r/>
            <w:r>
              <w:rPr>
                <w:rFonts w:ascii="Calibri" w:hAnsi="Calibri"/>
                <w:b w:val="0"/>
                <w:sz w:val="18"/>
              </w:rPr>
              <w:t>Recall</w:t>
            </w:r>
          </w:p>
        </w:tc>
        <w:tc>
          <w:tcPr>
            <w:tcW w:type="dxa" w:w="3024"/>
            <w:vAlign w:val="center"/>
          </w:tcPr>
          <w:p>
            <w:pPr>
              <w:spacing w:after="0"/>
            </w:pPr>
            <w:r/>
            <w:r>
              <w:rPr>
                <w:rFonts w:ascii="Calibri" w:hAnsi="Calibri"/>
                <w:b w:val="0"/>
                <w:sz w:val="18"/>
              </w:rPr>
              <w:t>88.86%</w:t>
            </w:r>
          </w:p>
        </w:tc>
        <w:tc>
          <w:tcPr>
            <w:tcW w:type="dxa" w:w="3024"/>
            <w:vAlign w:val="center"/>
          </w:tcPr>
          <w:p>
            <w:pPr>
              <w:spacing w:after="0"/>
            </w:pPr>
            <w:r/>
            <w:r>
              <w:rPr>
                <w:rFonts w:ascii="Calibri" w:hAnsi="Calibri"/>
                <w:b w:val="0"/>
                <w:sz w:val="18"/>
              </w:rPr>
              <w:t>87.90%</w:t>
            </w:r>
          </w:p>
        </w:tc>
      </w:tr>
      <w:tr>
        <w:tc>
          <w:tcPr>
            <w:tcW w:type="dxa" w:w="3311"/>
            <w:vAlign w:val="center"/>
          </w:tcPr>
          <w:p>
            <w:pPr>
              <w:spacing w:after="0"/>
            </w:pPr>
            <w:r/>
            <w:r>
              <w:rPr>
                <w:rFonts w:ascii="Calibri" w:hAnsi="Calibri"/>
                <w:b w:val="0"/>
                <w:sz w:val="18"/>
              </w:rPr>
              <w:t>Specificity</w:t>
            </w:r>
          </w:p>
        </w:tc>
        <w:tc>
          <w:tcPr>
            <w:tcW w:type="dxa" w:w="3024"/>
            <w:vAlign w:val="center"/>
          </w:tcPr>
          <w:p>
            <w:pPr>
              <w:spacing w:after="0"/>
            </w:pPr>
            <w:r/>
            <w:r>
              <w:rPr>
                <w:rFonts w:ascii="Calibri" w:hAnsi="Calibri"/>
                <w:b w:val="0"/>
                <w:sz w:val="18"/>
              </w:rPr>
              <w:t>77.88%</w:t>
            </w:r>
          </w:p>
        </w:tc>
        <w:tc>
          <w:tcPr>
            <w:tcW w:type="dxa" w:w="3024"/>
            <w:vAlign w:val="center"/>
          </w:tcPr>
          <w:p>
            <w:pPr>
              <w:spacing w:after="0"/>
            </w:pPr>
            <w:r/>
            <w:r>
              <w:rPr>
                <w:rFonts w:ascii="Calibri" w:hAnsi="Calibri"/>
                <w:b w:val="0"/>
                <w:sz w:val="18"/>
              </w:rPr>
              <w:t>76.20%</w:t>
            </w:r>
          </w:p>
        </w:tc>
      </w:tr>
      <w:tr>
        <w:tc>
          <w:tcPr>
            <w:tcW w:type="dxa" w:w="3311"/>
            <w:vAlign w:val="center"/>
          </w:tcPr>
          <w:p>
            <w:pPr>
              <w:spacing w:after="0"/>
            </w:pPr>
            <w:r/>
            <w:r>
              <w:rPr>
                <w:rFonts w:ascii="Calibri" w:hAnsi="Calibri"/>
                <w:b w:val="0"/>
                <w:sz w:val="18"/>
              </w:rPr>
              <w:t>F1-score</w:t>
            </w:r>
          </w:p>
        </w:tc>
        <w:tc>
          <w:tcPr>
            <w:tcW w:type="dxa" w:w="3024"/>
            <w:vAlign w:val="center"/>
          </w:tcPr>
          <w:p>
            <w:pPr>
              <w:spacing w:after="0"/>
            </w:pPr>
            <w:r/>
            <w:r>
              <w:rPr>
                <w:rFonts w:ascii="Calibri" w:hAnsi="Calibri"/>
                <w:b w:val="0"/>
                <w:sz w:val="18"/>
              </w:rPr>
              <w:t>73.74%</w:t>
            </w:r>
          </w:p>
        </w:tc>
        <w:tc>
          <w:tcPr>
            <w:tcW w:type="dxa" w:w="3024"/>
            <w:vAlign w:val="center"/>
          </w:tcPr>
          <w:p>
            <w:pPr>
              <w:spacing w:after="0"/>
            </w:pPr>
            <w:r/>
            <w:r>
              <w:rPr>
                <w:rFonts w:ascii="Calibri" w:hAnsi="Calibri"/>
                <w:b w:val="0"/>
                <w:sz w:val="18"/>
              </w:rPr>
              <w:t>69.22%</w:t>
            </w:r>
          </w:p>
        </w:tc>
      </w:tr>
      <w:tr>
        <w:tc>
          <w:tcPr>
            <w:tcW w:type="dxa" w:w="3311"/>
            <w:vAlign w:val="center"/>
          </w:tcPr>
          <w:p>
            <w:pPr>
              <w:spacing w:after="0"/>
            </w:pPr>
            <w:r/>
            <w:r>
              <w:rPr>
                <w:rFonts w:ascii="Calibri" w:hAnsi="Calibri"/>
                <w:b w:val="0"/>
                <w:sz w:val="18"/>
              </w:rPr>
              <w:t>Balanced accuracy</w:t>
            </w:r>
          </w:p>
        </w:tc>
        <w:tc>
          <w:tcPr>
            <w:tcW w:type="dxa" w:w="3024"/>
            <w:vAlign w:val="center"/>
          </w:tcPr>
          <w:p>
            <w:pPr>
              <w:spacing w:after="0"/>
            </w:pPr>
            <w:r/>
            <w:r>
              <w:rPr>
                <w:rFonts w:ascii="Calibri" w:hAnsi="Calibri"/>
                <w:b w:val="0"/>
                <w:sz w:val="18"/>
              </w:rPr>
              <w:t>83.37%</w:t>
            </w:r>
          </w:p>
        </w:tc>
        <w:tc>
          <w:tcPr>
            <w:tcW w:type="dxa" w:w="3024"/>
            <w:vAlign w:val="center"/>
          </w:tcPr>
          <w:p>
            <w:pPr>
              <w:spacing w:after="0"/>
            </w:pPr>
            <w:r/>
            <w:r>
              <w:rPr>
                <w:rFonts w:ascii="Calibri" w:hAnsi="Calibri"/>
                <w:b w:val="0"/>
                <w:sz w:val="18"/>
              </w:rPr>
              <w:t>82.05%</w:t>
            </w:r>
          </w:p>
        </w:tc>
      </w:tr>
      <w:tr>
        <w:tc>
          <w:tcPr>
            <w:tcW w:type="dxa" w:w="3311"/>
            <w:vAlign w:val="center"/>
          </w:tcPr>
          <w:p>
            <w:pPr>
              <w:spacing w:after="0"/>
            </w:pPr>
            <w:r/>
            <w:r>
              <w:rPr>
                <w:rFonts w:ascii="Calibri" w:hAnsi="Calibri"/>
                <w:b w:val="0"/>
                <w:sz w:val="18"/>
              </w:rPr>
              <w:t>Loss</w:t>
            </w:r>
          </w:p>
        </w:tc>
        <w:tc>
          <w:tcPr>
            <w:tcW w:type="dxa" w:w="3024"/>
            <w:vAlign w:val="center"/>
          </w:tcPr>
          <w:p>
            <w:pPr>
              <w:spacing w:after="0"/>
            </w:pPr>
            <w:r/>
            <w:r>
              <w:rPr>
                <w:rFonts w:ascii="Calibri" w:hAnsi="Calibri"/>
                <w:b w:val="0"/>
                <w:sz w:val="18"/>
              </w:rPr>
              <w:t>0.4271</w:t>
            </w:r>
          </w:p>
        </w:tc>
        <w:tc>
          <w:tcPr>
            <w:tcW w:type="dxa" w:w="3024"/>
            <w:vAlign w:val="center"/>
          </w:tcPr>
          <w:p>
            <w:pPr>
              <w:spacing w:after="0"/>
            </w:pPr>
            <w:r/>
            <w:r>
              <w:rPr>
                <w:rFonts w:ascii="Calibri" w:hAnsi="Calibri"/>
                <w:b w:val="0"/>
                <w:sz w:val="18"/>
              </w:rPr>
              <w:t>0.4379</w:t>
            </w:r>
          </w:p>
        </w:tc>
      </w:tr>
    </w:tbl>
    <w:p>
      <w:pPr>
        <w:spacing w:after="80"/>
      </w:pPr>
    </w:p>
    <w:p>
      <w:pPr>
        <w:jc w:val="center"/>
      </w:pPr>
      <w:r>
        <w:drawing>
          <wp:inline xmlns:a="http://schemas.openxmlformats.org/drawingml/2006/main" xmlns:pic="http://schemas.openxmlformats.org/drawingml/2006/picture">
            <wp:extent cx="4480560" cy="3278459"/>
            <wp:docPr id="4" name="Picture 4"/>
            <wp:cNvGraphicFramePr>
              <a:graphicFrameLocks noChangeAspect="1"/>
            </wp:cNvGraphicFramePr>
            <a:graphic>
              <a:graphicData uri="http://schemas.openxmlformats.org/drawingml/2006/picture">
                <pic:pic>
                  <pic:nvPicPr>
                    <pic:cNvPr id="0" name="confusion.png"/>
                    <pic:cNvPicPr/>
                  </pic:nvPicPr>
                  <pic:blipFill>
                    <a:blip r:embed="rId14"/>
                    <a:stretch>
                      <a:fillRect/>
                    </a:stretch>
                  </pic:blipFill>
                  <pic:spPr>
                    <a:xfrm>
                      <a:off x="0" y="0"/>
                      <a:ext cx="4480560" cy="3278459"/>
                    </a:xfrm>
                    <a:prstGeom prst="rect"/>
                  </pic:spPr>
                </pic:pic>
              </a:graphicData>
            </a:graphic>
          </wp:inline>
        </w:drawing>
      </w:r>
    </w:p>
    <w:p>
      <w:pPr>
        <w:spacing w:before="0" w:after="120" w:line="264" w:lineRule="auto"/>
        <w:jc w:val="center"/>
      </w:pPr>
      <w:r>
        <w:rPr>
          <w:rFonts w:ascii="Calibri" w:hAnsi="Calibri"/>
          <w:b w:val="0"/>
          <w:i w:val="0"/>
          <w:color w:val="5A5A5A"/>
          <w:sz w:val="18"/>
        </w:rPr>
        <w:t>Figura 4. Matriz de confusión sobre el conjunto temporal de prueba.</w:t>
      </w:r>
    </w:p>
    <w:p>
      <w:pPr>
        <w:spacing w:before="0" w:after="120" w:line="264" w:lineRule="auto"/>
      </w:pPr>
      <w:r>
        <w:rPr>
          <w:rFonts w:ascii="Calibri" w:hAnsi="Calibri"/>
          <w:b w:val="0"/>
          <w:i w:val="0"/>
          <w:sz w:val="22"/>
        </w:rPr>
        <w:t>El recall de 87.90% es especialmente relevante para una aplicación preventiva: el sistema prioriza detectar la mayor cantidad posible de periodos futuros de riesgo. La precisión de 57.09% implica que algunas alertas pueden ser conservadoras, pero este compromiso es razonable cuando el objetivo es evitar desperdicio eléctrico y no omitir riesgos importantes.</w:t>
      </w:r>
    </w:p>
    <w:p>
      <w:pPr>
        <w:pStyle w:val="Heading2"/>
        <w:spacing w:before="240" w:after="120"/>
      </w:pPr>
      <w:r>
        <w:rPr>
          <w:rFonts w:ascii="Calibri" w:hAnsi="Calibri"/>
          <w:b/>
          <w:color w:val="2E74B5"/>
          <w:sz w:val="26"/>
        </w:rPr>
        <w:t>6.4 Curvas de aprendizaje</w:t>
      </w:r>
    </w:p>
    <w:p>
      <w:pPr>
        <w:jc w:val="center"/>
      </w:pPr>
      <w:r>
        <w:drawing>
          <wp:inline xmlns:a="http://schemas.openxmlformats.org/drawingml/2006/main" xmlns:pic="http://schemas.openxmlformats.org/drawingml/2006/picture">
            <wp:extent cx="5943600" cy="2697480"/>
            <wp:docPr id="5" name="Picture 5"/>
            <wp:cNvGraphicFramePr>
              <a:graphicFrameLocks noChangeAspect="1"/>
            </wp:cNvGraphicFramePr>
            <a:graphic>
              <a:graphicData uri="http://schemas.openxmlformats.org/drawingml/2006/picture">
                <pic:pic>
                  <pic:nvPicPr>
                    <pic:cNvPr id="0" name="learning.png"/>
                    <pic:cNvPicPr/>
                  </pic:nvPicPr>
                  <pic:blipFill>
                    <a:blip r:embed="rId15"/>
                    <a:stretch>
                      <a:fillRect/>
                    </a:stretch>
                  </pic:blipFill>
                  <pic:spPr>
                    <a:xfrm>
                      <a:off x="0" y="0"/>
                      <a:ext cx="5943600" cy="2697480"/>
                    </a:xfrm>
                    <a:prstGeom prst="rect"/>
                  </pic:spPr>
                </pic:pic>
              </a:graphicData>
            </a:graphic>
          </wp:inline>
        </w:drawing>
      </w:r>
    </w:p>
    <w:p>
      <w:pPr>
        <w:spacing w:before="0" w:after="120" w:line="264" w:lineRule="auto"/>
        <w:jc w:val="center"/>
      </w:pPr>
      <w:r>
        <w:rPr>
          <w:rFonts w:ascii="Calibri" w:hAnsi="Calibri"/>
          <w:b w:val="0"/>
          <w:i w:val="0"/>
          <w:color w:val="5A5A5A"/>
          <w:sz w:val="18"/>
        </w:rPr>
        <w:t>Figura 5. Evolución de loss y accuracy durante 80 épocas.</w:t>
      </w:r>
    </w:p>
    <w:tbl>
      <w:tblPr>
        <w:tblW w:type="dxa" w:w="9360"/>
        <w:jc w:val="center"/>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1872"/>
        <w:gridCol w:w="1872"/>
        <w:gridCol w:w="1872"/>
        <w:gridCol w:w="1872"/>
        <w:gridCol w:w="1872"/>
      </w:tblGrid>
      <w:tr>
        <w:tc>
          <w:tcPr>
            <w:tcW w:type="dxa" w:w="1152"/>
            <w:shd w:fill="F2F4F7"/>
            <w:vAlign w:val="center"/>
          </w:tcPr>
          <w:p>
            <w:pPr>
              <w:spacing w:after="0"/>
            </w:pPr>
            <w:r/>
            <w:r>
              <w:rPr>
                <w:rFonts w:ascii="Calibri" w:hAnsi="Calibri"/>
                <w:b/>
                <w:color w:val="0B2545"/>
                <w:sz w:val="18"/>
              </w:rPr>
              <w:t>Época</w:t>
            </w:r>
          </w:p>
        </w:tc>
        <w:tc>
          <w:tcPr>
            <w:tcW w:type="dxa" w:w="2015"/>
            <w:shd w:fill="F2F4F7"/>
            <w:vAlign w:val="center"/>
          </w:tcPr>
          <w:p>
            <w:pPr>
              <w:spacing w:after="0"/>
            </w:pPr>
            <w:r/>
            <w:r>
              <w:rPr>
                <w:rFonts w:ascii="Calibri" w:hAnsi="Calibri"/>
                <w:b/>
                <w:color w:val="0B2545"/>
                <w:sz w:val="18"/>
              </w:rPr>
              <w:t>Train loss</w:t>
            </w:r>
          </w:p>
        </w:tc>
        <w:tc>
          <w:tcPr>
            <w:tcW w:type="dxa" w:w="2015"/>
            <w:shd w:fill="F2F4F7"/>
            <w:vAlign w:val="center"/>
          </w:tcPr>
          <w:p>
            <w:pPr>
              <w:spacing w:after="0"/>
            </w:pPr>
            <w:r/>
            <w:r>
              <w:rPr>
                <w:rFonts w:ascii="Calibri" w:hAnsi="Calibri"/>
                <w:b/>
                <w:color w:val="0B2545"/>
                <w:sz w:val="18"/>
              </w:rPr>
              <w:t>Test loss</w:t>
            </w:r>
          </w:p>
        </w:tc>
        <w:tc>
          <w:tcPr>
            <w:tcW w:type="dxa" w:w="2015"/>
            <w:shd w:fill="F2F4F7"/>
            <w:vAlign w:val="center"/>
          </w:tcPr>
          <w:p>
            <w:pPr>
              <w:spacing w:after="0"/>
            </w:pPr>
            <w:r/>
            <w:r>
              <w:rPr>
                <w:rFonts w:ascii="Calibri" w:hAnsi="Calibri"/>
                <w:b/>
                <w:color w:val="0B2545"/>
                <w:sz w:val="18"/>
              </w:rPr>
              <w:t>Train acc.</w:t>
            </w:r>
          </w:p>
        </w:tc>
        <w:tc>
          <w:tcPr>
            <w:tcW w:type="dxa" w:w="2160"/>
            <w:shd w:fill="F2F4F7"/>
            <w:vAlign w:val="center"/>
          </w:tcPr>
          <w:p>
            <w:pPr>
              <w:spacing w:after="0"/>
            </w:pPr>
            <w:r/>
            <w:r>
              <w:rPr>
                <w:rFonts w:ascii="Calibri" w:hAnsi="Calibri"/>
                <w:b/>
                <w:color w:val="0B2545"/>
                <w:sz w:val="18"/>
              </w:rPr>
              <w:t>Test acc.</w:t>
            </w:r>
          </w:p>
        </w:tc>
      </w:tr>
      <w:tr>
        <w:tc>
          <w:tcPr>
            <w:tcW w:type="dxa" w:w="1152"/>
            <w:vAlign w:val="center"/>
          </w:tcPr>
          <w:p>
            <w:pPr>
              <w:spacing w:after="0"/>
            </w:pPr>
            <w:r/>
            <w:r>
              <w:rPr>
                <w:rFonts w:ascii="Calibri" w:hAnsi="Calibri"/>
                <w:b w:val="0"/>
                <w:sz w:val="17"/>
              </w:rPr>
              <w:t>1</w:t>
            </w:r>
          </w:p>
        </w:tc>
        <w:tc>
          <w:tcPr>
            <w:tcW w:type="dxa" w:w="2015"/>
            <w:vAlign w:val="center"/>
          </w:tcPr>
          <w:p>
            <w:pPr>
              <w:spacing w:after="0"/>
            </w:pPr>
            <w:r/>
            <w:r>
              <w:rPr>
                <w:rFonts w:ascii="Calibri" w:hAnsi="Calibri"/>
                <w:b w:val="0"/>
                <w:sz w:val="17"/>
              </w:rPr>
              <w:t>0.6681</w:t>
            </w:r>
          </w:p>
        </w:tc>
        <w:tc>
          <w:tcPr>
            <w:tcW w:type="dxa" w:w="2015"/>
            <w:vAlign w:val="center"/>
          </w:tcPr>
          <w:p>
            <w:pPr>
              <w:spacing w:after="0"/>
            </w:pPr>
            <w:r/>
            <w:r>
              <w:rPr>
                <w:rFonts w:ascii="Calibri" w:hAnsi="Calibri"/>
                <w:b w:val="0"/>
                <w:sz w:val="17"/>
              </w:rPr>
              <w:t>0.6638</w:t>
            </w:r>
          </w:p>
        </w:tc>
        <w:tc>
          <w:tcPr>
            <w:tcW w:type="dxa" w:w="2015"/>
            <w:vAlign w:val="center"/>
          </w:tcPr>
          <w:p>
            <w:pPr>
              <w:spacing w:after="0"/>
            </w:pPr>
            <w:r/>
            <w:r>
              <w:rPr>
                <w:rFonts w:ascii="Calibri" w:hAnsi="Calibri"/>
                <w:b w:val="0"/>
                <w:sz w:val="17"/>
              </w:rPr>
              <w:t>29.79%</w:t>
            </w:r>
          </w:p>
        </w:tc>
        <w:tc>
          <w:tcPr>
            <w:tcW w:type="dxa" w:w="2160"/>
            <w:vAlign w:val="center"/>
          </w:tcPr>
          <w:p>
            <w:pPr>
              <w:spacing w:after="0"/>
            </w:pPr>
            <w:r/>
            <w:r>
              <w:rPr>
                <w:rFonts w:ascii="Calibri" w:hAnsi="Calibri"/>
                <w:b w:val="0"/>
                <w:sz w:val="17"/>
              </w:rPr>
              <w:t>26.49%</w:t>
            </w:r>
          </w:p>
        </w:tc>
      </w:tr>
      <w:tr>
        <w:tc>
          <w:tcPr>
            <w:tcW w:type="dxa" w:w="1152"/>
            <w:vAlign w:val="center"/>
          </w:tcPr>
          <w:p>
            <w:pPr>
              <w:spacing w:after="0"/>
            </w:pPr>
            <w:r/>
            <w:r>
              <w:rPr>
                <w:rFonts w:ascii="Calibri" w:hAnsi="Calibri"/>
                <w:b w:val="0"/>
                <w:sz w:val="17"/>
              </w:rPr>
              <w:t>2</w:t>
            </w:r>
          </w:p>
        </w:tc>
        <w:tc>
          <w:tcPr>
            <w:tcW w:type="dxa" w:w="2015"/>
            <w:vAlign w:val="center"/>
          </w:tcPr>
          <w:p>
            <w:pPr>
              <w:spacing w:after="0"/>
            </w:pPr>
            <w:r/>
            <w:r>
              <w:rPr>
                <w:rFonts w:ascii="Calibri" w:hAnsi="Calibri"/>
                <w:b w:val="0"/>
                <w:sz w:val="17"/>
              </w:rPr>
              <w:t>0.6500</w:t>
            </w:r>
          </w:p>
        </w:tc>
        <w:tc>
          <w:tcPr>
            <w:tcW w:type="dxa" w:w="2015"/>
            <w:vAlign w:val="center"/>
          </w:tcPr>
          <w:p>
            <w:pPr>
              <w:spacing w:after="0"/>
            </w:pPr>
            <w:r/>
            <w:r>
              <w:rPr>
                <w:rFonts w:ascii="Calibri" w:hAnsi="Calibri"/>
                <w:b w:val="0"/>
                <w:sz w:val="17"/>
              </w:rPr>
              <w:t>0.6426</w:t>
            </w:r>
          </w:p>
        </w:tc>
        <w:tc>
          <w:tcPr>
            <w:tcW w:type="dxa" w:w="2015"/>
            <w:vAlign w:val="center"/>
          </w:tcPr>
          <w:p>
            <w:pPr>
              <w:spacing w:after="0"/>
            </w:pPr>
            <w:r/>
            <w:r>
              <w:rPr>
                <w:rFonts w:ascii="Calibri" w:hAnsi="Calibri"/>
                <w:b w:val="0"/>
                <w:sz w:val="17"/>
              </w:rPr>
              <w:t>29.79%</w:t>
            </w:r>
          </w:p>
        </w:tc>
        <w:tc>
          <w:tcPr>
            <w:tcW w:type="dxa" w:w="2160"/>
            <w:vAlign w:val="center"/>
          </w:tcPr>
          <w:p>
            <w:pPr>
              <w:spacing w:after="0"/>
            </w:pPr>
            <w:r/>
            <w:r>
              <w:rPr>
                <w:rFonts w:ascii="Calibri" w:hAnsi="Calibri"/>
                <w:b w:val="0"/>
                <w:sz w:val="17"/>
              </w:rPr>
              <w:t>26.49%</w:t>
            </w:r>
          </w:p>
        </w:tc>
      </w:tr>
      <w:tr>
        <w:tc>
          <w:tcPr>
            <w:tcW w:type="dxa" w:w="1152"/>
            <w:vAlign w:val="center"/>
          </w:tcPr>
          <w:p>
            <w:pPr>
              <w:spacing w:after="0"/>
            </w:pPr>
            <w:r/>
            <w:r>
              <w:rPr>
                <w:rFonts w:ascii="Calibri" w:hAnsi="Calibri"/>
                <w:b w:val="0"/>
                <w:sz w:val="17"/>
              </w:rPr>
              <w:t>5</w:t>
            </w:r>
          </w:p>
        </w:tc>
        <w:tc>
          <w:tcPr>
            <w:tcW w:type="dxa" w:w="2015"/>
            <w:vAlign w:val="center"/>
          </w:tcPr>
          <w:p>
            <w:pPr>
              <w:spacing w:after="0"/>
            </w:pPr>
            <w:r/>
            <w:r>
              <w:rPr>
                <w:rFonts w:ascii="Calibri" w:hAnsi="Calibri"/>
                <w:b w:val="0"/>
                <w:sz w:val="17"/>
              </w:rPr>
              <w:t>0.6175</w:t>
            </w:r>
          </w:p>
        </w:tc>
        <w:tc>
          <w:tcPr>
            <w:tcW w:type="dxa" w:w="2015"/>
            <w:vAlign w:val="center"/>
          </w:tcPr>
          <w:p>
            <w:pPr>
              <w:spacing w:after="0"/>
            </w:pPr>
            <w:r/>
            <w:r>
              <w:rPr>
                <w:rFonts w:ascii="Calibri" w:hAnsi="Calibri"/>
                <w:b w:val="0"/>
                <w:sz w:val="17"/>
              </w:rPr>
              <w:t>0.6048</w:t>
            </w:r>
          </w:p>
        </w:tc>
        <w:tc>
          <w:tcPr>
            <w:tcW w:type="dxa" w:w="2015"/>
            <w:vAlign w:val="center"/>
          </w:tcPr>
          <w:p>
            <w:pPr>
              <w:spacing w:after="0"/>
            </w:pPr>
            <w:r/>
            <w:r>
              <w:rPr>
                <w:rFonts w:ascii="Calibri" w:hAnsi="Calibri"/>
                <w:b w:val="0"/>
                <w:sz w:val="17"/>
              </w:rPr>
              <w:t>29.79%</w:t>
            </w:r>
          </w:p>
        </w:tc>
        <w:tc>
          <w:tcPr>
            <w:tcW w:type="dxa" w:w="2160"/>
            <w:vAlign w:val="center"/>
          </w:tcPr>
          <w:p>
            <w:pPr>
              <w:spacing w:after="0"/>
            </w:pPr>
            <w:r/>
            <w:r>
              <w:rPr>
                <w:rFonts w:ascii="Calibri" w:hAnsi="Calibri"/>
                <w:b w:val="0"/>
                <w:sz w:val="17"/>
              </w:rPr>
              <w:t>26.49%</w:t>
            </w:r>
          </w:p>
        </w:tc>
      </w:tr>
      <w:tr>
        <w:tc>
          <w:tcPr>
            <w:tcW w:type="dxa" w:w="1152"/>
            <w:vAlign w:val="center"/>
          </w:tcPr>
          <w:p>
            <w:pPr>
              <w:spacing w:after="0"/>
            </w:pPr>
            <w:r/>
            <w:r>
              <w:rPr>
                <w:rFonts w:ascii="Calibri" w:hAnsi="Calibri"/>
                <w:b w:val="0"/>
                <w:sz w:val="17"/>
              </w:rPr>
              <w:t>10</w:t>
            </w:r>
          </w:p>
        </w:tc>
        <w:tc>
          <w:tcPr>
            <w:tcW w:type="dxa" w:w="2015"/>
            <w:vAlign w:val="center"/>
          </w:tcPr>
          <w:p>
            <w:pPr>
              <w:spacing w:after="0"/>
            </w:pPr>
            <w:r/>
            <w:r>
              <w:rPr>
                <w:rFonts w:ascii="Calibri" w:hAnsi="Calibri"/>
                <w:b w:val="0"/>
                <w:sz w:val="17"/>
              </w:rPr>
              <w:t>0.5880</w:t>
            </w:r>
          </w:p>
        </w:tc>
        <w:tc>
          <w:tcPr>
            <w:tcW w:type="dxa" w:w="2015"/>
            <w:vAlign w:val="center"/>
          </w:tcPr>
          <w:p>
            <w:pPr>
              <w:spacing w:after="0"/>
            </w:pPr>
            <w:r/>
            <w:r>
              <w:rPr>
                <w:rFonts w:ascii="Calibri" w:hAnsi="Calibri"/>
                <w:b w:val="0"/>
                <w:sz w:val="17"/>
              </w:rPr>
              <w:t>0.5739</w:t>
            </w:r>
          </w:p>
        </w:tc>
        <w:tc>
          <w:tcPr>
            <w:tcW w:type="dxa" w:w="2015"/>
            <w:vAlign w:val="center"/>
          </w:tcPr>
          <w:p>
            <w:pPr>
              <w:spacing w:after="0"/>
            </w:pPr>
            <w:r/>
            <w:r>
              <w:rPr>
                <w:rFonts w:ascii="Calibri" w:hAnsi="Calibri"/>
                <w:b w:val="0"/>
                <w:sz w:val="17"/>
              </w:rPr>
              <w:t>29.79%</w:t>
            </w:r>
          </w:p>
        </w:tc>
        <w:tc>
          <w:tcPr>
            <w:tcW w:type="dxa" w:w="2160"/>
            <w:vAlign w:val="center"/>
          </w:tcPr>
          <w:p>
            <w:pPr>
              <w:spacing w:after="0"/>
            </w:pPr>
            <w:r/>
            <w:r>
              <w:rPr>
                <w:rFonts w:ascii="Calibri" w:hAnsi="Calibri"/>
                <w:b w:val="0"/>
                <w:sz w:val="17"/>
              </w:rPr>
              <w:t>26.49%</w:t>
            </w:r>
          </w:p>
        </w:tc>
      </w:tr>
      <w:tr>
        <w:tc>
          <w:tcPr>
            <w:tcW w:type="dxa" w:w="1152"/>
            <w:vAlign w:val="center"/>
          </w:tcPr>
          <w:p>
            <w:pPr>
              <w:spacing w:after="0"/>
            </w:pPr>
            <w:r/>
            <w:r>
              <w:rPr>
                <w:rFonts w:ascii="Calibri" w:hAnsi="Calibri"/>
                <w:b w:val="0"/>
                <w:sz w:val="17"/>
              </w:rPr>
              <w:t>20</w:t>
            </w:r>
          </w:p>
        </w:tc>
        <w:tc>
          <w:tcPr>
            <w:tcW w:type="dxa" w:w="2015"/>
            <w:vAlign w:val="center"/>
          </w:tcPr>
          <w:p>
            <w:pPr>
              <w:spacing w:after="0"/>
            </w:pPr>
            <w:r/>
            <w:r>
              <w:rPr>
                <w:rFonts w:ascii="Calibri" w:hAnsi="Calibri"/>
                <w:b w:val="0"/>
                <w:sz w:val="17"/>
              </w:rPr>
              <w:t>0.5474</w:t>
            </w:r>
          </w:p>
        </w:tc>
        <w:tc>
          <w:tcPr>
            <w:tcW w:type="dxa" w:w="2015"/>
            <w:vAlign w:val="center"/>
          </w:tcPr>
          <w:p>
            <w:pPr>
              <w:spacing w:after="0"/>
            </w:pPr>
            <w:r/>
            <w:r>
              <w:rPr>
                <w:rFonts w:ascii="Calibri" w:hAnsi="Calibri"/>
                <w:b w:val="0"/>
                <w:sz w:val="17"/>
              </w:rPr>
              <w:t>0.5383</w:t>
            </w:r>
          </w:p>
        </w:tc>
        <w:tc>
          <w:tcPr>
            <w:tcW w:type="dxa" w:w="2015"/>
            <w:vAlign w:val="center"/>
          </w:tcPr>
          <w:p>
            <w:pPr>
              <w:spacing w:after="0"/>
            </w:pPr>
            <w:r/>
            <w:r>
              <w:rPr>
                <w:rFonts w:ascii="Calibri" w:hAnsi="Calibri"/>
                <w:b w:val="0"/>
                <w:sz w:val="17"/>
              </w:rPr>
              <w:t>59.90%</w:t>
            </w:r>
          </w:p>
        </w:tc>
        <w:tc>
          <w:tcPr>
            <w:tcW w:type="dxa" w:w="2160"/>
            <w:vAlign w:val="center"/>
          </w:tcPr>
          <w:p>
            <w:pPr>
              <w:spacing w:after="0"/>
            </w:pPr>
            <w:r/>
            <w:r>
              <w:rPr>
                <w:rFonts w:ascii="Calibri" w:hAnsi="Calibri"/>
                <w:b w:val="0"/>
                <w:sz w:val="17"/>
              </w:rPr>
              <w:t>55.80%</w:t>
            </w:r>
          </w:p>
        </w:tc>
      </w:tr>
      <w:tr>
        <w:tc>
          <w:tcPr>
            <w:tcW w:type="dxa" w:w="1152"/>
            <w:vAlign w:val="center"/>
          </w:tcPr>
          <w:p>
            <w:pPr>
              <w:spacing w:after="0"/>
            </w:pPr>
            <w:r/>
            <w:r>
              <w:rPr>
                <w:rFonts w:ascii="Calibri" w:hAnsi="Calibri"/>
                <w:b w:val="0"/>
                <w:sz w:val="17"/>
              </w:rPr>
              <w:t>40</w:t>
            </w:r>
          </w:p>
        </w:tc>
        <w:tc>
          <w:tcPr>
            <w:tcW w:type="dxa" w:w="2015"/>
            <w:vAlign w:val="center"/>
          </w:tcPr>
          <w:p>
            <w:pPr>
              <w:spacing w:after="0"/>
            </w:pPr>
            <w:r/>
            <w:r>
              <w:rPr>
                <w:rFonts w:ascii="Calibri" w:hAnsi="Calibri"/>
                <w:b w:val="0"/>
                <w:sz w:val="17"/>
              </w:rPr>
              <w:t>0.4906</w:t>
            </w:r>
          </w:p>
        </w:tc>
        <w:tc>
          <w:tcPr>
            <w:tcW w:type="dxa" w:w="2015"/>
            <w:vAlign w:val="center"/>
          </w:tcPr>
          <w:p>
            <w:pPr>
              <w:spacing w:after="0"/>
            </w:pPr>
            <w:r/>
            <w:r>
              <w:rPr>
                <w:rFonts w:ascii="Calibri" w:hAnsi="Calibri"/>
                <w:b w:val="0"/>
                <w:sz w:val="17"/>
              </w:rPr>
              <w:t>0.4914</w:t>
            </w:r>
          </w:p>
        </w:tc>
        <w:tc>
          <w:tcPr>
            <w:tcW w:type="dxa" w:w="2015"/>
            <w:vAlign w:val="center"/>
          </w:tcPr>
          <w:p>
            <w:pPr>
              <w:spacing w:after="0"/>
            </w:pPr>
            <w:r/>
            <w:r>
              <w:rPr>
                <w:rFonts w:ascii="Calibri" w:hAnsi="Calibri"/>
                <w:b w:val="0"/>
                <w:sz w:val="17"/>
              </w:rPr>
              <w:t>78.05%</w:t>
            </w:r>
          </w:p>
        </w:tc>
        <w:tc>
          <w:tcPr>
            <w:tcW w:type="dxa" w:w="2160"/>
            <w:vAlign w:val="center"/>
          </w:tcPr>
          <w:p>
            <w:pPr>
              <w:spacing w:after="0"/>
            </w:pPr>
            <w:r/>
            <w:r>
              <w:rPr>
                <w:rFonts w:ascii="Calibri" w:hAnsi="Calibri"/>
                <w:b w:val="0"/>
                <w:sz w:val="17"/>
              </w:rPr>
              <w:t>75.51%</w:t>
            </w:r>
          </w:p>
        </w:tc>
      </w:tr>
      <w:tr>
        <w:tc>
          <w:tcPr>
            <w:tcW w:type="dxa" w:w="1152"/>
            <w:vAlign w:val="center"/>
          </w:tcPr>
          <w:p>
            <w:pPr>
              <w:spacing w:after="0"/>
            </w:pPr>
            <w:r/>
            <w:r>
              <w:rPr>
                <w:rFonts w:ascii="Calibri" w:hAnsi="Calibri"/>
                <w:b w:val="0"/>
                <w:sz w:val="17"/>
              </w:rPr>
              <w:t>60</w:t>
            </w:r>
          </w:p>
        </w:tc>
        <w:tc>
          <w:tcPr>
            <w:tcW w:type="dxa" w:w="2015"/>
            <w:vAlign w:val="center"/>
          </w:tcPr>
          <w:p>
            <w:pPr>
              <w:spacing w:after="0"/>
            </w:pPr>
            <w:r/>
            <w:r>
              <w:rPr>
                <w:rFonts w:ascii="Calibri" w:hAnsi="Calibri"/>
                <w:b w:val="0"/>
                <w:sz w:val="17"/>
              </w:rPr>
              <w:t>0.4532</w:t>
            </w:r>
          </w:p>
        </w:tc>
        <w:tc>
          <w:tcPr>
            <w:tcW w:type="dxa" w:w="2015"/>
            <w:vAlign w:val="center"/>
          </w:tcPr>
          <w:p>
            <w:pPr>
              <w:spacing w:after="0"/>
            </w:pPr>
            <w:r/>
            <w:r>
              <w:rPr>
                <w:rFonts w:ascii="Calibri" w:hAnsi="Calibri"/>
                <w:b w:val="0"/>
                <w:sz w:val="17"/>
              </w:rPr>
              <w:t>0.4601</w:t>
            </w:r>
          </w:p>
        </w:tc>
        <w:tc>
          <w:tcPr>
            <w:tcW w:type="dxa" w:w="2015"/>
            <w:vAlign w:val="center"/>
          </w:tcPr>
          <w:p>
            <w:pPr>
              <w:spacing w:after="0"/>
            </w:pPr>
            <w:r/>
            <w:r>
              <w:rPr>
                <w:rFonts w:ascii="Calibri" w:hAnsi="Calibri"/>
                <w:b w:val="0"/>
                <w:sz w:val="17"/>
              </w:rPr>
              <w:t>80.23%</w:t>
            </w:r>
          </w:p>
        </w:tc>
        <w:tc>
          <w:tcPr>
            <w:tcW w:type="dxa" w:w="2160"/>
            <w:vAlign w:val="center"/>
          </w:tcPr>
          <w:p>
            <w:pPr>
              <w:spacing w:after="0"/>
            </w:pPr>
            <w:r/>
            <w:r>
              <w:rPr>
                <w:rFonts w:ascii="Calibri" w:hAnsi="Calibri"/>
                <w:b w:val="0"/>
                <w:sz w:val="17"/>
              </w:rPr>
              <w:t>78.25%</w:t>
            </w:r>
          </w:p>
        </w:tc>
      </w:tr>
      <w:tr>
        <w:tc>
          <w:tcPr>
            <w:tcW w:type="dxa" w:w="1152"/>
            <w:vAlign w:val="center"/>
          </w:tcPr>
          <w:p>
            <w:pPr>
              <w:spacing w:after="0"/>
            </w:pPr>
            <w:r/>
            <w:r>
              <w:rPr>
                <w:rFonts w:ascii="Calibri" w:hAnsi="Calibri"/>
                <w:b w:val="0"/>
                <w:sz w:val="17"/>
              </w:rPr>
              <w:t>80</w:t>
            </w:r>
          </w:p>
        </w:tc>
        <w:tc>
          <w:tcPr>
            <w:tcW w:type="dxa" w:w="2015"/>
            <w:vAlign w:val="center"/>
          </w:tcPr>
          <w:p>
            <w:pPr>
              <w:spacing w:after="0"/>
            </w:pPr>
            <w:r/>
            <w:r>
              <w:rPr>
                <w:rFonts w:ascii="Calibri" w:hAnsi="Calibri"/>
                <w:b w:val="0"/>
                <w:sz w:val="17"/>
              </w:rPr>
              <w:t>0.4271</w:t>
            </w:r>
          </w:p>
        </w:tc>
        <w:tc>
          <w:tcPr>
            <w:tcW w:type="dxa" w:w="2015"/>
            <w:vAlign w:val="center"/>
          </w:tcPr>
          <w:p>
            <w:pPr>
              <w:spacing w:after="0"/>
            </w:pPr>
            <w:r/>
            <w:r>
              <w:rPr>
                <w:rFonts w:ascii="Calibri" w:hAnsi="Calibri"/>
                <w:b w:val="0"/>
                <w:sz w:val="17"/>
              </w:rPr>
              <w:t>0.4379</w:t>
            </w:r>
          </w:p>
        </w:tc>
        <w:tc>
          <w:tcPr>
            <w:tcW w:type="dxa" w:w="2015"/>
            <w:vAlign w:val="center"/>
          </w:tcPr>
          <w:p>
            <w:pPr>
              <w:spacing w:after="0"/>
            </w:pPr>
            <w:r/>
            <w:r>
              <w:rPr>
                <w:rFonts w:ascii="Calibri" w:hAnsi="Calibri"/>
                <w:b w:val="0"/>
                <w:sz w:val="17"/>
              </w:rPr>
              <w:t>81.15%</w:t>
            </w:r>
          </w:p>
        </w:tc>
        <w:tc>
          <w:tcPr>
            <w:tcW w:type="dxa" w:w="2160"/>
            <w:vAlign w:val="center"/>
          </w:tcPr>
          <w:p>
            <w:pPr>
              <w:spacing w:after="0"/>
            </w:pPr>
            <w:r/>
            <w:r>
              <w:rPr>
                <w:rFonts w:ascii="Calibri" w:hAnsi="Calibri"/>
                <w:b w:val="0"/>
                <w:sz w:val="17"/>
              </w:rPr>
              <w:t>79.29%</w:t>
            </w:r>
          </w:p>
        </w:tc>
      </w:tr>
    </w:tbl>
    <w:p>
      <w:pPr>
        <w:spacing w:after="80"/>
      </w:pPr>
    </w:p>
    <w:p>
      <w:pPr>
        <w:spacing w:before="0" w:after="120" w:line="264" w:lineRule="auto"/>
      </w:pPr>
      <w:r>
        <w:rPr>
          <w:rFonts w:ascii="Calibri" w:hAnsi="Calibri"/>
          <w:b w:val="0"/>
          <w:i w:val="0"/>
          <w:sz w:val="22"/>
        </w:rPr>
        <w:t>La pérdida disminuye de manera consistente tanto en entrenamiento como en prueba. La curva de prueba se mantiene cercana a la de entrenamiento, por lo que no se observa una divergencia marcada asociada a sobreajuste en estas 80 épocas.</w:t>
      </w:r>
    </w:p>
    <w:p>
      <w:pPr>
        <w:pStyle w:val="Heading2"/>
        <w:spacing w:before="240" w:after="120"/>
      </w:pPr>
      <w:r>
        <w:rPr>
          <w:rFonts w:ascii="Calibri" w:hAnsi="Calibri"/>
          <w:b/>
          <w:color w:val="2E74B5"/>
          <w:sz w:val="26"/>
        </w:rPr>
        <w:t>6.5 Rendimiento y speedup</w:t>
      </w:r>
    </w:p>
    <w:tbl>
      <w:tblPr>
        <w:tblW w:type="dxa" w:w="9360"/>
        <w:jc w:val="center"/>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1337"/>
        <w:gridCol w:w="1337"/>
        <w:gridCol w:w="1337"/>
        <w:gridCol w:w="1337"/>
        <w:gridCol w:w="1337"/>
        <w:gridCol w:w="1337"/>
        <w:gridCol w:w="1337"/>
      </w:tblGrid>
      <w:tr>
        <w:tc>
          <w:tcPr>
            <w:tcW w:type="dxa" w:w="1152"/>
            <w:shd w:fill="F2F4F7"/>
            <w:vAlign w:val="center"/>
          </w:tcPr>
          <w:p>
            <w:pPr>
              <w:spacing w:after="0"/>
            </w:pPr>
            <w:r/>
            <w:r>
              <w:rPr>
                <w:rFonts w:ascii="Calibri" w:hAnsi="Calibri"/>
                <w:b/>
                <w:color w:val="0B2545"/>
                <w:sz w:val="18"/>
              </w:rPr>
              <w:t>Workers</w:t>
            </w:r>
          </w:p>
        </w:tc>
        <w:tc>
          <w:tcPr>
            <w:tcW w:type="dxa" w:w="1440"/>
            <w:shd w:fill="F2F4F7"/>
            <w:vAlign w:val="center"/>
          </w:tcPr>
          <w:p>
            <w:pPr>
              <w:spacing w:after="0"/>
            </w:pPr>
            <w:r/>
            <w:r>
              <w:rPr>
                <w:rFonts w:ascii="Calibri" w:hAnsi="Calibri"/>
                <w:b/>
                <w:color w:val="0B2545"/>
                <w:sz w:val="18"/>
              </w:rPr>
              <w:t>Total ms</w:t>
            </w:r>
          </w:p>
        </w:tc>
        <w:tc>
          <w:tcPr>
            <w:tcW w:type="dxa" w:w="1728"/>
            <w:shd w:fill="F2F4F7"/>
            <w:vAlign w:val="center"/>
          </w:tcPr>
          <w:p>
            <w:pPr>
              <w:spacing w:after="0"/>
            </w:pPr>
            <w:r/>
            <w:r>
              <w:rPr>
                <w:rFonts w:ascii="Calibri" w:hAnsi="Calibri"/>
                <w:b/>
                <w:color w:val="0B2545"/>
                <w:sz w:val="18"/>
              </w:rPr>
              <w:t>Entrenamiento ms</w:t>
            </w:r>
          </w:p>
        </w:tc>
        <w:tc>
          <w:tcPr>
            <w:tcW w:type="dxa" w:w="1440"/>
            <w:shd w:fill="F2F4F7"/>
            <w:vAlign w:val="center"/>
          </w:tcPr>
          <w:p>
            <w:pPr>
              <w:spacing w:after="0"/>
            </w:pPr>
            <w:r/>
            <w:r>
              <w:rPr>
                <w:rFonts w:ascii="Calibri" w:hAnsi="Calibri"/>
                <w:b/>
                <w:color w:val="0B2545"/>
                <w:sz w:val="18"/>
              </w:rPr>
              <w:t>Speedup total</w:t>
            </w:r>
          </w:p>
        </w:tc>
        <w:tc>
          <w:tcPr>
            <w:tcW w:type="dxa" w:w="1440"/>
            <w:shd w:fill="F2F4F7"/>
            <w:vAlign w:val="center"/>
          </w:tcPr>
          <w:p>
            <w:pPr>
              <w:spacing w:after="0"/>
            </w:pPr>
            <w:r/>
            <w:r>
              <w:rPr>
                <w:rFonts w:ascii="Calibri" w:hAnsi="Calibri"/>
                <w:b/>
                <w:color w:val="0B2545"/>
                <w:sz w:val="18"/>
              </w:rPr>
              <w:t>Speedup train</w:t>
            </w:r>
          </w:p>
        </w:tc>
        <w:tc>
          <w:tcPr>
            <w:tcW w:type="dxa" w:w="1080"/>
            <w:shd w:fill="F2F4F7"/>
            <w:vAlign w:val="center"/>
          </w:tcPr>
          <w:p>
            <w:pPr>
              <w:spacing w:after="0"/>
            </w:pPr>
            <w:r/>
            <w:r>
              <w:rPr>
                <w:rFonts w:ascii="Calibri" w:hAnsi="Calibri"/>
                <w:b/>
                <w:color w:val="0B2545"/>
                <w:sz w:val="18"/>
              </w:rPr>
              <w:t>Efic. total</w:t>
            </w:r>
          </w:p>
        </w:tc>
        <w:tc>
          <w:tcPr>
            <w:tcW w:type="dxa" w:w="1080"/>
            <w:shd w:fill="F2F4F7"/>
            <w:vAlign w:val="center"/>
          </w:tcPr>
          <w:p>
            <w:pPr>
              <w:spacing w:after="0"/>
            </w:pPr>
            <w:r/>
            <w:r>
              <w:rPr>
                <w:rFonts w:ascii="Calibri" w:hAnsi="Calibri"/>
                <w:b/>
                <w:color w:val="0B2545"/>
                <w:sz w:val="18"/>
              </w:rPr>
              <w:t>Efic. train</w:t>
            </w:r>
          </w:p>
        </w:tc>
      </w:tr>
      <w:tr>
        <w:tc>
          <w:tcPr>
            <w:tcW w:type="dxa" w:w="1152"/>
            <w:vAlign w:val="center"/>
          </w:tcPr>
          <w:p>
            <w:pPr>
              <w:spacing w:after="0"/>
            </w:pPr>
            <w:r/>
            <w:r>
              <w:rPr>
                <w:rFonts w:ascii="Calibri" w:hAnsi="Calibri"/>
                <w:b w:val="0"/>
                <w:sz w:val="16"/>
              </w:rPr>
              <w:t>1</w:t>
            </w:r>
          </w:p>
        </w:tc>
        <w:tc>
          <w:tcPr>
            <w:tcW w:type="dxa" w:w="1440"/>
            <w:vAlign w:val="center"/>
          </w:tcPr>
          <w:p>
            <w:pPr>
              <w:spacing w:after="0"/>
            </w:pPr>
            <w:r/>
            <w:r>
              <w:rPr>
                <w:rFonts w:ascii="Calibri" w:hAnsi="Calibri"/>
                <w:b w:val="0"/>
                <w:sz w:val="16"/>
              </w:rPr>
              <w:t>13991.0</w:t>
            </w:r>
          </w:p>
        </w:tc>
        <w:tc>
          <w:tcPr>
            <w:tcW w:type="dxa" w:w="1728"/>
            <w:vAlign w:val="center"/>
          </w:tcPr>
          <w:p>
            <w:pPr>
              <w:spacing w:after="0"/>
            </w:pPr>
            <w:r/>
            <w:r>
              <w:rPr>
                <w:rFonts w:ascii="Calibri" w:hAnsi="Calibri"/>
                <w:b w:val="0"/>
                <w:sz w:val="16"/>
              </w:rPr>
              <w:t>4257.4</w:t>
            </w:r>
          </w:p>
        </w:tc>
        <w:tc>
          <w:tcPr>
            <w:tcW w:type="dxa" w:w="1440"/>
            <w:vAlign w:val="center"/>
          </w:tcPr>
          <w:p>
            <w:pPr>
              <w:spacing w:after="0"/>
            </w:pPr>
            <w:r/>
            <w:r>
              <w:rPr>
                <w:rFonts w:ascii="Calibri" w:hAnsi="Calibri"/>
                <w:b w:val="0"/>
                <w:sz w:val="16"/>
              </w:rPr>
              <w:t>1.00×</w:t>
            </w:r>
          </w:p>
        </w:tc>
        <w:tc>
          <w:tcPr>
            <w:tcW w:type="dxa" w:w="1440"/>
            <w:vAlign w:val="center"/>
          </w:tcPr>
          <w:p>
            <w:pPr>
              <w:spacing w:after="0"/>
            </w:pPr>
            <w:r/>
            <w:r>
              <w:rPr>
                <w:rFonts w:ascii="Calibri" w:hAnsi="Calibri"/>
                <w:b w:val="0"/>
                <w:sz w:val="16"/>
              </w:rPr>
              <w:t>1.00×</w:t>
            </w:r>
          </w:p>
        </w:tc>
        <w:tc>
          <w:tcPr>
            <w:tcW w:type="dxa" w:w="1080"/>
            <w:vAlign w:val="center"/>
          </w:tcPr>
          <w:p>
            <w:pPr>
              <w:spacing w:after="0"/>
            </w:pPr>
            <w:r/>
            <w:r>
              <w:rPr>
                <w:rFonts w:ascii="Calibri" w:hAnsi="Calibri"/>
                <w:b w:val="0"/>
                <w:sz w:val="16"/>
              </w:rPr>
              <w:t>100.00%</w:t>
            </w:r>
          </w:p>
        </w:tc>
        <w:tc>
          <w:tcPr>
            <w:tcW w:type="dxa" w:w="1080"/>
            <w:vAlign w:val="center"/>
          </w:tcPr>
          <w:p>
            <w:pPr>
              <w:spacing w:after="0"/>
            </w:pPr>
            <w:r/>
            <w:r>
              <w:rPr>
                <w:rFonts w:ascii="Calibri" w:hAnsi="Calibri"/>
                <w:b w:val="0"/>
                <w:sz w:val="16"/>
              </w:rPr>
              <w:t>100.00%</w:t>
            </w:r>
          </w:p>
        </w:tc>
      </w:tr>
      <w:tr>
        <w:tc>
          <w:tcPr>
            <w:tcW w:type="dxa" w:w="1152"/>
            <w:vAlign w:val="center"/>
          </w:tcPr>
          <w:p>
            <w:pPr>
              <w:spacing w:after="0"/>
            </w:pPr>
            <w:r/>
            <w:r>
              <w:rPr>
                <w:rFonts w:ascii="Calibri" w:hAnsi="Calibri"/>
                <w:b w:val="0"/>
                <w:sz w:val="16"/>
              </w:rPr>
              <w:t>2</w:t>
            </w:r>
          </w:p>
        </w:tc>
        <w:tc>
          <w:tcPr>
            <w:tcW w:type="dxa" w:w="1440"/>
            <w:vAlign w:val="center"/>
          </w:tcPr>
          <w:p>
            <w:pPr>
              <w:spacing w:after="0"/>
            </w:pPr>
            <w:r/>
            <w:r>
              <w:rPr>
                <w:rFonts w:ascii="Calibri" w:hAnsi="Calibri"/>
                <w:b w:val="0"/>
                <w:sz w:val="16"/>
              </w:rPr>
              <w:t>10307.8</w:t>
            </w:r>
          </w:p>
        </w:tc>
        <w:tc>
          <w:tcPr>
            <w:tcW w:type="dxa" w:w="1728"/>
            <w:vAlign w:val="center"/>
          </w:tcPr>
          <w:p>
            <w:pPr>
              <w:spacing w:after="0"/>
            </w:pPr>
            <w:r/>
            <w:r>
              <w:rPr>
                <w:rFonts w:ascii="Calibri" w:hAnsi="Calibri"/>
                <w:b w:val="0"/>
                <w:sz w:val="16"/>
              </w:rPr>
              <w:t>2245.2</w:t>
            </w:r>
          </w:p>
        </w:tc>
        <w:tc>
          <w:tcPr>
            <w:tcW w:type="dxa" w:w="1440"/>
            <w:vAlign w:val="center"/>
          </w:tcPr>
          <w:p>
            <w:pPr>
              <w:spacing w:after="0"/>
            </w:pPr>
            <w:r/>
            <w:r>
              <w:rPr>
                <w:rFonts w:ascii="Calibri" w:hAnsi="Calibri"/>
                <w:b w:val="0"/>
                <w:sz w:val="16"/>
              </w:rPr>
              <w:t>1.36×</w:t>
            </w:r>
          </w:p>
        </w:tc>
        <w:tc>
          <w:tcPr>
            <w:tcW w:type="dxa" w:w="1440"/>
            <w:vAlign w:val="center"/>
          </w:tcPr>
          <w:p>
            <w:pPr>
              <w:spacing w:after="0"/>
            </w:pPr>
            <w:r/>
            <w:r>
              <w:rPr>
                <w:rFonts w:ascii="Calibri" w:hAnsi="Calibri"/>
                <w:b w:val="0"/>
                <w:sz w:val="16"/>
              </w:rPr>
              <w:t>1.90×</w:t>
            </w:r>
          </w:p>
        </w:tc>
        <w:tc>
          <w:tcPr>
            <w:tcW w:type="dxa" w:w="1080"/>
            <w:vAlign w:val="center"/>
          </w:tcPr>
          <w:p>
            <w:pPr>
              <w:spacing w:after="0"/>
            </w:pPr>
            <w:r/>
            <w:r>
              <w:rPr>
                <w:rFonts w:ascii="Calibri" w:hAnsi="Calibri"/>
                <w:b w:val="0"/>
                <w:sz w:val="16"/>
              </w:rPr>
              <w:t>67.87%</w:t>
            </w:r>
          </w:p>
        </w:tc>
        <w:tc>
          <w:tcPr>
            <w:tcW w:type="dxa" w:w="1080"/>
            <w:vAlign w:val="center"/>
          </w:tcPr>
          <w:p>
            <w:pPr>
              <w:spacing w:after="0"/>
            </w:pPr>
            <w:r/>
            <w:r>
              <w:rPr>
                <w:rFonts w:ascii="Calibri" w:hAnsi="Calibri"/>
                <w:b w:val="0"/>
                <w:sz w:val="16"/>
              </w:rPr>
              <w:t>94.81%</w:t>
            </w:r>
          </w:p>
        </w:tc>
      </w:tr>
      <w:tr>
        <w:tc>
          <w:tcPr>
            <w:tcW w:type="dxa" w:w="1152"/>
            <w:vAlign w:val="center"/>
          </w:tcPr>
          <w:p>
            <w:pPr>
              <w:spacing w:after="0"/>
            </w:pPr>
            <w:r/>
            <w:r>
              <w:rPr>
                <w:rFonts w:ascii="Calibri" w:hAnsi="Calibri"/>
                <w:b w:val="0"/>
                <w:sz w:val="16"/>
              </w:rPr>
              <w:t>4</w:t>
            </w:r>
          </w:p>
        </w:tc>
        <w:tc>
          <w:tcPr>
            <w:tcW w:type="dxa" w:w="1440"/>
            <w:vAlign w:val="center"/>
          </w:tcPr>
          <w:p>
            <w:pPr>
              <w:spacing w:after="0"/>
            </w:pPr>
            <w:r/>
            <w:r>
              <w:rPr>
                <w:rFonts w:ascii="Calibri" w:hAnsi="Calibri"/>
                <w:b w:val="0"/>
                <w:sz w:val="16"/>
              </w:rPr>
              <w:t>9409.2</w:t>
            </w:r>
          </w:p>
        </w:tc>
        <w:tc>
          <w:tcPr>
            <w:tcW w:type="dxa" w:w="1728"/>
            <w:vAlign w:val="center"/>
          </w:tcPr>
          <w:p>
            <w:pPr>
              <w:spacing w:after="0"/>
            </w:pPr>
            <w:r/>
            <w:r>
              <w:rPr>
                <w:rFonts w:ascii="Calibri" w:hAnsi="Calibri"/>
                <w:b w:val="0"/>
                <w:sz w:val="16"/>
              </w:rPr>
              <w:t>1171.2</w:t>
            </w:r>
          </w:p>
        </w:tc>
        <w:tc>
          <w:tcPr>
            <w:tcW w:type="dxa" w:w="1440"/>
            <w:vAlign w:val="center"/>
          </w:tcPr>
          <w:p>
            <w:pPr>
              <w:spacing w:after="0"/>
            </w:pPr>
            <w:r/>
            <w:r>
              <w:rPr>
                <w:rFonts w:ascii="Calibri" w:hAnsi="Calibri"/>
                <w:b w:val="0"/>
                <w:sz w:val="16"/>
              </w:rPr>
              <w:t>1.49×</w:t>
            </w:r>
          </w:p>
        </w:tc>
        <w:tc>
          <w:tcPr>
            <w:tcW w:type="dxa" w:w="1440"/>
            <w:vAlign w:val="center"/>
          </w:tcPr>
          <w:p>
            <w:pPr>
              <w:spacing w:after="0"/>
            </w:pPr>
            <w:r/>
            <w:r>
              <w:rPr>
                <w:rFonts w:ascii="Calibri" w:hAnsi="Calibri"/>
                <w:b w:val="0"/>
                <w:sz w:val="16"/>
              </w:rPr>
              <w:t>3.64×</w:t>
            </w:r>
          </w:p>
        </w:tc>
        <w:tc>
          <w:tcPr>
            <w:tcW w:type="dxa" w:w="1080"/>
            <w:vAlign w:val="center"/>
          </w:tcPr>
          <w:p>
            <w:pPr>
              <w:spacing w:after="0"/>
            </w:pPr>
            <w:r/>
            <w:r>
              <w:rPr>
                <w:rFonts w:ascii="Calibri" w:hAnsi="Calibri"/>
                <w:b w:val="0"/>
                <w:sz w:val="16"/>
              </w:rPr>
              <w:t>37.17%</w:t>
            </w:r>
          </w:p>
        </w:tc>
        <w:tc>
          <w:tcPr>
            <w:tcW w:type="dxa" w:w="1080"/>
            <w:vAlign w:val="center"/>
          </w:tcPr>
          <w:p>
            <w:pPr>
              <w:spacing w:after="0"/>
            </w:pPr>
            <w:r/>
            <w:r>
              <w:rPr>
                <w:rFonts w:ascii="Calibri" w:hAnsi="Calibri"/>
                <w:b w:val="0"/>
                <w:sz w:val="16"/>
              </w:rPr>
              <w:t>90.88%</w:t>
            </w:r>
          </w:p>
        </w:tc>
      </w:tr>
      <w:tr>
        <w:tc>
          <w:tcPr>
            <w:tcW w:type="dxa" w:w="1152"/>
            <w:vAlign w:val="center"/>
          </w:tcPr>
          <w:p>
            <w:pPr>
              <w:spacing w:after="0"/>
            </w:pPr>
            <w:r/>
            <w:r>
              <w:rPr>
                <w:rFonts w:ascii="Calibri" w:hAnsi="Calibri"/>
                <w:b w:val="0"/>
                <w:sz w:val="16"/>
              </w:rPr>
              <w:t>8</w:t>
            </w:r>
          </w:p>
        </w:tc>
        <w:tc>
          <w:tcPr>
            <w:tcW w:type="dxa" w:w="1440"/>
            <w:vAlign w:val="center"/>
          </w:tcPr>
          <w:p>
            <w:pPr>
              <w:spacing w:after="0"/>
            </w:pPr>
            <w:r/>
            <w:r>
              <w:rPr>
                <w:rFonts w:ascii="Calibri" w:hAnsi="Calibri"/>
                <w:b w:val="0"/>
                <w:sz w:val="16"/>
              </w:rPr>
              <w:t>9318.2</w:t>
            </w:r>
          </w:p>
        </w:tc>
        <w:tc>
          <w:tcPr>
            <w:tcW w:type="dxa" w:w="1728"/>
            <w:vAlign w:val="center"/>
          </w:tcPr>
          <w:p>
            <w:pPr>
              <w:spacing w:after="0"/>
            </w:pPr>
            <w:r/>
            <w:r>
              <w:rPr>
                <w:rFonts w:ascii="Calibri" w:hAnsi="Calibri"/>
                <w:b w:val="0"/>
                <w:sz w:val="16"/>
              </w:rPr>
              <w:t>631.4</w:t>
            </w:r>
          </w:p>
        </w:tc>
        <w:tc>
          <w:tcPr>
            <w:tcW w:type="dxa" w:w="1440"/>
            <w:vAlign w:val="center"/>
          </w:tcPr>
          <w:p>
            <w:pPr>
              <w:spacing w:after="0"/>
            </w:pPr>
            <w:r/>
            <w:r>
              <w:rPr>
                <w:rFonts w:ascii="Calibri" w:hAnsi="Calibri"/>
                <w:b w:val="0"/>
                <w:sz w:val="16"/>
              </w:rPr>
              <w:t>1.50×</w:t>
            </w:r>
          </w:p>
        </w:tc>
        <w:tc>
          <w:tcPr>
            <w:tcW w:type="dxa" w:w="1440"/>
            <w:vAlign w:val="center"/>
          </w:tcPr>
          <w:p>
            <w:pPr>
              <w:spacing w:after="0"/>
            </w:pPr>
            <w:r/>
            <w:r>
              <w:rPr>
                <w:rFonts w:ascii="Calibri" w:hAnsi="Calibri"/>
                <w:b w:val="0"/>
                <w:sz w:val="16"/>
              </w:rPr>
              <w:t>6.74×</w:t>
            </w:r>
          </w:p>
        </w:tc>
        <w:tc>
          <w:tcPr>
            <w:tcW w:type="dxa" w:w="1080"/>
            <w:vAlign w:val="center"/>
          </w:tcPr>
          <w:p>
            <w:pPr>
              <w:spacing w:after="0"/>
            </w:pPr>
            <w:r/>
            <w:r>
              <w:rPr>
                <w:rFonts w:ascii="Calibri" w:hAnsi="Calibri"/>
                <w:b w:val="0"/>
                <w:sz w:val="16"/>
              </w:rPr>
              <w:t>18.77%</w:t>
            </w:r>
          </w:p>
        </w:tc>
        <w:tc>
          <w:tcPr>
            <w:tcW w:type="dxa" w:w="1080"/>
            <w:vAlign w:val="center"/>
          </w:tcPr>
          <w:p>
            <w:pPr>
              <w:spacing w:after="0"/>
            </w:pPr>
            <w:r/>
            <w:r>
              <w:rPr>
                <w:rFonts w:ascii="Calibri" w:hAnsi="Calibri"/>
                <w:b w:val="0"/>
                <w:sz w:val="16"/>
              </w:rPr>
              <w:t>84.28%</w:t>
            </w:r>
          </w:p>
        </w:tc>
      </w:tr>
    </w:tbl>
    <w:p>
      <w:pPr>
        <w:spacing w:after="80"/>
      </w:pPr>
    </w:p>
    <w:p>
      <w:pPr>
        <w:jc w:val="center"/>
      </w:pPr>
      <w:r>
        <w:drawing>
          <wp:inline xmlns:a="http://schemas.openxmlformats.org/drawingml/2006/main" xmlns:pic="http://schemas.openxmlformats.org/drawingml/2006/picture">
            <wp:extent cx="5943600" cy="2560320"/>
            <wp:docPr id="6" name="Picture 6"/>
            <wp:cNvGraphicFramePr>
              <a:graphicFrameLocks noChangeAspect="1"/>
            </wp:cNvGraphicFramePr>
            <a:graphic>
              <a:graphicData uri="http://schemas.openxmlformats.org/drawingml/2006/picture">
                <pic:pic>
                  <pic:nvPicPr>
                    <pic:cNvPr id="0" name="speedup.png"/>
                    <pic:cNvPicPr/>
                  </pic:nvPicPr>
                  <pic:blipFill>
                    <a:blip r:embed="rId16"/>
                    <a:stretch>
                      <a:fillRect/>
                    </a:stretch>
                  </pic:blipFill>
                  <pic:spPr>
                    <a:xfrm>
                      <a:off x="0" y="0"/>
                      <a:ext cx="5943600" cy="2560320"/>
                    </a:xfrm>
                    <a:prstGeom prst="rect"/>
                  </pic:spPr>
                </pic:pic>
              </a:graphicData>
            </a:graphic>
          </wp:inline>
        </w:drawing>
      </w:r>
    </w:p>
    <w:p>
      <w:pPr>
        <w:spacing w:before="0" w:after="120" w:line="264" w:lineRule="auto"/>
        <w:jc w:val="center"/>
      </w:pPr>
      <w:r>
        <w:rPr>
          <w:rFonts w:ascii="Calibri" w:hAnsi="Calibri"/>
          <w:b w:val="0"/>
          <w:i w:val="0"/>
          <w:color w:val="5A5A5A"/>
          <w:sz w:val="18"/>
        </w:rPr>
        <w:t>Figura 6. Speedup total vs. speedup de entrenamiento.</w:t>
      </w:r>
    </w:p>
    <w:p>
      <w:pPr>
        <w:spacing w:before="0" w:after="120" w:line="264" w:lineRule="auto"/>
      </w:pPr>
      <w:r>
        <w:rPr>
          <w:rFonts w:ascii="Calibri" w:hAnsi="Calibri"/>
          <w:b w:val="0"/>
          <w:i w:val="0"/>
          <w:sz w:val="22"/>
        </w:rPr>
        <w:t>El entrenamiento escala de forma clara: pasa de 4257.4 ms con 1 worker a 631.4 ms con 8 workers, equivalente a 6.74× de speedup y 84.3% de eficiencia paralela. El speedup total solo llega a 1.50× porque la escritura de archivos CSV y parte del análisis permanecen dominados por E/S, lo cual constituye la fracción serial del pipeline.</w:t>
      </w:r>
    </w:p>
    <w:p>
      <w:pPr>
        <w:pStyle w:val="Heading2"/>
        <w:spacing w:before="240" w:after="120"/>
      </w:pPr>
      <w:r>
        <w:rPr>
          <w:rFonts w:ascii="Calibri" w:hAnsi="Calibri"/>
          <w:b/>
          <w:color w:val="2E74B5"/>
          <w:sz w:val="26"/>
        </w:rPr>
        <w:t>6.6 Latencia de API y salud del clúster</w:t>
      </w:r>
    </w:p>
    <w:tbl>
      <w:tblPr>
        <w:tblW w:type="dxa" w:w="9360"/>
        <w:jc w:val="center"/>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4680"/>
        <w:gridCol w:w="4680"/>
      </w:tblGrid>
      <w:tr>
        <w:tc>
          <w:tcPr>
            <w:tcW w:type="dxa" w:w="3168"/>
            <w:shd w:fill="F2F4F7"/>
            <w:vAlign w:val="center"/>
          </w:tcPr>
          <w:p>
            <w:pPr>
              <w:spacing w:after="0"/>
            </w:pPr>
            <w:r/>
            <w:r>
              <w:rPr>
                <w:rFonts w:ascii="Calibri" w:hAnsi="Calibri"/>
                <w:b/>
                <w:color w:val="0B2545"/>
                <w:sz w:val="18"/>
              </w:rPr>
              <w:t>Prueba</w:t>
            </w:r>
          </w:p>
        </w:tc>
        <w:tc>
          <w:tcPr>
            <w:tcW w:type="dxa" w:w="6192"/>
            <w:shd w:fill="F2F4F7"/>
            <w:vAlign w:val="center"/>
          </w:tcPr>
          <w:p>
            <w:pPr>
              <w:spacing w:after="0"/>
            </w:pPr>
            <w:r/>
            <w:r>
              <w:rPr>
                <w:rFonts w:ascii="Calibri" w:hAnsi="Calibri"/>
                <w:b/>
                <w:color w:val="0B2545"/>
                <w:sz w:val="18"/>
              </w:rPr>
              <w:t>Resultado</w:t>
            </w:r>
          </w:p>
        </w:tc>
      </w:tr>
      <w:tr>
        <w:tc>
          <w:tcPr>
            <w:tcW w:type="dxa" w:w="3168"/>
            <w:vAlign w:val="center"/>
          </w:tcPr>
          <w:p>
            <w:pPr>
              <w:spacing w:after="0"/>
            </w:pPr>
            <w:r/>
            <w:r>
              <w:rPr>
                <w:rFonts w:ascii="Calibri" w:hAnsi="Calibri"/>
                <w:b w:val="0"/>
                <w:sz w:val="17"/>
              </w:rPr>
              <w:t>GET /health</w:t>
            </w:r>
          </w:p>
        </w:tc>
        <w:tc>
          <w:tcPr>
            <w:tcW w:type="dxa" w:w="6192"/>
            <w:vAlign w:val="center"/>
          </w:tcPr>
          <w:p>
            <w:pPr>
              <w:spacing w:after="0"/>
            </w:pPr>
            <w:r/>
            <w:r>
              <w:rPr>
                <w:rFonts w:ascii="Calibri" w:hAnsi="Calibri"/>
                <w:b w:val="0"/>
                <w:sz w:val="17"/>
              </w:rPr>
              <w:t>{"cluster":"up","healthy_nodes":3,"mongodb":"up","redis":"up","status":"ok"}</w:t>
            </w:r>
          </w:p>
        </w:tc>
      </w:tr>
      <w:tr>
        <w:tc>
          <w:tcPr>
            <w:tcW w:type="dxa" w:w="3168"/>
            <w:vAlign w:val="center"/>
          </w:tcPr>
          <w:p>
            <w:pPr>
              <w:spacing w:after="0"/>
            </w:pPr>
            <w:r/>
            <w:r>
              <w:rPr>
                <w:rFonts w:ascii="Calibri" w:hAnsi="Calibri"/>
                <w:b w:val="0"/>
                <w:sz w:val="17"/>
              </w:rPr>
              <w:t>Benchmark REST</w:t>
            </w:r>
          </w:p>
        </w:tc>
        <w:tc>
          <w:tcPr>
            <w:tcW w:type="dxa" w:w="6192"/>
            <w:vAlign w:val="center"/>
          </w:tcPr>
          <w:p>
            <w:pPr>
              <w:spacing w:after="0"/>
            </w:pPr>
            <w:r/>
            <w:r>
              <w:rPr>
                <w:rFonts w:ascii="Calibri" w:hAnsi="Calibri"/>
                <w:b w:val="0"/>
                <w:sz w:val="17"/>
              </w:rPr>
              <w:t>20 solicitudes a /api/v1/forecasts</w:t>
            </w:r>
          </w:p>
        </w:tc>
      </w:tr>
      <w:tr>
        <w:tc>
          <w:tcPr>
            <w:tcW w:type="dxa" w:w="3168"/>
            <w:vAlign w:val="center"/>
          </w:tcPr>
          <w:p>
            <w:pPr>
              <w:spacing w:after="0"/>
            </w:pPr>
            <w:r/>
            <w:r>
              <w:rPr>
                <w:rFonts w:ascii="Calibri" w:hAnsi="Calibri"/>
                <w:b w:val="0"/>
                <w:sz w:val="17"/>
              </w:rPr>
              <w:t>Mediana</w:t>
            </w:r>
          </w:p>
        </w:tc>
        <w:tc>
          <w:tcPr>
            <w:tcW w:type="dxa" w:w="6192"/>
            <w:vAlign w:val="center"/>
          </w:tcPr>
          <w:p>
            <w:pPr>
              <w:spacing w:after="0"/>
            </w:pPr>
            <w:r/>
            <w:r>
              <w:rPr>
                <w:rFonts w:ascii="Calibri" w:hAnsi="Calibri"/>
                <w:b w:val="0"/>
                <w:sz w:val="17"/>
              </w:rPr>
              <w:t>2.41 ms</w:t>
            </w:r>
          </w:p>
        </w:tc>
      </w:tr>
      <w:tr>
        <w:tc>
          <w:tcPr>
            <w:tcW w:type="dxa" w:w="3168"/>
            <w:vAlign w:val="center"/>
          </w:tcPr>
          <w:p>
            <w:pPr>
              <w:spacing w:after="0"/>
            </w:pPr>
            <w:r/>
            <w:r>
              <w:rPr>
                <w:rFonts w:ascii="Calibri" w:hAnsi="Calibri"/>
                <w:b w:val="0"/>
                <w:sz w:val="17"/>
              </w:rPr>
              <w:t>P95</w:t>
            </w:r>
          </w:p>
        </w:tc>
        <w:tc>
          <w:tcPr>
            <w:tcW w:type="dxa" w:w="6192"/>
            <w:vAlign w:val="center"/>
          </w:tcPr>
          <w:p>
            <w:pPr>
              <w:spacing w:after="0"/>
            </w:pPr>
            <w:r/>
            <w:r>
              <w:rPr>
                <w:rFonts w:ascii="Calibri" w:hAnsi="Calibri"/>
                <w:b w:val="0"/>
                <w:sz w:val="17"/>
              </w:rPr>
              <w:t>25.15 ms</w:t>
            </w:r>
          </w:p>
        </w:tc>
      </w:tr>
      <w:tr>
        <w:tc>
          <w:tcPr>
            <w:tcW w:type="dxa" w:w="3168"/>
            <w:vAlign w:val="center"/>
          </w:tcPr>
          <w:p>
            <w:pPr>
              <w:spacing w:after="0"/>
            </w:pPr>
            <w:r/>
            <w:r>
              <w:rPr>
                <w:rFonts w:ascii="Calibri" w:hAnsi="Calibri"/>
                <w:b w:val="0"/>
                <w:sz w:val="17"/>
              </w:rPr>
              <w:t>Cumplimiento &lt; 100 ms</w:t>
            </w:r>
          </w:p>
        </w:tc>
        <w:tc>
          <w:tcPr>
            <w:tcW w:type="dxa" w:w="6192"/>
            <w:vAlign w:val="center"/>
          </w:tcPr>
          <w:p>
            <w:pPr>
              <w:spacing w:after="0"/>
            </w:pPr>
            <w:r/>
            <w:r>
              <w:rPr>
                <w:rFonts w:ascii="Calibri" w:hAnsi="Calibri"/>
                <w:b w:val="0"/>
                <w:sz w:val="17"/>
              </w:rPr>
              <w:t>100%</w:t>
            </w:r>
          </w:p>
        </w:tc>
      </w:tr>
    </w:tbl>
    <w:p>
      <w:pPr>
        <w:spacing w:after="80"/>
      </w:pPr>
    </w:p>
    <w:p>
      <w:pPr>
        <w:pStyle w:val="Heading1"/>
        <w:spacing w:before="320" w:after="160"/>
      </w:pPr>
      <w:r>
        <w:rPr>
          <w:rFonts w:ascii="Calibri" w:hAnsi="Calibri"/>
          <w:b/>
          <w:color w:val="2E74B5"/>
          <w:sz w:val="32"/>
        </w:rPr>
        <w:t>7. Fragmentos de código clave en Go</w:t>
      </w:r>
    </w:p>
    <w:p>
      <w:pPr>
        <w:spacing w:before="0" w:after="120" w:line="264" w:lineRule="auto"/>
      </w:pPr>
      <w:r>
        <w:rPr>
          <w:rFonts w:ascii="Calibri" w:hAnsi="Calibri"/>
          <w:b w:val="0"/>
          <w:i w:val="0"/>
          <w:sz w:val="22"/>
        </w:rPr>
        <w:t>Los siguientes fragmentos resumen la evidencia técnica principal: protocolo TCP con bufio, cálculo concurrente de gradientes, entrenamiento distribuido y endpoint de pronóstico.</w:t>
      </w:r>
    </w:p>
    <w:p>
      <w:pPr>
        <w:spacing w:before="0" w:after="60" w:line="264" w:lineRule="auto"/>
      </w:pPr>
      <w:r>
        <w:rPr>
          <w:rFonts w:ascii="Calibri" w:hAnsi="Calibri"/>
          <w:b/>
          <w:i w:val="0"/>
          <w:color w:val="1F4D78"/>
          <w:sz w:val="19"/>
        </w:rPr>
        <w:t>Snippet 1. Gradiente concurrente dentro de cada nodo ML (pkg/ml/ml.go)</w:t>
      </w:r>
    </w:p>
    <w:tbl>
      <w:tblPr>
        <w:tblW w:type="dxa" w:w="9360"/>
        <w:jc w:val="center"/>
        <w:tblLayout w:type="fixed"/>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9360"/>
      </w:tblGrid>
      <w:tr>
        <w:tc>
          <w:tcPr>
            <w:tcW w:type="dxa" w:w="9360"/>
            <w:shd w:fill="F6F8FA"/>
          </w:tcPr>
          <w:p>
            <w:pPr>
              <w:spacing w:after="0" w:line="240" w:lineRule="auto"/>
            </w:pPr>
            <w:r/>
            <w:r>
              <w:rPr>
                <w:rFonts w:ascii="Consolas" w:hAnsi="Consolas"/>
                <w:color w:val="000000"/>
                <w:sz w:val="16"/>
              </w:rPr>
              <w:t>results := make(chan Gradient, workers)</w:t>
            </w:r>
          </w:p>
          <w:p>
            <w:pPr>
              <w:spacing w:after="0" w:line="240" w:lineRule="auto"/>
            </w:pPr>
            <w:r>
              <w:rPr>
                <w:rFonts w:ascii="Consolas" w:hAnsi="Consolas"/>
                <w:color w:val="000000"/>
                <w:sz w:val="16"/>
              </w:rPr>
              <w:t>for worker := 0; worker &lt; workers; worker++ {</w:t>
            </w:r>
          </w:p>
          <w:p>
            <w:pPr>
              <w:spacing w:after="0" w:line="240" w:lineRule="auto"/>
            </w:pPr>
            <w:r>
              <w:rPr>
                <w:rFonts w:ascii="Consolas" w:hAnsi="Consolas"/>
                <w:color w:val="000000"/>
                <w:sz w:val="16"/>
              </w:rPr>
              <w:t xml:space="preserve">    chunk := records[start:end]</w:t>
            </w:r>
          </w:p>
          <w:p>
            <w:pPr>
              <w:spacing w:after="0" w:line="240" w:lineRule="auto"/>
            </w:pPr>
            <w:r>
              <w:rPr>
                <w:rFonts w:ascii="Consolas" w:hAnsi="Consolas"/>
                <w:color w:val="000000"/>
                <w:sz w:val="16"/>
              </w:rPr>
              <w:t xml:space="preserve">    go func() {</w:t>
            </w:r>
          </w:p>
          <w:p>
            <w:pPr>
              <w:spacing w:after="0" w:line="240" w:lineRule="auto"/>
            </w:pPr>
            <w:r>
              <w:rPr>
                <w:rFonts w:ascii="Consolas" w:hAnsi="Consolas"/>
                <w:color w:val="000000"/>
                <w:sz w:val="16"/>
              </w:rPr>
              <w:t xml:space="preserve">        results &lt;- ComputeGradient(chunk, weights)</w:t>
            </w:r>
          </w:p>
          <w:p>
            <w:pPr>
              <w:spacing w:after="0" w:line="240" w:lineRule="auto"/>
            </w:pPr>
            <w:r>
              <w:rPr>
                <w:rFonts w:ascii="Consolas" w:hAnsi="Consolas"/>
                <w:color w:val="000000"/>
                <w:sz w:val="16"/>
              </w:rPr>
              <w:t xml:space="preserve">    }()</w:t>
            </w:r>
          </w:p>
          <w:p>
            <w:pPr>
              <w:spacing w:after="0" w:line="240" w:lineRule="auto"/>
            </w:pPr>
            <w:r>
              <w:rPr>
                <w:rFonts w:ascii="Consolas" w:hAnsi="Consolas"/>
                <w:color w:val="000000"/>
                <w:sz w:val="16"/>
              </w:rPr>
              <w:t>}</w:t>
            </w:r>
          </w:p>
          <w:p>
            <w:pPr>
              <w:spacing w:after="0" w:line="240" w:lineRule="auto"/>
            </w:pPr>
            <w:r>
              <w:rPr>
                <w:rFonts w:ascii="Consolas" w:hAnsi="Consolas"/>
                <w:color w:val="000000"/>
                <w:sz w:val="16"/>
              </w:rPr>
              <w:t>for worker := 0; worker &lt; workers; worker++ {</w:t>
            </w:r>
          </w:p>
          <w:p>
            <w:pPr>
              <w:spacing w:after="0" w:line="240" w:lineRule="auto"/>
            </w:pPr>
            <w:r>
              <w:rPr>
                <w:rFonts w:ascii="Consolas" w:hAnsi="Consolas"/>
                <w:color w:val="000000"/>
                <w:sz w:val="16"/>
              </w:rPr>
              <w:t xml:space="preserve">    partials = append(partials, &lt;-results)</w:t>
            </w:r>
          </w:p>
          <w:p>
            <w:pPr>
              <w:spacing w:after="0" w:line="240" w:lineRule="auto"/>
            </w:pPr>
            <w:r>
              <w:rPr>
                <w:rFonts w:ascii="Consolas" w:hAnsi="Consolas"/>
                <w:color w:val="000000"/>
                <w:sz w:val="16"/>
              </w:rPr>
              <w:t>}</w:t>
            </w:r>
          </w:p>
          <w:p>
            <w:pPr>
              <w:spacing w:after="0" w:line="240" w:lineRule="auto"/>
            </w:pPr>
            <w:r>
              <w:rPr>
                <w:rFonts w:ascii="Consolas" w:hAnsi="Consolas"/>
                <w:color w:val="000000"/>
                <w:sz w:val="16"/>
              </w:rPr>
              <w:t>average, _ := AggregateGradients(partials, len(weights))</w:t>
            </w:r>
          </w:p>
        </w:tc>
      </w:tr>
    </w:tbl>
    <w:p>
      <w:pPr>
        <w:spacing w:after="80"/>
      </w:pPr>
    </w:p>
    <w:p>
      <w:pPr>
        <w:spacing w:before="0" w:after="60" w:line="264" w:lineRule="auto"/>
      </w:pPr>
      <w:r>
        <w:rPr>
          <w:rFonts w:ascii="Calibri" w:hAnsi="Calibri"/>
          <w:b/>
          <w:i w:val="0"/>
          <w:color w:val="1F4D78"/>
          <w:sz w:val="19"/>
        </w:rPr>
        <w:t>Snippet 2. Entrenamiento distribuido por shards (internal/cluster/coordinator.go)</w:t>
      </w:r>
    </w:p>
    <w:tbl>
      <w:tblPr>
        <w:tblW w:type="dxa" w:w="9360"/>
        <w:jc w:val="center"/>
        <w:tblLayout w:type="fixed"/>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9360"/>
      </w:tblGrid>
      <w:tr>
        <w:tc>
          <w:tcPr>
            <w:tcW w:type="dxa" w:w="9360"/>
            <w:shd w:fill="F6F8FA"/>
          </w:tcPr>
          <w:p>
            <w:pPr>
              <w:spacing w:after="0" w:line="240" w:lineRule="auto"/>
            </w:pPr>
            <w:r/>
            <w:r>
              <w:rPr>
                <w:rFonts w:ascii="Consolas" w:hAnsi="Consolas"/>
                <w:color w:val="000000"/>
                <w:sz w:val="16"/>
              </w:rPr>
              <w:t>for index, shard := range shards {</w:t>
            </w:r>
          </w:p>
          <w:p>
            <w:pPr>
              <w:spacing w:after="0" w:line="240" w:lineRule="auto"/>
            </w:pPr>
            <w:r>
              <w:rPr>
                <w:rFonts w:ascii="Consolas" w:hAnsi="Consolas"/>
                <w:color w:val="000000"/>
                <w:sz w:val="16"/>
              </w:rPr>
              <w:t xml:space="preserve">    wg.Add(1)</w:t>
            </w:r>
          </w:p>
          <w:p>
            <w:pPr>
              <w:spacing w:after="0" w:line="240" w:lineRule="auto"/>
            </w:pPr>
            <w:r>
              <w:rPr>
                <w:rFonts w:ascii="Consolas" w:hAnsi="Consolas"/>
                <w:color w:val="000000"/>
                <w:sz w:val="16"/>
              </w:rPr>
              <w:t xml:space="preserve">    go func(index int, shard indexRange) {</w:t>
            </w:r>
          </w:p>
          <w:p>
            <w:pPr>
              <w:spacing w:after="0" w:line="240" w:lineRule="auto"/>
            </w:pPr>
            <w:r>
              <w:rPr>
                <w:rFonts w:ascii="Consolas" w:hAnsi="Consolas"/>
                <w:color w:val="000000"/>
                <w:sz w:val="16"/>
              </w:rPr>
              <w:t xml:space="preserve">        defer wg.Done()</w:t>
            </w:r>
          </w:p>
          <w:p>
            <w:pPr>
              <w:spacing w:after="0" w:line="240" w:lineRule="auto"/>
            </w:pPr>
            <w:r>
              <w:rPr>
                <w:rFonts w:ascii="Consolas" w:hAnsi="Consolas"/>
                <w:color w:val="000000"/>
                <w:sz w:val="16"/>
              </w:rPr>
              <w:t xml:space="preserve">        gradient, err := c.computeShard(ctx, active, index, shard, weights)</w:t>
            </w:r>
          </w:p>
          <w:p>
            <w:pPr>
              <w:spacing w:after="0" w:line="240" w:lineRule="auto"/>
            </w:pPr>
            <w:r>
              <w:rPr>
                <w:rFonts w:ascii="Consolas" w:hAnsi="Consolas"/>
                <w:color w:val="000000"/>
                <w:sz w:val="16"/>
              </w:rPr>
              <w:t xml:space="preserve">        if err == nil {</w:t>
            </w:r>
          </w:p>
          <w:p>
            <w:pPr>
              <w:spacing w:after="0" w:line="240" w:lineRule="auto"/>
            </w:pPr>
            <w:r>
              <w:rPr>
                <w:rFonts w:ascii="Consolas" w:hAnsi="Consolas"/>
                <w:color w:val="000000"/>
                <w:sz w:val="16"/>
              </w:rPr>
              <w:t xml:space="preserve">            gradients[index] = gradient</w:t>
            </w:r>
          </w:p>
          <w:p>
            <w:pPr>
              <w:spacing w:after="0" w:line="240" w:lineRule="auto"/>
            </w:pPr>
            <w:r>
              <w:rPr>
                <w:rFonts w:ascii="Consolas" w:hAnsi="Consolas"/>
                <w:color w:val="000000"/>
                <w:sz w:val="16"/>
              </w:rPr>
              <w:t xml:space="preserve">        }</w:t>
            </w:r>
          </w:p>
          <w:p>
            <w:pPr>
              <w:spacing w:after="0" w:line="240" w:lineRule="auto"/>
            </w:pPr>
            <w:r>
              <w:rPr>
                <w:rFonts w:ascii="Consolas" w:hAnsi="Consolas"/>
                <w:color w:val="000000"/>
                <w:sz w:val="16"/>
              </w:rPr>
              <w:t xml:space="preserve">        errs &lt;- err</w:t>
            </w:r>
          </w:p>
          <w:p>
            <w:pPr>
              <w:spacing w:after="0" w:line="240" w:lineRule="auto"/>
            </w:pPr>
            <w:r>
              <w:rPr>
                <w:rFonts w:ascii="Consolas" w:hAnsi="Consolas"/>
                <w:color w:val="000000"/>
                <w:sz w:val="16"/>
              </w:rPr>
              <w:t xml:space="preserve">    }(index, shard)</w:t>
            </w:r>
          </w:p>
          <w:p>
            <w:pPr>
              <w:spacing w:after="0" w:line="240" w:lineRule="auto"/>
            </w:pPr>
            <w:r>
              <w:rPr>
                <w:rFonts w:ascii="Consolas" w:hAnsi="Consolas"/>
                <w:color w:val="000000"/>
                <w:sz w:val="16"/>
              </w:rPr>
              <w:t>}</w:t>
            </w:r>
          </w:p>
          <w:p>
            <w:pPr>
              <w:spacing w:after="0" w:line="240" w:lineRule="auto"/>
            </w:pPr>
            <w:r>
              <w:rPr>
                <w:rFonts w:ascii="Consolas" w:hAnsi="Consolas"/>
                <w:color w:val="000000"/>
                <w:sz w:val="16"/>
              </w:rPr>
              <w:t>wg.Wait()</w:t>
            </w:r>
          </w:p>
          <w:p>
            <w:pPr>
              <w:spacing w:after="0" w:line="240" w:lineRule="auto"/>
            </w:pPr>
            <w:r>
              <w:rPr>
                <w:rFonts w:ascii="Consolas" w:hAnsi="Consolas"/>
                <w:color w:val="000000"/>
                <w:sz w:val="16"/>
              </w:rPr>
              <w:t>aggregate, _ := ml.AggregateGradients(gradients, len(weights))</w:t>
            </w:r>
          </w:p>
          <w:p>
            <w:pPr>
              <w:spacing w:after="0" w:line="240" w:lineRule="auto"/>
            </w:pPr>
            <w:r>
              <w:rPr>
                <w:rFonts w:ascii="Consolas" w:hAnsi="Consolas"/>
                <w:color w:val="000000"/>
                <w:sz w:val="16"/>
              </w:rPr>
              <w:t>weights = ml.ApplyGradient(weights, aggregate, options.LearningRate)</w:t>
            </w:r>
          </w:p>
        </w:tc>
      </w:tr>
    </w:tbl>
    <w:p>
      <w:pPr>
        <w:spacing w:after="80"/>
      </w:pPr>
    </w:p>
    <w:p>
      <w:pPr>
        <w:spacing w:before="0" w:after="60" w:line="264" w:lineRule="auto"/>
      </w:pPr>
      <w:r>
        <w:rPr>
          <w:rFonts w:ascii="Calibri" w:hAnsi="Calibri"/>
          <w:b/>
          <w:i w:val="0"/>
          <w:color w:val="1F4D78"/>
          <w:sz w:val="19"/>
        </w:rPr>
        <w:t>Snippet 3. Worker ML con TCP persistente y bufio (cmd/ml-node/main.go)</w:t>
      </w:r>
    </w:p>
    <w:tbl>
      <w:tblPr>
        <w:tblW w:type="dxa" w:w="9360"/>
        <w:jc w:val="center"/>
        <w:tblLayout w:type="fixed"/>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9360"/>
      </w:tblGrid>
      <w:tr>
        <w:tc>
          <w:tcPr>
            <w:tcW w:type="dxa" w:w="9360"/>
            <w:shd w:fill="F6F8FA"/>
          </w:tcPr>
          <w:p>
            <w:pPr>
              <w:spacing w:after="0" w:line="240" w:lineRule="auto"/>
            </w:pPr>
            <w:r/>
            <w:r>
              <w:rPr>
                <w:rFonts w:ascii="Consolas" w:hAnsi="Consolas"/>
                <w:color w:val="000000"/>
                <w:sz w:val="16"/>
              </w:rPr>
              <w:t>conn, _ := net.DialTimeout("tcp", address, 5*time.Second)</w:t>
            </w:r>
          </w:p>
          <w:p>
            <w:pPr>
              <w:spacing w:after="0" w:line="240" w:lineRule="auto"/>
            </w:pPr>
            <w:r>
              <w:rPr>
                <w:rFonts w:ascii="Consolas" w:hAnsi="Consolas"/>
                <w:color w:val="000000"/>
                <w:sz w:val="16"/>
              </w:rPr>
              <w:t>writer := bufio.NewWriter(conn)</w:t>
            </w:r>
          </w:p>
          <w:p>
            <w:pPr>
              <w:spacing w:after="0" w:line="240" w:lineRule="auto"/>
            </w:pPr>
            <w:r>
              <w:rPr>
                <w:rFonts w:ascii="Consolas" w:hAnsi="Consolas"/>
                <w:color w:val="000000"/>
                <w:sz w:val="16"/>
              </w:rPr>
              <w:t>reader := bufio.NewReader(conn)</w:t>
            </w:r>
          </w:p>
          <w:p>
            <w:pPr>
              <w:spacing w:after="0" w:line="240" w:lineRule="auto"/>
            </w:pPr>
            <w:r>
              <w:rPr>
                <w:rFonts w:ascii="Consolas" w:hAnsi="Consolas"/>
                <w:color w:val="000000"/>
                <w:sz w:val="16"/>
              </w:rPr>
              <w:t>protocol.Encode(writer, register)</w:t>
            </w:r>
          </w:p>
          <w:p>
            <w:pPr>
              <w:spacing w:after="0" w:line="240" w:lineRule="auto"/>
            </w:pPr>
            <w:r>
              <w:rPr>
                <w:rFonts w:ascii="Consolas" w:hAnsi="Consolas"/>
                <w:color w:val="000000"/>
                <w:sz w:val="16"/>
              </w:rPr>
              <w:t>for {</w:t>
            </w:r>
          </w:p>
          <w:p>
            <w:pPr>
              <w:spacing w:after="0" w:line="240" w:lineRule="auto"/>
            </w:pPr>
            <w:r>
              <w:rPr>
                <w:rFonts w:ascii="Consolas" w:hAnsi="Consolas"/>
                <w:color w:val="000000"/>
                <w:sz w:val="16"/>
              </w:rPr>
              <w:t xml:space="preserve">    message, err := protocol.Decode(reader)</w:t>
            </w:r>
          </w:p>
          <w:p>
            <w:pPr>
              <w:spacing w:after="0" w:line="240" w:lineRule="auto"/>
            </w:pPr>
            <w:r>
              <w:rPr>
                <w:rFonts w:ascii="Consolas" w:hAnsi="Consolas"/>
                <w:color w:val="000000"/>
                <w:sz w:val="16"/>
              </w:rPr>
              <w:t xml:space="preserve">    if err != nil { return err }</w:t>
            </w:r>
          </w:p>
          <w:p>
            <w:pPr>
              <w:spacing w:after="0" w:line="240" w:lineRule="auto"/>
            </w:pPr>
            <w:r>
              <w:rPr>
                <w:rFonts w:ascii="Consolas" w:hAnsi="Consolas"/>
                <w:color w:val="000000"/>
                <w:sz w:val="16"/>
              </w:rPr>
              <w:t xml:space="preserve">    go func(message protocol.Message) {</w:t>
            </w:r>
          </w:p>
          <w:p>
            <w:pPr>
              <w:spacing w:after="0" w:line="240" w:lineRule="auto"/>
            </w:pPr>
            <w:r>
              <w:rPr>
                <w:rFonts w:ascii="Consolas" w:hAnsi="Consolas"/>
                <w:color w:val="000000"/>
                <w:sz w:val="16"/>
              </w:rPr>
              <w:t xml:space="preserve">        response := runtime.handle(message)</w:t>
            </w:r>
          </w:p>
          <w:p>
            <w:pPr>
              <w:spacing w:after="0" w:line="240" w:lineRule="auto"/>
            </w:pPr>
            <w:r>
              <w:rPr>
                <w:rFonts w:ascii="Consolas" w:hAnsi="Consolas"/>
                <w:color w:val="000000"/>
                <w:sz w:val="16"/>
              </w:rPr>
              <w:t xml:space="preserve">        writeMu.Lock()</w:t>
            </w:r>
          </w:p>
          <w:p>
            <w:pPr>
              <w:spacing w:after="0" w:line="240" w:lineRule="auto"/>
            </w:pPr>
            <w:r>
              <w:rPr>
                <w:rFonts w:ascii="Consolas" w:hAnsi="Consolas"/>
                <w:color w:val="000000"/>
                <w:sz w:val="16"/>
              </w:rPr>
              <w:t xml:space="preserve">        defer writeMu.Unlock()</w:t>
            </w:r>
          </w:p>
          <w:p>
            <w:pPr>
              <w:spacing w:after="0" w:line="240" w:lineRule="auto"/>
            </w:pPr>
            <w:r>
              <w:rPr>
                <w:rFonts w:ascii="Consolas" w:hAnsi="Consolas"/>
                <w:color w:val="000000"/>
                <w:sz w:val="16"/>
              </w:rPr>
              <w:t xml:space="preserve">        protocol.Encode(writer, response)</w:t>
            </w:r>
          </w:p>
          <w:p>
            <w:pPr>
              <w:spacing w:after="0" w:line="240" w:lineRule="auto"/>
            </w:pPr>
            <w:r>
              <w:rPr>
                <w:rFonts w:ascii="Consolas" w:hAnsi="Consolas"/>
                <w:color w:val="000000"/>
                <w:sz w:val="16"/>
              </w:rPr>
              <w:t xml:space="preserve">    }(message)</w:t>
            </w:r>
          </w:p>
          <w:p>
            <w:pPr>
              <w:spacing w:after="0" w:line="240" w:lineRule="auto"/>
            </w:pPr>
            <w:r>
              <w:rPr>
                <w:rFonts w:ascii="Consolas" w:hAnsi="Consolas"/>
                <w:color w:val="000000"/>
                <w:sz w:val="16"/>
              </w:rPr>
              <w:t>}</w:t>
            </w:r>
          </w:p>
        </w:tc>
      </w:tr>
    </w:tbl>
    <w:p>
      <w:pPr>
        <w:spacing w:after="80"/>
      </w:pPr>
    </w:p>
    <w:p>
      <w:pPr>
        <w:spacing w:before="0" w:after="60" w:line="264" w:lineRule="auto"/>
      </w:pPr>
      <w:r>
        <w:rPr>
          <w:rFonts w:ascii="Calibri" w:hAnsi="Calibri"/>
          <w:b/>
          <w:i w:val="0"/>
          <w:color w:val="1F4D78"/>
          <w:sz w:val="19"/>
        </w:rPr>
        <w:t>Snippet 4. Reasignación de predicción ante falla de nodo (internal/cluster/coordinator.go)</w:t>
      </w:r>
    </w:p>
    <w:tbl>
      <w:tblPr>
        <w:tblW w:type="dxa" w:w="9360"/>
        <w:jc w:val="center"/>
        <w:tblLayout w:type="fixed"/>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9360"/>
      </w:tblGrid>
      <w:tr>
        <w:tc>
          <w:tcPr>
            <w:tcW w:type="dxa" w:w="9360"/>
            <w:shd w:fill="F6F8FA"/>
          </w:tcPr>
          <w:p>
            <w:pPr>
              <w:spacing w:after="0" w:line="240" w:lineRule="auto"/>
            </w:pPr>
            <w:r/>
            <w:r>
              <w:rPr>
                <w:rFonts w:ascii="Consolas" w:hAnsi="Consolas"/>
                <w:color w:val="000000"/>
                <w:sz w:val="16"/>
              </w:rPr>
              <w:t>for attempt := 0; attempt &lt; len(nodes); attempt++ {</w:t>
            </w:r>
          </w:p>
          <w:p>
            <w:pPr>
              <w:spacing w:after="0" w:line="240" w:lineRule="auto"/>
            </w:pPr>
            <w:r>
              <w:rPr>
                <w:rFonts w:ascii="Consolas" w:hAnsi="Consolas"/>
                <w:color w:val="000000"/>
                <w:sz w:val="16"/>
              </w:rPr>
              <w:t xml:space="preserve">    node := nodes[(startIndex+attempt)%len(nodes)]</w:t>
            </w:r>
          </w:p>
          <w:p>
            <w:pPr>
              <w:spacing w:after="0" w:line="240" w:lineRule="auto"/>
            </w:pPr>
            <w:r>
              <w:rPr>
                <w:rFonts w:ascii="Consolas" w:hAnsi="Consolas"/>
                <w:color w:val="000000"/>
                <w:sz w:val="16"/>
              </w:rPr>
              <w:t xml:space="preserve">    response, err := c.call(ctx, node, protocol.Predict, payload)</w:t>
            </w:r>
          </w:p>
          <w:p>
            <w:pPr>
              <w:spacing w:after="0" w:line="240" w:lineRule="auto"/>
            </w:pPr>
            <w:r>
              <w:rPr>
                <w:rFonts w:ascii="Consolas" w:hAnsi="Consolas"/>
                <w:color w:val="000000"/>
                <w:sz w:val="16"/>
              </w:rPr>
              <w:t xml:space="preserve">    if err != nil {</w:t>
            </w:r>
          </w:p>
          <w:p>
            <w:pPr>
              <w:spacing w:after="0" w:line="240" w:lineRule="auto"/>
            </w:pPr>
            <w:r>
              <w:rPr>
                <w:rFonts w:ascii="Consolas" w:hAnsi="Consolas"/>
                <w:color w:val="000000"/>
                <w:sz w:val="16"/>
              </w:rPr>
              <w:t xml:space="preserve">        c.emit(Event{NodeID: node.info.ID, Type: "prediction_reassigned"})</w:t>
            </w:r>
          </w:p>
          <w:p>
            <w:pPr>
              <w:spacing w:after="0" w:line="240" w:lineRule="auto"/>
            </w:pPr>
            <w:r>
              <w:rPr>
                <w:rFonts w:ascii="Consolas" w:hAnsi="Consolas"/>
                <w:color w:val="000000"/>
                <w:sz w:val="16"/>
              </w:rPr>
              <w:t xml:space="preserve">        continue</w:t>
            </w:r>
          </w:p>
          <w:p>
            <w:pPr>
              <w:spacing w:after="0" w:line="240" w:lineRule="auto"/>
            </w:pPr>
            <w:r>
              <w:rPr>
                <w:rFonts w:ascii="Consolas" w:hAnsi="Consolas"/>
                <w:color w:val="000000"/>
                <w:sz w:val="16"/>
              </w:rPr>
              <w:t xml:space="preserve">    }</w:t>
            </w:r>
          </w:p>
          <w:p>
            <w:pPr>
              <w:spacing w:after="0" w:line="240" w:lineRule="auto"/>
            </w:pPr>
            <w:r>
              <w:rPr>
                <w:rFonts w:ascii="Consolas" w:hAnsi="Consolas"/>
                <w:color w:val="000000"/>
                <w:sz w:val="16"/>
              </w:rPr>
              <w:t xml:space="preserve">    return PredictionResult{Prediction: prediction, NodeID: node.info.ID}, nil</w:t>
            </w:r>
          </w:p>
          <w:p>
            <w:pPr>
              <w:spacing w:after="0" w:line="240" w:lineRule="auto"/>
            </w:pPr>
            <w:r>
              <w:rPr>
                <w:rFonts w:ascii="Consolas" w:hAnsi="Consolas"/>
                <w:color w:val="000000"/>
                <w:sz w:val="16"/>
              </w:rPr>
              <w:t>}</w:t>
            </w:r>
          </w:p>
        </w:tc>
      </w:tr>
    </w:tbl>
    <w:p>
      <w:pPr>
        <w:spacing w:after="80"/>
      </w:pPr>
    </w:p>
    <w:p>
      <w:pPr>
        <w:spacing w:before="0" w:after="60" w:line="264" w:lineRule="auto"/>
      </w:pPr>
      <w:r>
        <w:rPr>
          <w:rFonts w:ascii="Calibri" w:hAnsi="Calibri"/>
          <w:b/>
          <w:i w:val="0"/>
          <w:color w:val="1F4D78"/>
          <w:sz w:val="19"/>
        </w:rPr>
        <w:t>Snippet 5. Endpoint principal de pronóstico (internal/api/server.go)</w:t>
      </w:r>
    </w:p>
    <w:tbl>
      <w:tblPr>
        <w:tblW w:type="dxa" w:w="9360"/>
        <w:jc w:val="center"/>
        <w:tblLayout w:type="fixed"/>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9360"/>
      </w:tblGrid>
      <w:tr>
        <w:tc>
          <w:tcPr>
            <w:tcW w:type="dxa" w:w="9360"/>
            <w:shd w:fill="F6F8FA"/>
          </w:tcPr>
          <w:p>
            <w:pPr>
              <w:spacing w:after="0" w:line="240" w:lineRule="auto"/>
            </w:pPr>
            <w:r/>
            <w:r>
              <w:rPr>
                <w:rFonts w:ascii="Consolas" w:hAnsi="Consolas"/>
                <w:color w:val="000000"/>
                <w:sz w:val="16"/>
              </w:rPr>
              <w:t>protected.HandleFunc("POST /api/v1/forecasts", s.createForecast)</w:t>
            </w:r>
          </w:p>
          <w:p>
            <w:pPr>
              <w:spacing w:after="0" w:line="240" w:lineRule="auto"/>
            </w:pPr>
            <w:r>
              <w:rPr>
                <w:rFonts w:ascii="Consolas" w:hAnsi="Consolas"/>
                <w:color w:val="000000"/>
                <w:sz w:val="16"/>
              </w:rPr>
              <w:t>record, err := s.forecast(r.Context(), request)</w:t>
            </w:r>
          </w:p>
          <w:p>
            <w:pPr>
              <w:spacing w:after="0" w:line="240" w:lineRule="auto"/>
            </w:pPr>
            <w:r>
              <w:rPr>
                <w:rFonts w:ascii="Consolas" w:hAnsi="Consolas"/>
                <w:color w:val="000000"/>
                <w:sz w:val="16"/>
              </w:rPr>
              <w:t>if err != nil {</w:t>
            </w:r>
          </w:p>
          <w:p>
            <w:pPr>
              <w:spacing w:after="0" w:line="240" w:lineRule="auto"/>
            </w:pPr>
            <w:r>
              <w:rPr>
                <w:rFonts w:ascii="Consolas" w:hAnsi="Consolas"/>
                <w:color w:val="000000"/>
                <w:sz w:val="16"/>
              </w:rPr>
              <w:t xml:space="preserve">    writeError(w, http.StatusBadRequest, err.Error())</w:t>
            </w:r>
          </w:p>
          <w:p>
            <w:pPr>
              <w:spacing w:after="0" w:line="240" w:lineRule="auto"/>
            </w:pPr>
            <w:r>
              <w:rPr>
                <w:rFonts w:ascii="Consolas" w:hAnsi="Consolas"/>
                <w:color w:val="000000"/>
                <w:sz w:val="16"/>
              </w:rPr>
              <w:t xml:space="preserve">    return</w:t>
            </w:r>
          </w:p>
          <w:p>
            <w:pPr>
              <w:spacing w:after="0" w:line="240" w:lineRule="auto"/>
            </w:pPr>
            <w:r>
              <w:rPr>
                <w:rFonts w:ascii="Consolas" w:hAnsi="Consolas"/>
                <w:color w:val="000000"/>
                <w:sz w:val="16"/>
              </w:rPr>
              <w:t>}</w:t>
            </w:r>
          </w:p>
          <w:p>
            <w:pPr>
              <w:spacing w:after="0" w:line="240" w:lineRule="auto"/>
            </w:pPr>
            <w:r>
              <w:rPr>
                <w:rFonts w:ascii="Consolas" w:hAnsi="Consolas"/>
                <w:color w:val="000000"/>
                <w:sz w:val="16"/>
              </w:rPr>
              <w:t>writeJSON(w, http.StatusCreated, record)</w:t>
            </w:r>
          </w:p>
        </w:tc>
      </w:tr>
    </w:tbl>
    <w:p>
      <w:pPr>
        <w:spacing w:after="80"/>
      </w:pPr>
    </w:p>
    <w:p>
      <w:pPr>
        <w:pStyle w:val="Heading1"/>
        <w:spacing w:before="320" w:after="160"/>
      </w:pPr>
      <w:r>
        <w:rPr>
          <w:rFonts w:ascii="Calibri" w:hAnsi="Calibri"/>
          <w:b/>
          <w:color w:val="2E74B5"/>
          <w:sz w:val="32"/>
        </w:rPr>
        <w:t>8. Instrucciones de reproducción</w:t>
      </w:r>
    </w:p>
    <w:p>
      <w:pPr>
        <w:spacing w:before="0" w:after="120" w:line="264" w:lineRule="auto"/>
      </w:pPr>
      <w:r>
        <w:rPr>
          <w:rFonts w:ascii="Calibri" w:hAnsi="Calibri"/>
          <w:b w:val="0"/>
          <w:i w:val="0"/>
          <w:sz w:val="22"/>
        </w:rPr>
        <w:t>Desde la raíz del proyecto se pueden reproducir los artefactos y pruebas principales con los siguientes comandos:</w:t>
      </w:r>
    </w:p>
    <w:p>
      <w:pPr>
        <w:spacing w:after="40"/>
        <w:ind w:left="360"/>
      </w:pPr>
      <w:r>
        <w:rPr>
          <w:rFonts w:ascii="Consolas" w:hAnsi="Consolas"/>
          <w:color w:val="0B2545"/>
          <w:sz w:val="19"/>
        </w:rPr>
        <w:t>go run ./data-load/cmd -root . -workers 8</w:t>
      </w:r>
    </w:p>
    <w:p>
      <w:pPr>
        <w:spacing w:after="40"/>
        <w:ind w:left="360"/>
      </w:pPr>
      <w:r>
        <w:rPr>
          <w:rFonts w:ascii="Consolas" w:hAnsi="Consolas"/>
          <w:color w:val="0B2545"/>
          <w:sz w:val="19"/>
        </w:rPr>
        <w:t>go test ./...</w:t>
      </w:r>
    </w:p>
    <w:p>
      <w:pPr>
        <w:spacing w:after="40"/>
        <w:ind w:left="360"/>
      </w:pPr>
      <w:r>
        <w:rPr>
          <w:rFonts w:ascii="Consolas" w:hAnsi="Consolas"/>
          <w:color w:val="0B2545"/>
          <w:sz w:val="19"/>
        </w:rPr>
        <w:t>docker compose up --build</w:t>
      </w:r>
    </w:p>
    <w:p>
      <w:pPr>
        <w:spacing w:after="40"/>
        <w:ind w:left="360"/>
      </w:pPr>
      <w:r>
        <w:rPr>
          <w:rFonts w:ascii="Consolas" w:hAnsi="Consolas"/>
          <w:color w:val="0B2545"/>
          <w:sz w:val="19"/>
        </w:rPr>
        <w:t>curl http://localhost:8080/health</w:t>
      </w:r>
    </w:p>
    <w:p>
      <w:pPr>
        <w:spacing w:after="40"/>
        <w:ind w:left="360"/>
      </w:pPr>
      <w:r>
        <w:rPr>
          <w:rFonts w:ascii="Consolas" w:hAnsi="Consolas"/>
          <w:color w:val="0B2545"/>
          <w:sz w:val="19"/>
        </w:rPr>
        <w:t>powershell -ExecutionPolicy Bypass -File .\scripts\benchmark_api.ps1 -Requests 20</w:t>
      </w:r>
    </w:p>
    <w:p>
      <w:pPr>
        <w:pStyle w:val="Heading1"/>
        <w:spacing w:before="320" w:after="160"/>
      </w:pPr>
      <w:r>
        <w:rPr>
          <w:rFonts w:ascii="Calibri" w:hAnsi="Calibri"/>
          <w:b/>
          <w:color w:val="2E74B5"/>
          <w:sz w:val="32"/>
        </w:rPr>
        <w:t>9. Conclusiones y trabajo futuro</w:t>
      </w:r>
    </w:p>
    <w:p>
      <w:pPr>
        <w:pStyle w:val="ListBullet"/>
        <w:spacing w:after="80"/>
      </w:pPr>
      <w:r>
        <w:rPr>
          <w:rFonts w:ascii="Calibri" w:hAnsi="Calibri"/>
          <w:sz w:val="21"/>
        </w:rPr>
        <w:t>PowerSight transforma el análisis histórico por hora, día y mes en una herramienta preventiva para el usuario final.</w:t>
      </w:r>
    </w:p>
    <w:p>
      <w:pPr>
        <w:pStyle w:val="ListBullet"/>
        <w:spacing w:after="80"/>
      </w:pPr>
      <w:r>
        <w:rPr>
          <w:rFonts w:ascii="Calibri" w:hAnsi="Calibri"/>
          <w:sz w:val="21"/>
        </w:rPr>
        <w:t>La formulación FutureSustainedHighConsumption30m evita una solución trivial basada solo en el consumo actual.</w:t>
      </w:r>
    </w:p>
    <w:p>
      <w:pPr>
        <w:pStyle w:val="ListBullet"/>
        <w:spacing w:after="80"/>
      </w:pPr>
      <w:r>
        <w:rPr>
          <w:rFonts w:ascii="Calibri" w:hAnsi="Calibri"/>
          <w:sz w:val="21"/>
        </w:rPr>
        <w:t>El modelo alcanza 87.90% de recall en prueba, métrica prioritaria para alertas preventivas.</w:t>
      </w:r>
    </w:p>
    <w:p>
      <w:pPr>
        <w:pStyle w:val="ListBullet"/>
        <w:spacing w:after="80"/>
      </w:pPr>
      <w:r>
        <w:rPr>
          <w:rFonts w:ascii="Calibri" w:hAnsi="Calibri"/>
          <w:sz w:val="21"/>
        </w:rPr>
        <w:t>El entrenamiento concurrente escala de manera sólida: 6.74× de speedup con 8 workers.</w:t>
      </w:r>
    </w:p>
    <w:p>
      <w:pPr>
        <w:pStyle w:val="ListBullet"/>
        <w:spacing w:after="80"/>
      </w:pPr>
      <w:r>
        <w:rPr>
          <w:rFonts w:ascii="Calibri" w:hAnsi="Calibri"/>
          <w:sz w:val="21"/>
        </w:rPr>
        <w:t>El speedup global queda limitado por la fracción serial de E/S, principalmente escritura de CSV, lo que coincide con la ley de Amdahl.</w:t>
      </w:r>
    </w:p>
    <w:p>
      <w:pPr>
        <w:pStyle w:val="ListBullet"/>
        <w:spacing w:after="80"/>
      </w:pPr>
      <w:r>
        <w:rPr>
          <w:rFonts w:ascii="Calibri" w:hAnsi="Calibri"/>
          <w:sz w:val="21"/>
        </w:rPr>
        <w:t>La arquitectura estrella con API/coordinador y tres workers ML cumple el requisito de sistema distribuido observable y tolerante a fallas simples.</w:t>
      </w:r>
    </w:p>
    <w:p>
      <w:pPr>
        <w:pStyle w:val="ListBullet"/>
        <w:spacing w:after="80"/>
      </w:pPr>
      <w:r>
        <w:rPr>
          <w:rFonts w:ascii="Calibri" w:hAnsi="Calibri"/>
          <w:sz w:val="21"/>
        </w:rPr>
        <w:t>La API cumple la meta de latencia menor a 100 ms en las pruebas realizadas.</w:t>
      </w:r>
    </w:p>
    <w:p>
      <w:pPr>
        <w:pStyle w:val="Heading2"/>
        <w:spacing w:before="240" w:after="120"/>
      </w:pPr>
      <w:r>
        <w:rPr>
          <w:rFonts w:ascii="Calibri" w:hAnsi="Calibri"/>
          <w:b/>
          <w:color w:val="2E74B5"/>
          <w:sz w:val="26"/>
        </w:rPr>
        <w:t>9.1 Trabajo futuro</w:t>
      </w:r>
    </w:p>
    <w:p>
      <w:pPr>
        <w:pStyle w:val="ListBullet"/>
        <w:spacing w:after="80"/>
      </w:pPr>
      <w:r>
        <w:rPr>
          <w:rFonts w:ascii="Calibri" w:hAnsi="Calibri"/>
          <w:sz w:val="21"/>
        </w:rPr>
        <w:t>Repetir benchmarks al menos cinco veces y reportar intervalos de confianza.</w:t>
      </w:r>
    </w:p>
    <w:p>
      <w:pPr>
        <w:pStyle w:val="ListBullet"/>
        <w:spacing w:after="80"/>
      </w:pPr>
      <w:r>
        <w:rPr>
          <w:rFonts w:ascii="Calibri" w:hAnsi="Calibri"/>
          <w:sz w:val="21"/>
        </w:rPr>
        <w:t>Separar benchmark de cómputo puro del costo de escritura para estimar mejor la fracción paralelizable.</w:t>
      </w:r>
    </w:p>
    <w:p>
      <w:pPr>
        <w:pStyle w:val="ListBullet"/>
        <w:spacing w:after="80"/>
      </w:pPr>
      <w:r>
        <w:rPr>
          <w:rFonts w:ascii="Calibri" w:hAnsi="Calibri"/>
          <w:sz w:val="21"/>
        </w:rPr>
        <w:t>Persistir curvas por época directamente desde Go dentro de forecast_model.json.</w:t>
      </w:r>
    </w:p>
    <w:p>
      <w:pPr>
        <w:pStyle w:val="ListBullet"/>
        <w:spacing w:after="80"/>
      </w:pPr>
      <w:r>
        <w:rPr>
          <w:rFonts w:ascii="Calibri" w:hAnsi="Calibri"/>
          <w:sz w:val="21"/>
        </w:rPr>
        <w:t>Incorporar tarifas eléctricas para estimar ahorro monetario por recomendación.</w:t>
      </w:r>
    </w:p>
    <w:p>
      <w:pPr>
        <w:pStyle w:val="ListBullet"/>
        <w:spacing w:after="80"/>
      </w:pPr>
      <w:r>
        <w:rPr>
          <w:rFonts w:ascii="Calibri" w:hAnsi="Calibri"/>
          <w:sz w:val="21"/>
        </w:rPr>
        <w:t>Agregar un frontend con visualización en vivo de alertas WebSocket.</w:t>
      </w:r>
    </w:p>
    <w:p>
      <w:pPr>
        <w:pStyle w:val="Heading1"/>
        <w:spacing w:before="320" w:after="160"/>
      </w:pPr>
      <w:r>
        <w:rPr>
          <w:rFonts w:ascii="Calibri" w:hAnsi="Calibri"/>
          <w:b/>
          <w:color w:val="2E74B5"/>
          <w:sz w:val="32"/>
        </w:rPr>
        <w:t>10. Referencias bibliográficas</w:t>
      </w:r>
    </w:p>
    <w:p>
      <w:pPr>
        <w:pStyle w:val="ListBullet"/>
        <w:spacing w:after="80"/>
      </w:pPr>
      <w:r>
        <w:rPr>
          <w:rFonts w:ascii="Calibri" w:hAnsi="Calibri"/>
          <w:sz w:val="21"/>
        </w:rPr>
        <w:t>UCI Machine Learning Repository. Individual Household Electric Power Consumption Dataset. https://archive.ics.uci.edu/dataset/235</w:t>
      </w:r>
    </w:p>
    <w:p>
      <w:pPr>
        <w:pStyle w:val="ListBullet"/>
        <w:spacing w:after="80"/>
      </w:pPr>
      <w:r>
        <w:rPr>
          <w:rFonts w:ascii="Calibri" w:hAnsi="Calibri"/>
          <w:sz w:val="21"/>
        </w:rPr>
        <w:t>Documentación técnica del proyecto: README.md, docs/DISTRIBUTED_SYSTEM.md y docs/openapi.yaml.</w:t>
      </w:r>
    </w:p>
    <w:p>
      <w:pPr>
        <w:pStyle w:val="ListBullet"/>
        <w:spacing w:after="80"/>
      </w:pPr>
      <w:r>
        <w:rPr>
          <w:rFonts w:ascii="Calibri" w:hAnsi="Calibri"/>
          <w:sz w:val="21"/>
        </w:rPr>
        <w:t>Código fuente del sistema PowerSight implementado en Go: cmd/api, cmd/ml-node, pkg/ml, pkg/protocol, internal/cluster, internal/api, internal/store, internal/cache e internal/realtime.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A5A5A"/>
        <w:sz w:val="18"/>
      </w:rPr>
      <w:t xml:space="preserve">Página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olor w:val="5A5A5A"/>
        <w:sz w:val="18"/>
      </w:rPr>
      <w:t>PowerSight - Programación Concurrente y Distribuida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