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ПРОЕКТ Концепції державної політики щодо досягнення цілі 1.2. «Випускники школи є самодостатніми, творчими та креативними особистостями, які мають ґрунтовні знання та володіють компетентностями, що потрібні у сучасному світі» Програми діяльності Кабінету Міністрів України</w:t>
      </w:r>
    </w:p>
    <w:p>
      <w:pPr/>
      <w:r>
        <w:rPr>
          <w:b w:val="1"/>
          <w:bCs w:val="1"/>
        </w:rPr>
        <w:t xml:space="preserve">1.	ПРОБЛЕМА ПОЛІТИКИ</w:t>
      </w:r>
    </w:p>
    <w:p>
      <w:pPr/>
      <w:r>
        <w:rPr>
          <w:b w:val="1"/>
          <w:bCs w:val="1"/>
        </w:rPr>
        <w:t xml:space="preserve">1.1. Проблема</w:t>
      </w:r>
    </w:p>
    <w:p>
      <w:pPr/>
      <w:r>
        <w:rPr/>
        <w:t xml:space="preserve">Учні в закладах загальної середньої освіти не набувають компетентності, які б забезпечили їм успішний особистісний та професійний розвиток</w:t>
      </w:r>
    </w:p>
    <w:p>
      <w:pPr/>
      <w:r>
        <w:rPr>
          <w:b w:val="1"/>
          <w:bCs w:val="1"/>
        </w:rPr>
        <w:t xml:space="preserve">1.2. Носій проблеми </w:t>
      </w:r>
    </w:p>
    <w:p>
      <w:pPr/>
      <w:r>
        <w:rPr/>
        <w:t xml:space="preserve">Здобувачі загальної середньої освіти, а також широкі кола батьківської та освітянської спільнот</w:t>
      </w:r>
    </w:p>
    <w:p>
      <w:pPr/>
      <w:r>
        <w:rPr>
          <w:b w:val="1"/>
          <w:bCs w:val="1"/>
        </w:rPr>
        <w:t xml:space="preserve">1.3. Масштаб проблеми: Загальнонаціональна</w:t>
      </w:r>
    </w:p>
    <w:p>
      <w:pPr/>
      <w:r>
        <w:rPr/>
        <w:t xml:space="preserve">Повна загальна середня освіта є обов'язковою. У закладах загальної середньої освіти навчається понад 4 млн учнів. Разом із цим, щороку підвищується кількість здобувачів повної загальної середньої освіти. У 2018/2019 н.р. середню освіту здобували 4 016 488 учнів, що на 201 261 учнів більше, ніж попередньому навчальному році, з них 73 тис. здобувачів освіти (1,8% від загальної кількості) мають особливі освітні потреби та здобувають освіту в умовах інклюзії або спеціальної освіти</w:t>
      </w:r>
    </w:p>
    <w:p>
      <w:pPr/>
      <w:r>
        <w:rPr>
          <w:b w:val="1"/>
          <w:bCs w:val="1"/>
        </w:rPr>
        <w:t xml:space="preserve">1.4. Гострота проблеми: Гостра</w:t>
      </w:r>
    </w:p>
    <w:p>
      <w:pPr/>
      <w:r>
        <w:rPr/>
        <w:t xml:space="preserve">Для суспільства вирішення проблеми низької якості освіти є пріоритетним, оскільки належний розвиток людського капіталу забезпечує економічний розвиток держави</w:t>
      </w:r>
    </w:p>
    <w:p>
      <w:pPr/>
      <w:r>
        <w:rPr>
          <w:b w:val="1"/>
          <w:bCs w:val="1"/>
        </w:rPr>
        <w:t xml:space="preserve">1.5. Динаміка проблеми:  </w:t>
      </w:r>
    </w:p>
    <w:p>
      <w:pPr/>
      <w:r>
        <w:rPr/>
        <w:t xml:space="preserve">Негативна в частині якості освіти, позитивна в частині охоплення освітою дітей з ООП.</w:t>
      </w:r>
      <w:r>
        <w:rPr>
          <w:b w:val="1"/>
          <w:bCs w:val="1"/>
        </w:rPr>
        <w:t xml:space="preserve"> </w:t>
      </w:r>
      <w:r>
        <w:rPr/>
        <w:t xml:space="preserve">Так, за результатами зовнішнього незалежного оцінювання з української мови та математики відповідно поріг не подолали в 2016 році - 9,13 % (23 173) та 14,83 % (18 248); в 2017 році - 7,55 % (17 385) та 16,47 % (17 512); в 2018 році - 14,51 % (46 919) та 18,59 % (19 795), в 2019 році - 15,8 % (53 613) та 18,2% (28 215) від зареєстрованих осіб.</w:t>
      </w:r>
    </w:p>
    <w:p>
      <w:pPr/>
      <w:r>
        <w:rPr/>
        <w:t xml:space="preserve">Разом з тим, протягом останніх п`яти років в 6,4 рази зросла кількість учнів з особливими освітніми потребами, які навчаються в інклюзивних класах закладів загальної середньої освіти; з 2016/2017 н. р. у 4,6 рази збільшилася кількість інклюзивних класів та в 3,6 рази - шкіл, в яких облаштовані такі класи</w:t>
      </w:r>
    </w:p>
    <w:p>
      <w:pPr/>
      <w:r>
        <w:rPr>
          <w:b w:val="1"/>
          <w:bCs w:val="1"/>
        </w:rPr>
        <w:t xml:space="preserve">1.6. Причини проблеми</w:t>
      </w:r>
    </w:p>
    <w:p>
      <w:pPr/>
      <w:r>
        <w:rPr/>
        <w:t xml:space="preserve">Причина 1 - Зміст освіти, підходи до організації освітньої діяльності, методики навчання та культура оцінювання, а також освітній простір є застарілими</w:t>
      </w:r>
    </w:p>
    <w:p>
      <w:pPr/>
      <w:r>
        <w:rPr/>
        <w:t xml:space="preserve">Зміст освіти, підходи до організації освітньої діяльності, методики навчання та культура оцінювання, а також освітній простір є застарілими та не дають можливості здобувати ключові компетентності для ціложиттєвої освіти</w:t>
      </w:r>
      <w:hyperlink w:anchor="_ftn1" w:history="1">
        <w:r>
          <w:rPr/>
          <w:t xml:space="preserve">[1]</w:t>
        </w:r>
      </w:hyperlink>
      <w:r>
        <w:rPr/>
        <w:t xml:space="preserve">, а також наскрізні вміння для успішного життя (критичне та творче мислення, вміння розв’язувати складні проблеми, співпраця з іншими, емоційний інтелект та інші) учням та ученицям, в т.ч. з особливими освітніми потребами.</w:t>
      </w:r>
    </w:p>
    <w:p>
      <w:pPr/>
      <w:hyperlink w:anchor="_ftnref1" w:history="1">
        <w:r>
          <w:rPr/>
          <w:t xml:space="preserve">[1]</w:t>
        </w:r>
      </w:hyperlink>
      <w:r>
        <w:rPr/>
        <w:t xml:space="preserve"> </w:t>
      </w:r>
      <w:hyperlink r:id="rId9" w:history="1">
        <w:r>
          <w:rPr/>
          <w:t xml:space="preserve">Official</w:t>
        </w:r>
      </w:hyperlink>
      <w:hyperlink r:id="rId9" w:history="1">
        <w:r>
          <w:rPr/>
          <w:t xml:space="preserve"> </w:t>
        </w:r>
      </w:hyperlink>
      <w:hyperlink r:id="rId9" w:history="1">
        <w:r>
          <w:rPr/>
          <w:t xml:space="preserve">Journal</w:t>
        </w:r>
      </w:hyperlink>
      <w:hyperlink r:id="rId9" w:history="1">
        <w:r>
          <w:rPr/>
          <w:t xml:space="preserve"> </w:t>
        </w:r>
      </w:hyperlink>
      <w:hyperlink r:id="rId9" w:history="1">
        <w:r>
          <w:rPr/>
          <w:t xml:space="preserve">of</w:t>
        </w:r>
      </w:hyperlink>
      <w:hyperlink r:id="rId9" w:history="1">
        <w:r>
          <w:rPr/>
          <w:t xml:space="preserve"> </w:t>
        </w:r>
      </w:hyperlink>
      <w:hyperlink r:id="rId9" w:history="1">
        <w:r>
          <w:rPr/>
          <w:t xml:space="preserve">the</w:t>
        </w:r>
      </w:hyperlink>
      <w:hyperlink r:id="rId9" w:history="1">
        <w:r>
          <w:rPr/>
          <w:t xml:space="preserve"> </w:t>
        </w:r>
      </w:hyperlink>
      <w:hyperlink r:id="rId9" w:history="1">
        <w:r>
          <w:rPr/>
          <w:t xml:space="preserve">European</w:t>
        </w:r>
      </w:hyperlink>
      <w:hyperlink r:id="rId9" w:history="1">
        <w:r>
          <w:rPr/>
          <w:t xml:space="preserve"> </w:t>
        </w:r>
      </w:hyperlink>
      <w:hyperlink r:id="rId9" w:history="1">
        <w:r>
          <w:rPr/>
          <w:t xml:space="preserve">Union</w:t>
        </w:r>
      </w:hyperlink>
      <w:hyperlink r:id="rId9" w:history="1">
        <w:r>
          <w:rPr/>
          <w:t xml:space="preserve"> </w:t>
        </w:r>
      </w:hyperlink>
      <w:hyperlink r:id="rId9" w:history="1">
        <w:r>
          <w:rPr/>
          <w:t xml:space="preserve">C</w:t>
        </w:r>
      </w:hyperlink>
      <w:hyperlink r:id="rId9" w:history="1">
        <w:r>
          <w:rPr/>
          <w:t xml:space="preserve"> 189/1-13</w:t>
        </w:r>
      </w:hyperlink>
      <w:r>
        <w:rPr/>
        <w:t xml:space="preserve">  - Режим доступу: </w:t>
      </w:r>
      <w:hyperlink r:id="rId9" w:history="1">
        <w:r>
          <w:rPr/>
          <w:t xml:space="preserve">https</w:t>
        </w:r>
      </w:hyperlink>
      <w:hyperlink r:id="rId9" w:history="1">
        <w:r>
          <w:rPr/>
          <w:t xml:space="preserve">://</w:t>
        </w:r>
      </w:hyperlink>
      <w:hyperlink r:id="rId9" w:history="1">
        <w:r>
          <w:rPr/>
          <w:t xml:space="preserve">eur</w:t>
        </w:r>
      </w:hyperlink>
      <w:hyperlink r:id="rId9" w:history="1">
        <w:r>
          <w:rPr/>
          <w:t xml:space="preserve">-</w:t>
        </w:r>
      </w:hyperlink>
      <w:hyperlink r:id="rId9" w:history="1">
        <w:r>
          <w:rPr/>
          <w:t xml:space="preserve">lex</w:t>
        </w:r>
      </w:hyperlink>
      <w:hyperlink r:id="rId9" w:history="1">
        <w:r>
          <w:rPr/>
          <w:t xml:space="preserve">.</w:t>
        </w:r>
      </w:hyperlink>
      <w:hyperlink r:id="rId9" w:history="1">
        <w:r>
          <w:rPr/>
          <w:t xml:space="preserve">europa</w:t>
        </w:r>
      </w:hyperlink>
      <w:hyperlink r:id="rId9" w:history="1">
        <w:r>
          <w:rPr/>
          <w:t xml:space="preserve">.</w:t>
        </w:r>
      </w:hyperlink>
      <w:hyperlink r:id="rId9" w:history="1">
        <w:r>
          <w:rPr/>
          <w:t xml:space="preserve">eu</w:t>
        </w:r>
      </w:hyperlink>
      <w:hyperlink r:id="rId9" w:history="1">
        <w:r>
          <w:rPr/>
          <w:t xml:space="preserve">/</w:t>
        </w:r>
      </w:hyperlink>
      <w:hyperlink r:id="rId9" w:history="1">
        <w:r>
          <w:rPr/>
          <w:t xml:space="preserve">legal</w:t>
        </w:r>
      </w:hyperlink>
      <w:hyperlink r:id="rId9" w:history="1">
        <w:r>
          <w:rPr/>
          <w:t xml:space="preserve">-</w:t>
        </w:r>
      </w:hyperlink>
      <w:hyperlink r:id="rId9" w:history="1">
        <w:r>
          <w:rPr/>
          <w:t xml:space="preserve">content</w:t>
        </w:r>
      </w:hyperlink>
      <w:hyperlink r:id="rId9" w:history="1">
        <w:r>
          <w:rPr/>
          <w:t xml:space="preserve">/</w:t>
        </w:r>
      </w:hyperlink>
      <w:hyperlink r:id="rId9" w:history="1">
        <w:r>
          <w:rPr/>
          <w:t xml:space="preserve">EN</w:t>
        </w:r>
      </w:hyperlink>
      <w:hyperlink r:id="rId9" w:history="1">
        <w:r>
          <w:rPr/>
          <w:t xml:space="preserve">/</w:t>
        </w:r>
      </w:hyperlink>
      <w:hyperlink r:id="rId9" w:history="1">
        <w:r>
          <w:rPr/>
          <w:t xml:space="preserve">TXT</w:t>
        </w:r>
      </w:hyperlink>
      <w:hyperlink r:id="rId9" w:history="1">
        <w:r>
          <w:rPr/>
          <w:t xml:space="preserve">/</w:t>
        </w:r>
      </w:hyperlink>
      <w:hyperlink r:id="rId9" w:history="1">
        <w:r>
          <w:rPr/>
          <w:t xml:space="preserve">PDF</w:t>
        </w:r>
      </w:hyperlink>
      <w:hyperlink r:id="rId9" w:history="1">
        <w:r>
          <w:rPr/>
          <w:t xml:space="preserve">/?</w:t>
        </w:r>
      </w:hyperlink>
      <w:hyperlink r:id="rId9" w:history="1">
        <w:r>
          <w:rPr/>
          <w:t xml:space="preserve">uri</w:t>
        </w:r>
      </w:hyperlink>
      <w:hyperlink r:id="rId9" w:history="1">
        <w:r>
          <w:rPr/>
          <w:t xml:space="preserve">=</w:t>
        </w:r>
      </w:hyperlink>
      <w:hyperlink r:id="rId9" w:history="1">
        <w:r>
          <w:rPr/>
          <w:t xml:space="preserve">CELEX</w:t>
        </w:r>
      </w:hyperlink>
      <w:hyperlink r:id="rId9" w:history="1">
        <w:r>
          <w:rPr/>
          <w:t xml:space="preserve">:32018</w:t>
        </w:r>
      </w:hyperlink>
      <w:hyperlink r:id="rId9" w:history="1">
        <w:r>
          <w:rPr/>
          <w:t xml:space="preserve">H</w:t>
        </w:r>
      </w:hyperlink>
      <w:hyperlink r:id="rId9" w:history="1">
        <w:r>
          <w:rPr/>
          <w:t xml:space="preserve">0604(01)&amp;</w:t>
        </w:r>
      </w:hyperlink>
      <w:hyperlink r:id="rId9" w:history="1">
        <w:r>
          <w:rPr/>
          <w:t xml:space="preserve">from</w:t>
        </w:r>
      </w:hyperlink>
      <w:hyperlink r:id="rId9" w:history="1">
        <w:r>
          <w:rPr/>
          <w:t xml:space="preserve">=</w:t>
        </w:r>
      </w:hyperlink>
      <w:hyperlink r:id="rId9" w:history="1">
        <w:r>
          <w:rPr/>
          <w:t xml:space="preserve">EN</w:t>
        </w:r>
      </w:hyperlink>
    </w:p>
    <w:p>
      <w:pPr/>
      <w:r>
        <w:rPr/>
        <w:t xml:space="preserve">Причина 2 - Педагогічна професія не є престижною та не дає гідних умов праці</w:t>
      </w:r>
    </w:p>
    <w:p>
      <w:pPr/>
      <w:r>
        <w:rPr/>
        <w:t xml:space="preserve">До закладів вищої освіти, що надають педагогічну освіту, не вступають кращі випускники шкіл. Підготовка за педагогічними спеціальностями в закладах вищої освіти є слабкою та не відповідає сучасним освітнім технологіям та трендам. Частка педагогічних працівників, які вже працюють у школах, з різних причин переважно не володіє інноваційними підходами та технологіями до навчання.</w:t>
      </w:r>
    </w:p>
    <w:p>
      <w:pPr/>
      <w:r>
        <w:rPr/>
        <w:t xml:space="preserve">Причина 3 - Мережа шкіл є вкрай неефективною та характеризується великою кількістю малокомплектних шкіл</w:t>
      </w:r>
    </w:p>
    <w:p>
      <w:pPr/>
      <w:r>
        <w:rPr/>
        <w:t xml:space="preserve">Мережа шкіл є вкрай неефективною та характеризується великою кількістю малокомплектних шкіл (з кількістю до 50 учнів), які надають освіту за суттєво більші видатки коштів, порівняно зі школами з розрахунковою наповнюваністю, у яких навчається більша кількість учнів</w:t>
      </w:r>
      <w:hyperlink w:anchor="_ftn1" w:history="1">
        <w:r>
          <w:rPr/>
          <w:t xml:space="preserve">[1]</w:t>
        </w:r>
      </w:hyperlink>
      <w:r>
        <w:rPr/>
        <w:t xml:space="preserve"> . При цьому у великих містах школи переповнені.</w:t>
      </w:r>
    </w:p>
    <w:p>
      <w:pPr/>
      <w:hyperlink w:anchor="_ftnref1" w:history="1">
        <w:r>
          <w:rPr/>
          <w:t xml:space="preserve">[1]</w:t>
        </w:r>
      </w:hyperlink>
      <w:r>
        <w:rPr/>
        <w:t xml:space="preserve"> </w:t>
      </w:r>
      <w:hyperlink r:id="rId10" w:history="1">
        <w:r>
          <w:rPr/>
          <w:t xml:space="preserve">https</w:t>
        </w:r>
      </w:hyperlink>
      <w:hyperlink r:id="rId10" w:history="1">
        <w:r>
          <w:rPr/>
          <w:t xml:space="preserve">://</w:t>
        </w:r>
      </w:hyperlink>
      <w:hyperlink r:id="rId10" w:history="1">
        <w:r>
          <w:rPr/>
          <w:t xml:space="preserve">mof</w:t>
        </w:r>
      </w:hyperlink>
      <w:hyperlink r:id="rId10" w:history="1">
        <w:r>
          <w:rPr/>
          <w:t xml:space="preserve">.</w:t>
        </w:r>
      </w:hyperlink>
      <w:hyperlink r:id="rId10" w:history="1">
        <w:r>
          <w:rPr/>
          <w:t xml:space="preserve">gov</w:t>
        </w:r>
      </w:hyperlink>
      <w:hyperlink r:id="rId10" w:history="1">
        <w:r>
          <w:rPr/>
          <w:t xml:space="preserve">.</w:t>
        </w:r>
      </w:hyperlink>
      <w:hyperlink r:id="rId10" w:history="1">
        <w:r>
          <w:rPr/>
          <w:t xml:space="preserve">ua</w:t>
        </w:r>
      </w:hyperlink>
      <w:hyperlink r:id="rId10" w:history="1">
        <w:r>
          <w:rPr/>
          <w:t xml:space="preserve">/</w:t>
        </w:r>
      </w:hyperlink>
      <w:hyperlink r:id="rId10" w:history="1">
        <w:r>
          <w:rPr/>
          <w:t xml:space="preserve">uk</w:t>
        </w:r>
      </w:hyperlink>
      <w:hyperlink r:id="rId10" w:history="1">
        <w:r>
          <w:rPr/>
          <w:t xml:space="preserve">/</w:t>
        </w:r>
      </w:hyperlink>
      <w:hyperlink r:id="rId10" w:history="1">
        <w:r>
          <w:rPr/>
          <w:t xml:space="preserve">the</w:t>
        </w:r>
      </w:hyperlink>
      <w:hyperlink r:id="rId10" w:history="1">
        <w:r>
          <w:rPr/>
          <w:t xml:space="preserve">-</w:t>
        </w:r>
      </w:hyperlink>
      <w:hyperlink r:id="rId10" w:history="1">
        <w:r>
          <w:rPr/>
          <w:t xml:space="preserve">reform</w:t>
        </w:r>
      </w:hyperlink>
      <w:hyperlink r:id="rId10" w:history="1">
        <w:r>
          <w:rPr/>
          <w:t xml:space="preserve">-</w:t>
        </w:r>
      </w:hyperlink>
      <w:hyperlink r:id="rId10" w:history="1">
        <w:r>
          <w:rPr/>
          <w:t xml:space="preserve">of</w:t>
        </w:r>
      </w:hyperlink>
      <w:hyperlink r:id="rId10" w:history="1">
        <w:r>
          <w:rPr/>
          <w:t xml:space="preserve">-</w:t>
        </w:r>
      </w:hyperlink>
      <w:hyperlink r:id="rId10" w:history="1">
        <w:r>
          <w:rPr/>
          <w:t xml:space="preserve">educatio</w:t>
        </w:r>
      </w:hyperlink>
    </w:p>
    <w:p>
      <w:pPr/>
      <w:r>
        <w:rPr/>
        <w:t xml:space="preserve">Причина 4 - Освітнє середовище закладів загальної середньої освіти не завжди є інклюзивним, безпечним і комфортним</w:t>
      </w:r>
    </w:p>
    <w:p>
      <w:pPr/>
      <w:r>
        <w:rPr/>
        <w:t xml:space="preserve">Освітнє середовище закладів загальної середньої освіти не завжди є інклюзивним, безпечним і комфортним, що не мотивує та не зацікавлює учнів до навчання, таким чином створюючи несприятливі умови для досягнення результатів навчання. Позашкільна освіта недоступна для усіх школярів у сільській місцевості, не завжди відповідає інтересам сучасних учнів та не дає можливості для їх розвитку.</w:t>
      </w:r>
    </w:p>
    <w:p>
      <w:pPr/>
      <w:r>
        <w:rPr/>
        <w:t xml:space="preserve">Причина 5 - Школа не створює умов до вчасної професійної орієнтації, усвідомлення учнями та ученицями власного вибору подальшої освітньої траєкторії чи професійної діяльності</w:t>
      </w:r>
    </w:p>
    <w:p>
      <w:pPr/>
      <w:r>
        <w:rPr/>
        <w:t xml:space="preserve">Як результат - випускники закладів загальної середньої освіти здобувають спеціальність, за якою в подальшому не працюють</w:t>
      </w:r>
    </w:p>
    <w:p>
      <w:pPr/>
      <w:r>
        <w:rPr>
          <w:b w:val="1"/>
          <w:bCs w:val="1"/>
        </w:rPr>
        <w:t xml:space="preserve">1.7. Показники ефективності політики</w:t>
      </w:r>
    </w:p>
    <w:p>
      <w:pPr>
        <w:numPr>
          <w:ilvl w:val="0"/>
          <w:numId w:val="1"/>
        </w:numPr>
      </w:pPr>
      <w:r>
        <w:rPr/>
        <w:t xml:space="preserve">Місце України у міжнародному дослідженні якості освіти PISA. Покращення результатів з читацької, математичної, природничо-наукової грамотності</w:t>
      </w:r>
    </w:p>
    <w:p>
      <w:pPr>
        <w:numPr>
          <w:ilvl w:val="0"/>
          <w:numId w:val="1"/>
        </w:numPr>
      </w:pPr>
      <w:r>
        <w:rPr/>
        <w:t xml:space="preserve">Зменшення різниці у навчальних досягненнях випускників шкіл у сільській та міській місцевості за рахунок підвищення якості навчання у сільській місцевості</w:t>
      </w:r>
    </w:p>
    <w:p>
      <w:pPr>
        <w:numPr>
          <w:ilvl w:val="0"/>
          <w:numId w:val="1"/>
        </w:numPr>
      </w:pPr>
      <w:r>
        <w:rPr/>
        <w:t xml:space="preserve">Рівень вмотивованості учнів у навчанні</w:t>
      </w:r>
    </w:p>
    <w:p>
      <w:pPr/>
      <w:r>
        <w:rPr>
          <w:b w:val="1"/>
          <w:bCs w:val="1"/>
        </w:rPr>
        <w:t xml:space="preserve">1.8. Опис чинної державної політики щодо вирішення проблеми / її причин.</w:t>
      </w:r>
    </w:p>
    <w:p>
      <w:pPr/>
      <w:r>
        <w:rPr/>
        <w:t xml:space="preserve">Наприкінці 2016 року було схвалено Концепцію реалізації державної політики у сфері реформування середньої освіти «Нова українська школа» на період до 2029 року, що передбачає докорінне реформування загальної середньої освіти шляхом системних змін всіх її складників. Забезпечено нормативне підґрунтя масштабного реформування освіти схваленням Верховною Радою України у 2017 році Закону України «Про освіту». Наразі МОН розроблено законопроєкт «Про повну загальну середню освіту», що готується до розгляду Верховною Радою України у другому читанні.</w:t>
      </w:r>
    </w:p>
    <w:p>
      <w:pPr/>
      <w:r>
        <w:rPr/>
        <w:t xml:space="preserve">Законом «Про освіту» надано право громадянам обирати заклад освіти, освітню програму, вид і форму здобуття відповідної освіти; забезпечена можливість інклюзивного навчання, створення інклюзивних та спеціальних класів (груп) за запитом громадян. Для підтримки здобувачів загальної середньої освіти, які мають особливі освітні потреби, запроваджено державну субвенцію. Створено мережу інклюзивно-ресурсних центрів - 603 ІРЦ та 25 обласних ресурсних центрів підтримки інклюзивної освіти.</w:t>
      </w:r>
    </w:p>
    <w:p>
      <w:pPr/>
      <w:r>
        <w:rPr/>
        <w:t xml:space="preserve">Розробляються підходи щодо оновлення діяльності психологічної служби та створення в закладах освіти безпечного освітнього середовища</w:t>
      </w:r>
    </w:p>
    <w:p>
      <w:pPr/>
      <w:r>
        <w:rPr>
          <w:b w:val="1"/>
          <w:bCs w:val="1"/>
        </w:rPr>
        <w:t xml:space="preserve">2.	ПРОПОНОВАНИЙ КУРС ПОЛІТИКИ</w:t>
      </w:r>
    </w:p>
    <w:p>
      <w:pPr/>
      <w:r>
        <w:rPr>
          <w:b w:val="1"/>
          <w:bCs w:val="1"/>
        </w:rPr>
        <w:t xml:space="preserve">2.1. Підціль 1 “Оновлений зміст освіти і методики навчання відповідають потребам формування ключових компетентностей для життя”</w:t>
      </w:r>
    </w:p>
    <w:p>
      <w:pPr/>
      <w:r>
        <w:rPr>
          <w:b w:val="1"/>
          <w:bCs w:val="1"/>
        </w:rPr>
        <w:t xml:space="preserve">Показники результативності: </w:t>
      </w:r>
    </w:p>
    <w:p>
      <w:pPr>
        <w:numPr>
          <w:ilvl w:val="0"/>
          <w:numId w:val="1"/>
        </w:numPr>
      </w:pPr>
      <w:r>
        <w:rPr/>
        <w:t xml:space="preserve">Затверджені Державні стандарти базової та профільної середньої освіти та типові освітні програми, розроблені на компетентнісному підході</w:t>
      </w:r>
    </w:p>
    <w:p>
      <w:pPr/>
      <w:r>
        <w:rPr>
          <w:b w:val="1"/>
          <w:bCs w:val="1"/>
        </w:rPr>
        <w:t xml:space="preserve">Завдання до підцілі 1: </w:t>
      </w:r>
    </w:p>
    <w:p>
      <w:pPr>
        <w:numPr>
          <w:ilvl w:val="0"/>
          <w:numId w:val="1"/>
        </w:numPr>
      </w:pPr>
      <w:r>
        <w:rPr/>
        <w:t xml:space="preserve">Розроблення змісту базової середньої освіти, що відповідає сучасним вимогам</w:t>
      </w:r>
    </w:p>
    <w:p>
      <w:pPr>
        <w:numPr>
          <w:ilvl w:val="0"/>
          <w:numId w:val="1"/>
        </w:numPr>
      </w:pPr>
      <w:r>
        <w:rPr/>
        <w:t xml:space="preserve">Моніторинг результатів впровадження компетентнісного підходу в навчанні та підтримки в освітньому процесі</w:t>
      </w:r>
    </w:p>
    <w:p>
      <w:pPr>
        <w:numPr>
          <w:ilvl w:val="0"/>
          <w:numId w:val="1"/>
        </w:numPr>
      </w:pPr>
      <w:r>
        <w:rPr/>
        <w:t xml:space="preserve">Розроблення змісту профільної середньої освіти та методик навчання відповідно до сучасних вимог</w:t>
      </w:r>
    </w:p>
    <w:p>
      <w:pPr/>
      <w:r>
        <w:rPr>
          <w:b w:val="1"/>
          <w:bCs w:val="1"/>
        </w:rPr>
        <w:t xml:space="preserve">2.2. Підціль 2 “Кваліфіковані педагогічні працівники є вмотивованими до педагогічної діяльності та професійного розвитку, володіють сучасними методиками навчання. Соціальний статус педагога є привабливим”</w:t>
      </w:r>
    </w:p>
    <w:p>
      <w:pPr/>
      <w:r>
        <w:rPr>
          <w:b w:val="1"/>
          <w:bCs w:val="1"/>
        </w:rPr>
        <w:t xml:space="preserve">Показники результативності: </w:t>
      </w:r>
    </w:p>
    <w:p>
      <w:pPr>
        <w:numPr>
          <w:ilvl w:val="0"/>
          <w:numId w:val="1"/>
        </w:numPr>
      </w:pPr>
      <w:r>
        <w:rPr/>
        <w:t xml:space="preserve">Підвищення заробітної плати педагогічних працівників закладів загальної середньої освіти (у відсотках)</w:t>
      </w:r>
    </w:p>
    <w:p>
      <w:pPr>
        <w:numPr>
          <w:ilvl w:val="0"/>
          <w:numId w:val="1"/>
        </w:numPr>
      </w:pPr>
      <w:r>
        <w:rPr/>
        <w:t xml:space="preserve">Частка вчителів, які пройшли підвищення кваліфікації, зокрема щодо організації освітнього процесу для здобувачів з особливими освітніми потребами (у відсотках)</w:t>
      </w:r>
    </w:p>
    <w:p>
      <w:pPr/>
      <w:r>
        <w:rPr>
          <w:b w:val="1"/>
          <w:bCs w:val="1"/>
        </w:rPr>
        <w:t xml:space="preserve">Завдання до підцілі 2: </w:t>
      </w:r>
    </w:p>
    <w:p>
      <w:pPr>
        <w:numPr>
          <w:ilvl w:val="0"/>
          <w:numId w:val="1"/>
        </w:numPr>
      </w:pPr>
      <w:r>
        <w:rPr/>
        <w:t xml:space="preserve">Підвищення кваліфікації та професійне зростання педагогічних працівників</w:t>
      </w:r>
    </w:p>
    <w:p>
      <w:pPr>
        <w:numPr>
          <w:ilvl w:val="0"/>
          <w:numId w:val="1"/>
        </w:numPr>
      </w:pPr>
      <w:r>
        <w:rPr/>
        <w:t xml:space="preserve">Підвищення мотивації педагогічних працівників до педагогічної діяльності</w:t>
      </w:r>
    </w:p>
    <w:p>
      <w:pPr/>
      <w:r>
        <w:rPr>
          <w:b w:val="1"/>
          <w:bCs w:val="1"/>
        </w:rPr>
        <w:t xml:space="preserve">2.3. Підціль 3 “Мережа шкіл спроможна надавати якісну освіту усім дітям, незалежно від місця їхнього проживання”</w:t>
      </w:r>
    </w:p>
    <w:p>
      <w:pPr/>
      <w:r>
        <w:rPr>
          <w:b w:val="1"/>
          <w:bCs w:val="1"/>
        </w:rPr>
        <w:t xml:space="preserve">Показники результативності: </w:t>
      </w:r>
    </w:p>
    <w:p>
      <w:pPr>
        <w:numPr>
          <w:ilvl w:val="0"/>
          <w:numId w:val="1"/>
        </w:numPr>
      </w:pPr>
      <w:r>
        <w:rPr/>
        <w:t xml:space="preserve">Зменшення кількості денних закладів загальної середньої освіти комунальної форми власності, у яких є класи з наповнюваністю більше 30 учнів</w:t>
      </w:r>
    </w:p>
    <w:p>
      <w:pPr>
        <w:numPr>
          <w:ilvl w:val="0"/>
          <w:numId w:val="1"/>
        </w:numPr>
      </w:pPr>
      <w:r>
        <w:rPr/>
        <w:t xml:space="preserve">Зменшення кількості учнів у великих містах, котрі навчаються у другу зміну</w:t>
      </w:r>
    </w:p>
    <w:p>
      <w:pPr>
        <w:numPr>
          <w:ilvl w:val="0"/>
          <w:numId w:val="1"/>
        </w:numPr>
      </w:pPr>
      <w:r>
        <w:rPr/>
        <w:t xml:space="preserve">Зменшення частки малокомплектних закладів загальної середньої освіти (з кількістю до 50 учнів)</w:t>
      </w:r>
    </w:p>
    <w:p>
      <w:pPr/>
      <w:r>
        <w:rPr>
          <w:b w:val="1"/>
          <w:bCs w:val="1"/>
        </w:rPr>
        <w:t xml:space="preserve">Завдання до підцілі 3: </w:t>
      </w:r>
    </w:p>
    <w:p>
      <w:pPr>
        <w:numPr>
          <w:ilvl w:val="0"/>
          <w:numId w:val="1"/>
        </w:numPr>
      </w:pPr>
      <w:r>
        <w:rPr/>
        <w:t xml:space="preserve">Формування ефективної мережі, що забезпечує якісну та доступну початкову і базову середню освіту</w:t>
      </w:r>
    </w:p>
    <w:p>
      <w:pPr>
        <w:numPr>
          <w:ilvl w:val="0"/>
          <w:numId w:val="1"/>
        </w:numPr>
      </w:pPr>
      <w:r>
        <w:rPr/>
        <w:t xml:space="preserve">Розбудова мережі ліцеїв, що забезпечують здобуття профільної загальної середньої освіти академічного та професійного спрямування</w:t>
      </w:r>
    </w:p>
    <w:p>
      <w:pPr>
        <w:numPr>
          <w:ilvl w:val="0"/>
          <w:numId w:val="1"/>
        </w:numPr>
      </w:pPr>
      <w:r>
        <w:rPr/>
        <w:t xml:space="preserve">Забезпечення доступності мережі закладів освіти для здобуття дітьми з ООП повної загальної середньої освіти</w:t>
      </w:r>
    </w:p>
    <w:p>
      <w:pPr/>
      <w:r>
        <w:rPr>
          <w:b w:val="1"/>
          <w:bCs w:val="1"/>
        </w:rPr>
        <w:t xml:space="preserve">2.4. Підціль 4 “Здобувачі освіти навчаються в безпечному, сучасному, комфортному, інклюзивному та мотивуючому освітньому середовищі”</w:t>
      </w:r>
    </w:p>
    <w:p>
      <w:pPr/>
      <w:r>
        <w:rPr>
          <w:b w:val="1"/>
          <w:bCs w:val="1"/>
        </w:rPr>
        <w:t xml:space="preserve">Показники результативності: </w:t>
      </w:r>
    </w:p>
    <w:p>
      <w:pPr>
        <w:numPr>
          <w:ilvl w:val="0"/>
          <w:numId w:val="1"/>
        </w:numPr>
      </w:pPr>
      <w:r>
        <w:rPr/>
        <w:t xml:space="preserve">Частка учнів та педагогічних працівників, забезпечених електронними освітніми ресурсами, зокрема електронними підручниками (у відсотках)</w:t>
      </w:r>
    </w:p>
    <w:p>
      <w:pPr>
        <w:numPr>
          <w:ilvl w:val="0"/>
          <w:numId w:val="1"/>
        </w:numPr>
      </w:pPr>
      <w:r>
        <w:rPr/>
        <w:t xml:space="preserve">Частка учасників освітнього процесу, які відчувають себе безпечно та комфортно у закладі освіти (у відсотках)</w:t>
      </w:r>
    </w:p>
    <w:p>
      <w:pPr>
        <w:numPr>
          <w:ilvl w:val="0"/>
          <w:numId w:val="1"/>
        </w:numPr>
      </w:pPr>
      <w:r>
        <w:rPr/>
        <w:t xml:space="preserve">Кількість оснащених кабінетів природничо-математичних предметів в закладах освіти</w:t>
      </w:r>
    </w:p>
    <w:p>
      <w:pPr>
        <w:numPr>
          <w:ilvl w:val="0"/>
          <w:numId w:val="1"/>
        </w:numPr>
      </w:pPr>
      <w:r>
        <w:rPr/>
        <w:t xml:space="preserve">Кількість шкіл, в яких є ресурсна кімната</w:t>
      </w:r>
    </w:p>
    <w:p>
      <w:pPr/>
      <w:r>
        <w:rPr>
          <w:b w:val="1"/>
          <w:bCs w:val="1"/>
        </w:rPr>
        <w:t xml:space="preserve">Завдання до підцілі 4: </w:t>
      </w:r>
    </w:p>
    <w:p>
      <w:pPr>
        <w:numPr>
          <w:ilvl w:val="0"/>
          <w:numId w:val="1"/>
        </w:numPr>
      </w:pPr>
      <w:r>
        <w:rPr/>
        <w:t xml:space="preserve">Діджиталізація освітнього середовища шкіл: підключення  до швидкісного Інтернету; забезпечення комп’ютерним та мультимедійним обладнанням, електронними освітніми ресурсами</w:t>
      </w:r>
    </w:p>
    <w:p>
      <w:pPr>
        <w:numPr>
          <w:ilvl w:val="0"/>
          <w:numId w:val="1"/>
        </w:numPr>
      </w:pPr>
      <w:r>
        <w:rPr/>
        <w:t xml:space="preserve">Створення безпечного, комфортного та інклюзивного освітнього середовища</w:t>
      </w:r>
    </w:p>
    <w:p>
      <w:pPr>
        <w:numPr>
          <w:ilvl w:val="0"/>
          <w:numId w:val="1"/>
        </w:numPr>
      </w:pPr>
      <w:r>
        <w:rPr/>
        <w:t xml:space="preserve">Створення сучасного та розвивального освітнього середовища</w:t>
      </w:r>
    </w:p>
    <w:p>
      <w:pPr/>
      <w:r>
        <w:rPr>
          <w:b w:val="1"/>
          <w:bCs w:val="1"/>
        </w:rPr>
        <w:t xml:space="preserve">2.5. Підціль 5 “Випускниці та випускники здійснюють свідомий, зважений вибір професії, розуміючи перспективи, які дає завершення того чи іншого рівня освіти”</w:t>
      </w:r>
    </w:p>
    <w:p>
      <w:pPr/>
      <w:r>
        <w:rPr>
          <w:b w:val="1"/>
          <w:bCs w:val="1"/>
        </w:rPr>
        <w:t xml:space="preserve">Показники результативності: </w:t>
      </w:r>
    </w:p>
    <w:p>
      <w:pPr>
        <w:numPr>
          <w:ilvl w:val="0"/>
          <w:numId w:val="1"/>
        </w:numPr>
      </w:pPr>
      <w:r>
        <w:rPr/>
        <w:t xml:space="preserve">Співвідношення вступників до закладів професійної (професійно-технічної та фахової передвищої) освіти до вступників до закладів вищої освіти</w:t>
      </w:r>
    </w:p>
    <w:p>
      <w:pPr>
        <w:numPr>
          <w:ilvl w:val="0"/>
          <w:numId w:val="1"/>
        </w:numPr>
      </w:pPr>
      <w:r>
        <w:rPr/>
        <w:t xml:space="preserve">Співвідношення кількості вступників до закладів професійної (професійно-технічної та фахової передвищої) освіти до кількості випускників базової загальної середньої освіти</w:t>
      </w:r>
    </w:p>
    <w:p>
      <w:pPr/>
      <w:r>
        <w:rPr>
          <w:b w:val="1"/>
          <w:bCs w:val="1"/>
        </w:rPr>
        <w:t xml:space="preserve">Завдання до підцілі 5: </w:t>
      </w:r>
    </w:p>
    <w:p>
      <w:pPr>
        <w:numPr>
          <w:ilvl w:val="0"/>
          <w:numId w:val="1"/>
        </w:numPr>
      </w:pPr>
      <w:r>
        <w:rPr/>
        <w:t xml:space="preserve">Визначення та аналіз професійних спрямувань та уподобань учнів</w:t>
      </w:r>
    </w:p>
    <w:p>
      <w:pPr>
        <w:numPr>
          <w:ilvl w:val="0"/>
          <w:numId w:val="1"/>
        </w:numPr>
      </w:pPr>
      <w:r>
        <w:rPr/>
        <w:t xml:space="preserve">Створення ефективної системи профорієнтації</w:t>
      </w:r>
    </w:p>
    <w:p>
      <w:pPr>
        <w:numPr>
          <w:ilvl w:val="0"/>
          <w:numId w:val="1"/>
        </w:numPr>
      </w:pPr>
      <w:r>
        <w:rPr/>
        <w:t xml:space="preserve">Підвищення кваліфікації педагогічних працівників щодо здійснення профорієнтації в закладах загальної середньої освіти</w:t>
      </w:r>
    </w:p>
    <w:p>
      <w:pPr>
        <w:sectPr>
          <w:pgSz w:orient="portrait" w:w="11905.511811024" w:h="16837.795275591"/>
          <w:pgMar w:top="1440" w:right="1440" w:bottom="1440" w:left="1440" w:header="720" w:footer="720" w:gutter="0"/>
          <w:cols w:num="1" w:space="720"/>
        </w:sectPr>
      </w:pPr>
    </w:p>
    <w:p>
      <w:pPr>
        <w:jc w:val="center"/>
      </w:pPr>
      <w:r>
        <w:rPr>
          <w:sz w:val="24"/>
          <w:szCs w:val="24"/>
          <w:b w:val="1"/>
          <w:bCs w:val="1"/>
        </w:rPr>
        <w:t xml:space="preserve">План реалізації державної політики для досягнення цілі</w:t>
      </w:r>
    </w:p>
    <w:tbl>
      <w:tblGrid>
        <w:gridCol/>
        <w:gridCol/>
        <w:gridCol/>
        <w:gridCol/>
        <w:gridCol/>
        <w:gridCol/>
      </w:tblGrid>
      <w:tblPr>
        <w:tblStyle w:val="Colspan Rowspan"/>
      </w:tblPr>
      <w:tr>
        <w:trPr/>
        <w:tc>
          <w:tcPr>
            <w:vAlign w:val="center"/>
          </w:tcPr>
          <w:p>
            <w:pPr>
              <w:jc w:val="center"/>
            </w:pPr>
            <w:r>
              <w:rPr>
                <w:sz w:val="20"/>
                <w:szCs w:val="20"/>
                <w:b w:val="1"/>
                <w:bCs w:val="1"/>
              </w:rPr>
              <w:t xml:space="preserve">Підціль</w:t>
            </w:r>
          </w:p>
        </w:tc>
        <w:tc>
          <w:tcPr>
            <w:vAlign w:val="center"/>
          </w:tcPr>
          <w:p>
            <w:pPr>
              <w:jc w:val="center"/>
            </w:pPr>
            <w:r>
              <w:rPr>
                <w:sz w:val="20"/>
                <w:szCs w:val="20"/>
                <w:b w:val="1"/>
                <w:bCs w:val="1"/>
              </w:rPr>
              <w:t xml:space="preserve">Завдання</w:t>
            </w:r>
          </w:p>
        </w:tc>
        <w:tc>
          <w:tcPr>
            <w:vAlign w:val="center"/>
          </w:tcPr>
          <w:p>
            <w:pPr>
              <w:jc w:val="center"/>
            </w:pPr>
            <w:r>
              <w:rPr>
                <w:sz w:val="20"/>
                <w:szCs w:val="20"/>
                <w:b w:val="1"/>
                <w:bCs w:val="1"/>
              </w:rPr>
              <w:t xml:space="preserve">Захід</w:t>
            </w:r>
          </w:p>
        </w:tc>
        <w:tc>
          <w:tcPr>
            <w:vAlign w:val="center"/>
          </w:tcPr>
          <w:p>
            <w:pPr>
              <w:jc w:val="center"/>
            </w:pPr>
            <w:r>
              <w:rPr>
                <w:sz w:val="20"/>
                <w:szCs w:val="20"/>
                <w:b w:val="1"/>
                <w:bCs w:val="1"/>
              </w:rPr>
              <w:t xml:space="preserve">Початок</w:t>
            </w:r>
          </w:p>
        </w:tc>
        <w:tc>
          <w:tcPr>
            <w:vAlign w:val="center"/>
          </w:tcPr>
          <w:p>
            <w:pPr>
              <w:jc w:val="center"/>
            </w:pPr>
            <w:r>
              <w:rPr>
                <w:sz w:val="20"/>
                <w:szCs w:val="20"/>
                <w:b w:val="1"/>
                <w:bCs w:val="1"/>
              </w:rPr>
              <w:t xml:space="preserve">Закінчення</w:t>
            </w:r>
          </w:p>
        </w:tc>
        <w:tc>
          <w:tcPr>
            <w:vAlign w:val="center"/>
          </w:tcPr>
          <w:p>
            <w:pPr>
              <w:jc w:val="center"/>
            </w:pPr>
            <w:r>
              <w:rPr>
                <w:sz w:val="20"/>
                <w:szCs w:val="20"/>
                <w:b w:val="1"/>
                <w:bCs w:val="1"/>
              </w:rPr>
              <w:t xml:space="preserve">Відповідальний орган влади</w:t>
            </w:r>
          </w:p>
        </w:tc>
      </w:tr>
      <w:tr>
        <w:trPr/>
        <w:tc>
          <w:tcPr>
            <w:vAlign w:val="center"/>
            <w:vMerge w:val="restart"/>
          </w:tcPr>
          <w:p>
            <w:pPr>
              <w:jc w:val="center"/>
            </w:pPr>
            <w:r>
              <w:rPr>
                <w:sz w:val="20"/>
                <w:szCs w:val="20"/>
              </w:rPr>
              <w:t xml:space="preserve">Оновлений зміст освіти і методики навчання відповідають потребам формування ключових компетентностей для життя</w:t>
            </w:r>
          </w:p>
        </w:tc>
        <w:tc>
          <w:tcPr>
            <w:vAlign w:val="center"/>
            <w:vMerge w:val="restart"/>
          </w:tcPr>
          <w:p>
            <w:pPr>
              <w:jc w:val="center"/>
            </w:pPr>
            <w:r>
              <w:rPr>
                <w:sz w:val="20"/>
                <w:szCs w:val="20"/>
              </w:rPr>
              <w:t xml:space="preserve">Розроблення змісту базової середньої освіти, що відповідає сучасним вимогам</w:t>
            </w:r>
          </w:p>
        </w:tc>
        <w:tc>
          <w:tcPr>
            <w:vAlign w:val="center"/>
          </w:tcPr>
          <w:p>
            <w:pPr>
              <w:jc w:val="center"/>
            </w:pPr>
            <w:r>
              <w:rPr>
                <w:sz w:val="20"/>
                <w:szCs w:val="20"/>
              </w:rPr>
              <w:t xml:space="preserve">Затвердження Державного стандарту базової середньої освіти на основі компетентністного підходу</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30-04-2020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Розроблення та затвердження типової освітньої програми для базової середньої освіти</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31-03-2021</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Забезпечення учнів та педагогічних працівників закладів ЗСО підручниками та посібниками: 3, 7 класи (2020), 4, 8 класи (2021), 5, 9 класи (2022), 1, 6, 10 класи (2023) 2, 7, 11 (2024)</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Затвердження методичних рекомендацій щодо оцінювання компетентностей, набутих на рівні базової середньої освіти</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30-11-2020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Затвердження порядку проведення експертизи освітніх програм щодо відповідності державним стандартам загальної середньої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30-09-2020</w:t>
            </w:r>
          </w:p>
        </w:tc>
        <w:tc>
          <w:tcPr>
            <w:vAlign w:val="center"/>
          </w:tcPr>
          <w:p>
            <w:pPr>
              <w:jc w:val="center"/>
            </w:pPr>
            <w:r>
              <w:rPr>
                <w:sz w:val="20"/>
                <w:szCs w:val="20"/>
              </w:rPr>
              <w:t xml:space="preserve">МОН; ДСЯО</w:t>
            </w:r>
          </w:p>
        </w:tc>
      </w:tr>
      <w:tr>
        <w:trPr/>
        <w:tc>
          <w:tcPr>
            <w:vMerge w:val="continue"/>
          </w:tcPr>
          <w:p/>
        </w:tc>
        <w:tc>
          <w:tcPr>
            <w:vMerge w:val="continue"/>
          </w:tcPr>
          <w:p/>
        </w:tc>
        <w:tc>
          <w:tcPr>
            <w:vAlign w:val="center"/>
          </w:tcPr>
          <w:p>
            <w:pPr>
              <w:jc w:val="center"/>
            </w:pPr>
            <w:r>
              <w:rPr>
                <w:sz w:val="20"/>
                <w:szCs w:val="20"/>
              </w:rPr>
              <w:t xml:space="preserve">Розроблення та схвалення Концепції розвитку природничо-математичної освіти (STEM-освіти)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Затвердження порядку підтвердження відповідності навчальних видань державним освітнім стандартам, психолого-педагогічним вимогам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Моніторинг результатів впровадження компетентнісного підходу в навчанні та підтримки в освітньому процесі</w:t>
            </w:r>
          </w:p>
        </w:tc>
        <w:tc>
          <w:tcPr>
            <w:vAlign w:val="center"/>
          </w:tcPr>
          <w:p>
            <w:pPr>
              <w:jc w:val="center"/>
            </w:pPr>
            <w:r>
              <w:rPr>
                <w:sz w:val="20"/>
                <w:szCs w:val="20"/>
              </w:rPr>
              <w:t xml:space="preserve">Розроблення та затвердження порядку проведення моніторингу якості освіти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29-02-2020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Проведення моніторингових досліджень впровадження Нової української школи, в тому числі в пілотних закладах загальної середньої освіти (щорічно)</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Супровід участі України в міжнародному порівняльному дослідженні PISA</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w:t>
            </w:r>
          </w:p>
        </w:tc>
      </w:tr>
      <w:tr>
        <w:trPr/>
        <w:tc>
          <w:tcPr>
            <w:vMerge w:val="continue"/>
          </w:tcPr>
          <w:p/>
        </w:tc>
        <w:tc>
          <w:tcPr>
            <w:vMerge w:val="continue"/>
          </w:tcPr>
          <w:p/>
        </w:tc>
        <w:tc>
          <w:tcPr>
            <w:vAlign w:val="center"/>
          </w:tcPr>
          <w:p>
            <w:pPr>
              <w:jc w:val="center"/>
            </w:pPr>
            <w:r>
              <w:rPr>
                <w:sz w:val="20"/>
                <w:szCs w:val="20"/>
              </w:rPr>
              <w:t xml:space="preserve">Проведення моніторингового дослідження щодо задоволеності батьків якістю та доступністю освіти, в тому числі для дітей з ООП</w:t>
            </w:r>
          </w:p>
        </w:tc>
        <w:tc>
          <w:tcPr>
            <w:tcW w:w="1500" w:type="dxa"/>
            <w:vAlign w:val="center"/>
          </w:tcPr>
          <w:p>
            <w:pPr>
              <w:jc w:val="center"/>
            </w:pPr>
            <w:r>
              <w:rPr>
                <w:sz w:val="20"/>
                <w:szCs w:val="20"/>
              </w:rPr>
              <w:t xml:space="preserve">01-01-2022</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Розроблення змісту профільної середньої освіти та методик навчання відповідно до сучасних вимог</w:t>
            </w:r>
          </w:p>
        </w:tc>
        <w:tc>
          <w:tcPr>
            <w:vAlign w:val="center"/>
          </w:tcPr>
          <w:p>
            <w:pPr>
              <w:jc w:val="center"/>
            </w:pPr>
            <w:r>
              <w:rPr>
                <w:sz w:val="20"/>
                <w:szCs w:val="20"/>
              </w:rPr>
              <w:t xml:space="preserve">Розроблення та затвердження Державного стандарту профільної середньої освіти на основі компетентністного підходу</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Розроблення та затвердження типової освітньої програми профільної середньої освіти</w:t>
            </w:r>
          </w:p>
        </w:tc>
        <w:tc>
          <w:tcPr>
            <w:tcW w:w="1500" w:type="dxa"/>
            <w:vAlign w:val="center"/>
          </w:tcPr>
          <w:p>
            <w:pPr>
              <w:jc w:val="center"/>
            </w:pPr>
            <w:r>
              <w:rPr>
                <w:sz w:val="20"/>
                <w:szCs w:val="20"/>
              </w:rPr>
              <w:t xml:space="preserve">01-02-2022</w:t>
            </w:r>
          </w:p>
        </w:tc>
        <w:tc>
          <w:tcPr>
            <w:tcW w:w="1500" w:type="dxa"/>
            <w:vAlign w:val="center"/>
          </w:tcPr>
          <w:p>
            <w:pPr>
              <w:jc w:val="center"/>
            </w:pPr>
            <w:r>
              <w:rPr>
                <w:sz w:val="20"/>
                <w:szCs w:val="20"/>
              </w:rPr>
              <w:t xml:space="preserve">31-10-2022</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Забезпечення учасників пілотного проєкту старшої профільної школи навчальними матеріалами</w:t>
            </w:r>
          </w:p>
        </w:tc>
        <w:tc>
          <w:tcPr>
            <w:tcW w:w="1500" w:type="dxa"/>
            <w:vAlign w:val="center"/>
          </w:tcPr>
          <w:p>
            <w:pPr>
              <w:jc w:val="center"/>
            </w:pPr>
            <w:r>
              <w:rPr>
                <w:sz w:val="20"/>
                <w:szCs w:val="20"/>
              </w:rPr>
              <w:t xml:space="preserve">01-09-2023</w:t>
            </w:r>
          </w:p>
        </w:tc>
        <w:tc>
          <w:tcPr>
            <w:tcW w:w="1500" w:type="dxa"/>
            <w:vAlign w:val="center"/>
          </w:tcPr>
          <w:p>
            <w:pPr>
              <w:jc w:val="center"/>
            </w:pPr>
            <w:r>
              <w:rPr>
                <w:sz w:val="20"/>
                <w:szCs w:val="20"/>
              </w:rPr>
              <w:t xml:space="preserve">30-09-2024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Затвердження методичних рекомендацій щодо оцінювання компетентностей, набутих на рівні профільної середньої освіти</w:t>
            </w:r>
          </w:p>
        </w:tc>
        <w:tc>
          <w:tcPr>
            <w:tcW w:w="1500" w:type="dxa"/>
            <w:vAlign w:val="center"/>
          </w:tcPr>
          <w:p>
            <w:pPr>
              <w:jc w:val="center"/>
            </w:pPr>
            <w:r>
              <w:rPr>
                <w:sz w:val="20"/>
                <w:szCs w:val="20"/>
              </w:rPr>
              <w:t xml:space="preserve">01-01-2023</w:t>
            </w:r>
          </w:p>
        </w:tc>
        <w:tc>
          <w:tcPr>
            <w:tcW w:w="1500" w:type="dxa"/>
            <w:vAlign w:val="center"/>
          </w:tcPr>
          <w:p>
            <w:pPr>
              <w:jc w:val="center"/>
            </w:pPr>
            <w:r>
              <w:rPr>
                <w:sz w:val="20"/>
                <w:szCs w:val="20"/>
              </w:rPr>
              <w:t xml:space="preserve">30-06-2023</w:t>
            </w:r>
          </w:p>
        </w:tc>
        <w:tc>
          <w:tcPr>
            <w:vAlign w:val="center"/>
          </w:tcPr>
          <w:p>
            <w:pPr>
              <w:jc w:val="center"/>
            </w:pPr>
            <w:r>
              <w:rPr>
                <w:sz w:val="20"/>
                <w:szCs w:val="20"/>
              </w:rPr>
              <w:t xml:space="preserve">МОН</w:t>
            </w:r>
          </w:p>
        </w:tc>
      </w:tr>
      <w:tr>
        <w:trPr/>
        <w:tc>
          <w:tcPr>
            <w:vAlign w:val="center"/>
            <w:vMerge w:val="restart"/>
          </w:tcPr>
          <w:p>
            <w:pPr>
              <w:jc w:val="center"/>
            </w:pPr>
            <w:r>
              <w:rPr>
                <w:sz w:val="20"/>
                <w:szCs w:val="20"/>
              </w:rPr>
              <w:t xml:space="preserve">Кваліфіковані педагогічні працівники є вмотивованими до педагогічної діяльності та професійного розвитку, володіють сучасними методиками навчання. Соціальний статус педагога є привабливим</w:t>
            </w:r>
          </w:p>
        </w:tc>
        <w:tc>
          <w:tcPr>
            <w:vAlign w:val="center"/>
            <w:vMerge w:val="restart"/>
          </w:tcPr>
          <w:p>
            <w:pPr>
              <w:jc w:val="center"/>
            </w:pPr>
            <w:r>
              <w:rPr>
                <w:sz w:val="20"/>
                <w:szCs w:val="20"/>
              </w:rPr>
              <w:t xml:space="preserve">Підвищення кваліфікації та професійне зростання педагогічних працівників</w:t>
            </w:r>
          </w:p>
        </w:tc>
        <w:tc>
          <w:tcPr>
            <w:vAlign w:val="center"/>
          </w:tcPr>
          <w:p>
            <w:pPr>
              <w:jc w:val="center"/>
            </w:pPr>
            <w:r>
              <w:rPr>
                <w:sz w:val="20"/>
                <w:szCs w:val="20"/>
              </w:rPr>
              <w:t xml:space="preserve">Забезпечення умов для створення конкурентного (демонополізованого) середовища на ринку послуг з підвищення кваліфікації педагогічними працівниками (вибору суб'єкта, виду та форм підвищення кваліфікації)</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Розроблення та внесення на розгляд Уряду порядку використання коштів державного бюджету, що спрямовуються на підвищення кваліфікації, передбачивши можливість закладів освіти самостійно оплачувати відповідні послуги або відшкодовувати їх вартість педагогічним працівникам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Розроблення та затвердження Положення про центри професійного розвитку педагогічних працівників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Створення центрів професійного розвитку педагогічних працівників шляхом реорганізації системи районних науково-методичних центрів (кабінетів)</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органи місцевого самоврядування; МОН </w:t>
            </w:r>
          </w:p>
        </w:tc>
      </w:tr>
      <w:tr>
        <w:trPr/>
        <w:tc>
          <w:tcPr>
            <w:vMerge w:val="continue"/>
          </w:tcPr>
          <w:p/>
        </w:tc>
        <w:tc>
          <w:tcPr>
            <w:vMerge w:val="continue"/>
          </w:tcPr>
          <w:p/>
        </w:tc>
        <w:tc>
          <w:tcPr>
            <w:vAlign w:val="center"/>
          </w:tcPr>
          <w:p>
            <w:pPr>
              <w:jc w:val="center"/>
            </w:pPr>
            <w:r>
              <w:rPr>
                <w:sz w:val="20"/>
                <w:szCs w:val="20"/>
              </w:rPr>
              <w:t xml:space="preserve">Підвищення кваліфікації педагогічних працівників з формування в учнів компетентностей, надання підтримки в освітньому процесі учням з ООП</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Забезпечення супервізії (супроводу та підтримки) педагогічних працівників</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органи місцевого самоврядування </w:t>
            </w:r>
          </w:p>
        </w:tc>
      </w:tr>
      <w:tr>
        <w:trPr/>
        <w:tc>
          <w:tcPr>
            <w:vMerge w:val="continue"/>
          </w:tcPr>
          <w:p/>
        </w:tc>
        <w:tc>
          <w:tcPr>
            <w:vMerge w:val="continue"/>
          </w:tcPr>
          <w:p/>
        </w:tc>
        <w:tc>
          <w:tcPr>
            <w:vAlign w:val="center"/>
          </w:tcPr>
          <w:p>
            <w:pPr>
              <w:jc w:val="center"/>
            </w:pPr>
            <w:r>
              <w:rPr>
                <w:sz w:val="20"/>
                <w:szCs w:val="20"/>
              </w:rPr>
              <w:t xml:space="preserve">Розроблення та затвердження професійних стандартів педагогічних працівників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31-07-2020</w:t>
            </w:r>
          </w:p>
        </w:tc>
        <w:tc>
          <w:tcPr>
            <w:vAlign w:val="center"/>
          </w:tcPr>
          <w:p>
            <w:pPr>
              <w:jc w:val="center"/>
            </w:pPr>
            <w:r>
              <w:rPr>
                <w:sz w:val="20"/>
                <w:szCs w:val="20"/>
              </w:rPr>
              <w:t xml:space="preserve">МОН; Мінсоцполітики </w:t>
            </w:r>
          </w:p>
        </w:tc>
      </w:tr>
      <w:tr>
        <w:trPr/>
        <w:tc>
          <w:tcPr>
            <w:vMerge w:val="continue"/>
          </w:tcPr>
          <w:p/>
        </w:tc>
        <w:tc>
          <w:tcPr>
            <w:vMerge w:val="continue"/>
          </w:tcPr>
          <w:p/>
        </w:tc>
        <w:tc>
          <w:tcPr>
            <w:vAlign w:val="center"/>
          </w:tcPr>
          <w:p>
            <w:pPr>
              <w:jc w:val="center"/>
            </w:pPr>
            <w:r>
              <w:rPr>
                <w:sz w:val="20"/>
                <w:szCs w:val="20"/>
              </w:rPr>
              <w:t xml:space="preserve">Проведення моніторингового дослідження щодо готовності педагогічних працівників до реалізації Нової української школи </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ІОА </w:t>
            </w:r>
          </w:p>
        </w:tc>
      </w:tr>
      <w:tr>
        <w:trPr/>
        <w:tc>
          <w:tcPr>
            <w:vMerge w:val="continue"/>
          </w:tcPr>
          <w:p/>
        </w:tc>
        <w:tc>
          <w:tcPr>
            <w:vAlign w:val="center"/>
            <w:vMerge w:val="restart"/>
          </w:tcPr>
          <w:p>
            <w:pPr>
              <w:jc w:val="center"/>
            </w:pPr>
            <w:r>
              <w:rPr>
                <w:sz w:val="20"/>
                <w:szCs w:val="20"/>
              </w:rPr>
              <w:t xml:space="preserve">Підвищення мотивації педагогічних працівників до педагогічної діяльності</w:t>
            </w:r>
          </w:p>
        </w:tc>
        <w:tc>
          <w:tcPr>
            <w:vAlign w:val="center"/>
          </w:tcPr>
          <w:p>
            <w:pPr>
              <w:jc w:val="center"/>
            </w:pPr>
            <w:r>
              <w:rPr>
                <w:sz w:val="20"/>
                <w:szCs w:val="20"/>
              </w:rPr>
              <w:t xml:space="preserve">Забезпечення поступового підвищення заробітної плати педагогічним працівникам</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31-12-2022</w:t>
            </w:r>
          </w:p>
        </w:tc>
        <w:tc>
          <w:tcPr>
            <w:vAlign w:val="center"/>
          </w:tcPr>
          <w:p>
            <w:pPr>
              <w:jc w:val="center"/>
            </w:pPr>
            <w:r>
              <w:rPr>
                <w:sz w:val="20"/>
                <w:szCs w:val="20"/>
              </w:rPr>
              <w:t xml:space="preserve">МОН; Мінфін </w:t>
            </w:r>
          </w:p>
        </w:tc>
      </w:tr>
      <w:tr>
        <w:trPr/>
        <w:tc>
          <w:tcPr>
            <w:vMerge w:val="continue"/>
          </w:tcPr>
          <w:p/>
        </w:tc>
        <w:tc>
          <w:tcPr>
            <w:vMerge w:val="continue"/>
          </w:tcPr>
          <w:p/>
        </w:tc>
        <w:tc>
          <w:tcPr>
            <w:vAlign w:val="center"/>
          </w:tcPr>
          <w:p>
            <w:pPr>
              <w:jc w:val="center"/>
            </w:pPr>
            <w:r>
              <w:rPr>
                <w:sz w:val="20"/>
                <w:szCs w:val="20"/>
              </w:rPr>
              <w:t xml:space="preserve">Удосконалення механізму сертифікації вчителів</w:t>
            </w:r>
          </w:p>
        </w:tc>
        <w:tc>
          <w:tcPr>
            <w:tcW w:w="1500" w:type="dxa"/>
            <w:vAlign w:val="center"/>
          </w:tcPr>
          <w:p>
            <w:pPr>
              <w:jc w:val="center"/>
            </w:pPr>
            <w:r>
              <w:rPr>
                <w:sz w:val="20"/>
                <w:szCs w:val="20"/>
              </w:rPr>
              <w:t xml:space="preserve">01-06-2020</w:t>
            </w:r>
          </w:p>
        </w:tc>
        <w:tc>
          <w:tcPr>
            <w:tcW w:w="1500" w:type="dxa"/>
            <w:vAlign w:val="center"/>
          </w:tcPr>
          <w:p>
            <w:pPr>
              <w:jc w:val="center"/>
            </w:pPr>
            <w:r>
              <w:rPr>
                <w:sz w:val="20"/>
                <w:szCs w:val="20"/>
              </w:rPr>
              <w:t xml:space="preserve">30-11-2021</w:t>
            </w:r>
          </w:p>
        </w:tc>
        <w:tc>
          <w:tcPr>
            <w:vAlign w:val="center"/>
          </w:tcPr>
          <w:p>
            <w:pPr>
              <w:jc w:val="center"/>
            </w:pPr>
            <w:r>
              <w:rPr>
                <w:sz w:val="20"/>
                <w:szCs w:val="20"/>
              </w:rPr>
              <w:t xml:space="preserve">МОН; ДСЯО; УЦОЯО </w:t>
            </w:r>
          </w:p>
        </w:tc>
      </w:tr>
      <w:tr>
        <w:trPr/>
        <w:tc>
          <w:tcPr>
            <w:vMerge w:val="continue"/>
          </w:tcPr>
          <w:p/>
        </w:tc>
        <w:tc>
          <w:tcPr>
            <w:vMerge w:val="continue"/>
          </w:tcPr>
          <w:p/>
        </w:tc>
        <w:tc>
          <w:tcPr>
            <w:vAlign w:val="center"/>
          </w:tcPr>
          <w:p>
            <w:pPr>
              <w:jc w:val="center"/>
            </w:pPr>
            <w:r>
              <w:rPr>
                <w:sz w:val="20"/>
                <w:szCs w:val="20"/>
              </w:rPr>
              <w:t xml:space="preserve">Забезпечення виплати допомоги вчителям закладів загальної середньої освіти, які мають стаж роботи менше 10 років </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Запровадження педагогічної інтернатури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Align w:val="center"/>
            <w:vMerge w:val="restart"/>
          </w:tcPr>
          <w:p>
            <w:pPr>
              <w:jc w:val="center"/>
            </w:pPr>
            <w:r>
              <w:rPr>
                <w:sz w:val="20"/>
                <w:szCs w:val="20"/>
              </w:rPr>
              <w:t xml:space="preserve">Мережа шкіл спроможна надавати якісну освіту усім дітям, незалежно від місця їхнього проживання</w:t>
            </w:r>
          </w:p>
        </w:tc>
        <w:tc>
          <w:tcPr>
            <w:vAlign w:val="center"/>
            <w:vMerge w:val="restart"/>
          </w:tcPr>
          <w:p>
            <w:pPr>
              <w:jc w:val="center"/>
            </w:pPr>
            <w:r>
              <w:rPr>
                <w:sz w:val="20"/>
                <w:szCs w:val="20"/>
              </w:rPr>
              <w:t xml:space="preserve">Формування ефективної мережі, що забезпечує якісну та доступну початкову і базову середню освіту</w:t>
            </w:r>
          </w:p>
        </w:tc>
        <w:tc>
          <w:tcPr>
            <w:vAlign w:val="center"/>
          </w:tcPr>
          <w:p>
            <w:pPr>
              <w:jc w:val="center"/>
            </w:pPr>
            <w:r>
              <w:rPr>
                <w:sz w:val="20"/>
                <w:szCs w:val="20"/>
              </w:rPr>
              <w:t xml:space="preserve">Проведення аналізу мережі закладів загальної середньої освіти, зокрема спеціальних</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Стимулювання створення ефективної мережі опорних закладів загальної середньої освіти</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Забезпечення підтримки оптимізації закладів загальної середньої освіти з малою наповнюваністю класів (малокомплектних закладів)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Внесення змін до Порядку проведення інституційного аудиту в закладах загальної середньої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МОН; ДСЯО </w:t>
            </w:r>
          </w:p>
        </w:tc>
      </w:tr>
      <w:tr>
        <w:trPr/>
        <w:tc>
          <w:tcPr>
            <w:vMerge w:val="continue"/>
          </w:tcPr>
          <w:p/>
        </w:tc>
        <w:tc>
          <w:tcPr>
            <w:vMerge w:val="continue"/>
          </w:tcPr>
          <w:p/>
        </w:tc>
        <w:tc>
          <w:tcPr>
            <w:vAlign w:val="center"/>
          </w:tcPr>
          <w:p>
            <w:pPr>
              <w:jc w:val="center"/>
            </w:pPr>
            <w:r>
              <w:rPr>
                <w:sz w:val="20"/>
                <w:szCs w:val="20"/>
              </w:rPr>
              <w:t xml:space="preserve">Оптимізація мережі спеціальних закладів загальної середньої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30-11-2023</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Розбудова мережі ліцеїв, що забезпечують здобуття профільної загальної середньої освіти академічного та професійного спрямування</w:t>
            </w:r>
          </w:p>
        </w:tc>
        <w:tc>
          <w:tcPr>
            <w:vAlign w:val="center"/>
          </w:tcPr>
          <w:p>
            <w:pPr>
              <w:jc w:val="center"/>
            </w:pPr>
            <w:r>
              <w:rPr>
                <w:sz w:val="20"/>
                <w:szCs w:val="20"/>
              </w:rPr>
              <w:t xml:space="preserve">Розроблення та затвердження дорожньої карти впровадження профільної середньої освіти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30-06-2020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Пілотування механізму організації діяльності ліцеїв (щорічно)</w:t>
            </w:r>
          </w:p>
        </w:tc>
        <w:tc>
          <w:tcPr>
            <w:tcW w:w="1500" w:type="dxa"/>
            <w:vAlign w:val="center"/>
          </w:tcPr>
          <w:p>
            <w:pPr>
              <w:jc w:val="center"/>
            </w:pPr>
            <w:r>
              <w:rPr>
                <w:sz w:val="20"/>
                <w:szCs w:val="20"/>
              </w:rPr>
              <w:t xml:space="preserve">01-09-2021</w:t>
            </w:r>
          </w:p>
        </w:tc>
        <w:tc>
          <w:tcPr>
            <w:tcW w:w="1500" w:type="dxa"/>
            <w:vAlign w:val="center"/>
          </w:tcPr>
          <w:p>
            <w:pPr>
              <w:jc w:val="center"/>
            </w:pPr>
            <w:r>
              <w:rPr>
                <w:sz w:val="20"/>
                <w:szCs w:val="20"/>
              </w:rPr>
              <w:t xml:space="preserve">31-05-2024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Надання підтримки з формування мережі ліцеїв</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30-06-2022</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Комунікаційна кампанія щодо переходу до трирічної профільної середньої освіти</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Забезпечення доступності мережі закладів освіти для здобуття дітьми з ООП повної загальної середньої освіти</w:t>
            </w:r>
          </w:p>
        </w:tc>
        <w:tc>
          <w:tcPr>
            <w:vAlign w:val="center"/>
          </w:tcPr>
          <w:p>
            <w:pPr>
              <w:jc w:val="center"/>
            </w:pPr>
            <w:r>
              <w:rPr>
                <w:sz w:val="20"/>
                <w:szCs w:val="20"/>
              </w:rPr>
              <w:t xml:space="preserve">Вдосконалення діяльності інклюзивно-ресурсних центрів щодо надання послуг дітям з ООП, їх психолого-педагогічної оцінки та супроводу</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Забезпечення закладів освіти засобами для навчання дітей з ООП відповідно до потреби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Розроблення моделі взаємодії між закладами освіти, що забезпечують здобуття учнями з ООП повної загальної середньої освіти</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31-08-2022</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Забезпечення доступності мережі закладів освіти, що забезпечують здобуття дітьми з ООП повної загальної середньої освіти</w:t>
            </w:r>
          </w:p>
        </w:tc>
        <w:tc>
          <w:tcPr>
            <w:tcW w:w="1500" w:type="dxa"/>
            <w:vAlign w:val="center"/>
          </w:tcPr>
          <w:p>
            <w:pPr>
              <w:jc w:val="center"/>
            </w:pPr>
            <w:r>
              <w:rPr>
                <w:sz w:val="20"/>
                <w:szCs w:val="20"/>
              </w:rPr>
              <w:t xml:space="preserve">01-07-2020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МОН; органи місцевого самоврядування </w:t>
            </w:r>
          </w:p>
        </w:tc>
      </w:tr>
      <w:tr>
        <w:trPr/>
        <w:tc>
          <w:tcPr>
            <w:vAlign w:val="center"/>
            <w:vMerge w:val="restart"/>
          </w:tcPr>
          <w:p>
            <w:pPr>
              <w:jc w:val="center"/>
            </w:pPr>
            <w:r>
              <w:rPr>
                <w:sz w:val="20"/>
                <w:szCs w:val="20"/>
              </w:rPr>
              <w:t xml:space="preserve">Здобувачі освіти навчаються в безпечному, сучасному, комфортному, інклюзивному та мотивуючому освітньому середовищі</w:t>
            </w:r>
          </w:p>
        </w:tc>
        <w:tc>
          <w:tcPr>
            <w:vAlign w:val="center"/>
            <w:vMerge w:val="restart"/>
          </w:tcPr>
          <w:p>
            <w:pPr>
              <w:jc w:val="center"/>
            </w:pPr>
            <w:r>
              <w:rPr>
                <w:sz w:val="20"/>
                <w:szCs w:val="20"/>
              </w:rPr>
              <w:t xml:space="preserve">Діджиталізація освітнього середовища шкіл: підключення  до швидкісного Інтернету; забезпечення комп’ютерним та мультимедійним обладнанням, електронними освітніми ресурсами</w:t>
            </w:r>
          </w:p>
        </w:tc>
        <w:tc>
          <w:tcPr>
            <w:vAlign w:val="center"/>
          </w:tcPr>
          <w:p>
            <w:pPr>
              <w:jc w:val="center"/>
            </w:pPr>
            <w:r>
              <w:rPr>
                <w:sz w:val="20"/>
                <w:szCs w:val="20"/>
              </w:rPr>
              <w:t xml:space="preserve">Підключення закладів загальної середньої освіти до швидкісного Інтернету</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Мінцифри </w:t>
            </w:r>
          </w:p>
        </w:tc>
      </w:tr>
      <w:tr>
        <w:trPr/>
        <w:tc>
          <w:tcPr>
            <w:vMerge w:val="continue"/>
          </w:tcPr>
          <w:p/>
        </w:tc>
        <w:tc>
          <w:tcPr>
            <w:vMerge w:val="continue"/>
          </w:tcPr>
          <w:p/>
        </w:tc>
        <w:tc>
          <w:tcPr>
            <w:vAlign w:val="center"/>
          </w:tcPr>
          <w:p>
            <w:pPr>
              <w:jc w:val="center"/>
            </w:pPr>
            <w:r>
              <w:rPr>
                <w:sz w:val="20"/>
                <w:szCs w:val="20"/>
              </w:rPr>
              <w:t xml:space="preserve">Забезпечення здобувачів освіти та педагогічних працівників електронними освітніми ресурсами</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Мінцифри </w:t>
            </w:r>
          </w:p>
        </w:tc>
      </w:tr>
      <w:tr>
        <w:trPr/>
        <w:tc>
          <w:tcPr>
            <w:vMerge w:val="continue"/>
          </w:tcPr>
          <w:p/>
        </w:tc>
        <w:tc>
          <w:tcPr>
            <w:vMerge w:val="continue"/>
          </w:tcPr>
          <w:p/>
        </w:tc>
        <w:tc>
          <w:tcPr>
            <w:vAlign w:val="center"/>
          </w:tcPr>
          <w:p>
            <w:pPr>
              <w:jc w:val="center"/>
            </w:pPr>
            <w:r>
              <w:rPr>
                <w:sz w:val="20"/>
                <w:szCs w:val="20"/>
              </w:rPr>
              <w:t xml:space="preserve">Забезпечення закладів загальної середньої освіти комп'ютерним та мультимедійним обладнанням</w:t>
            </w:r>
          </w:p>
        </w:tc>
        <w:tc>
          <w:tcPr>
            <w:tcW w:w="1500" w:type="dxa"/>
            <w:vAlign w:val="center"/>
          </w:tcPr>
          <w:p>
            <w:pPr>
              <w:jc w:val="center"/>
            </w:pPr>
            <w:r>
              <w:rPr>
                <w:sz w:val="20"/>
                <w:szCs w:val="20"/>
              </w:rPr>
              <w:t xml:space="preserve">01-08-2020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Мінцифри </w:t>
            </w:r>
          </w:p>
        </w:tc>
      </w:tr>
      <w:tr>
        <w:trPr/>
        <w:tc>
          <w:tcPr>
            <w:vMerge w:val="continue"/>
          </w:tcPr>
          <w:p/>
        </w:tc>
        <w:tc>
          <w:tcPr>
            <w:vMerge w:val="continue"/>
          </w:tcPr>
          <w:p/>
        </w:tc>
        <w:tc>
          <w:tcPr>
            <w:vAlign w:val="center"/>
          </w:tcPr>
          <w:p>
            <w:pPr>
              <w:jc w:val="center"/>
            </w:pPr>
            <w:r>
              <w:rPr>
                <w:sz w:val="20"/>
                <w:szCs w:val="20"/>
              </w:rPr>
              <w:t xml:space="preserve">Забезпечення закладів освіти відповідними електронними додатками для навчання сліпих дітей</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Створення безпечного, комфортного та інклюзивного освітнього середовища</w:t>
            </w:r>
          </w:p>
        </w:tc>
        <w:tc>
          <w:tcPr>
            <w:vAlign w:val="center"/>
          </w:tcPr>
          <w:p>
            <w:pPr>
              <w:jc w:val="center"/>
            </w:pPr>
            <w:r>
              <w:rPr>
                <w:sz w:val="20"/>
                <w:szCs w:val="20"/>
              </w:rPr>
              <w:t xml:space="preserve">Забезпечення умов для навчання учнів з ООП в закладах загальної середньої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органи місцевого самоврядування </w:t>
            </w:r>
          </w:p>
        </w:tc>
      </w:tr>
      <w:tr>
        <w:trPr/>
        <w:tc>
          <w:tcPr>
            <w:vMerge w:val="continue"/>
          </w:tcPr>
          <w:p/>
        </w:tc>
        <w:tc>
          <w:tcPr>
            <w:vMerge w:val="continue"/>
          </w:tcPr>
          <w:p/>
        </w:tc>
        <w:tc>
          <w:tcPr>
            <w:vAlign w:val="center"/>
          </w:tcPr>
          <w:p>
            <w:pPr>
              <w:jc w:val="center"/>
            </w:pPr>
            <w:r>
              <w:rPr>
                <w:sz w:val="20"/>
                <w:szCs w:val="20"/>
              </w:rPr>
              <w:t xml:space="preserve">Створення комфортного освітнього середовища, зокрема облаштування усіх закладів загальної середньої освіти теплими вбиральнями</w:t>
            </w:r>
          </w:p>
        </w:tc>
        <w:tc>
          <w:tcPr>
            <w:tcW w:w="1500" w:type="dxa"/>
            <w:vAlign w:val="center"/>
          </w:tcPr>
          <w:p>
            <w:pPr>
              <w:jc w:val="center"/>
            </w:pPr>
            <w:r>
              <w:rPr>
                <w:sz w:val="20"/>
                <w:szCs w:val="20"/>
              </w:rPr>
              <w:t xml:space="preserve">01-09-2019</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органи місцевого самоврядування </w:t>
            </w:r>
          </w:p>
        </w:tc>
      </w:tr>
      <w:tr>
        <w:trPr/>
        <w:tc>
          <w:tcPr>
            <w:vMerge w:val="continue"/>
          </w:tcPr>
          <w:p/>
        </w:tc>
        <w:tc>
          <w:tcPr>
            <w:vMerge w:val="continue"/>
          </w:tcPr>
          <w:p/>
        </w:tc>
        <w:tc>
          <w:tcPr>
            <w:vAlign w:val="center"/>
          </w:tcPr>
          <w:p>
            <w:pPr>
              <w:jc w:val="center"/>
            </w:pPr>
            <w:r>
              <w:rPr>
                <w:sz w:val="20"/>
                <w:szCs w:val="20"/>
              </w:rPr>
              <w:t xml:space="preserve">Надання психолого-педагогічної підтримки учасникам освітнього процесу</w:t>
            </w:r>
          </w:p>
        </w:tc>
        <w:tc>
          <w:tcPr>
            <w:tcW w:w="1500" w:type="dxa"/>
            <w:vAlign w:val="center"/>
          </w:tcPr>
          <w:p>
            <w:pPr>
              <w:jc w:val="center"/>
            </w:pPr>
            <w:r>
              <w:rPr>
                <w:sz w:val="20"/>
                <w:szCs w:val="20"/>
              </w:rPr>
              <w:t xml:space="preserve">01-09-2020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органи місцевого самоврядування </w:t>
            </w:r>
          </w:p>
        </w:tc>
      </w:tr>
      <w:tr>
        <w:trPr/>
        <w:tc>
          <w:tcPr>
            <w:vMerge w:val="continue"/>
          </w:tcPr>
          <w:p/>
        </w:tc>
        <w:tc>
          <w:tcPr>
            <w:vAlign w:val="center"/>
            <w:vMerge w:val="restart"/>
          </w:tcPr>
          <w:p>
            <w:pPr>
              <w:jc w:val="center"/>
            </w:pPr>
            <w:r>
              <w:rPr>
                <w:sz w:val="20"/>
                <w:szCs w:val="20"/>
              </w:rPr>
              <w:t xml:space="preserve">Створення сучасного та розвивального освітнього середовища</w:t>
            </w:r>
          </w:p>
        </w:tc>
        <w:tc>
          <w:tcPr>
            <w:vAlign w:val="center"/>
          </w:tcPr>
          <w:p>
            <w:pPr>
              <w:jc w:val="center"/>
            </w:pPr>
            <w:r>
              <w:rPr>
                <w:sz w:val="20"/>
                <w:szCs w:val="20"/>
              </w:rPr>
              <w:t xml:space="preserve">Забезпечення закладів загальної середньої освіти меблями, засобами навчання, сучасним обладнанням, у тому числі для математично-природничими кабінетами, STEM-лабораторіями</w:t>
            </w:r>
          </w:p>
        </w:tc>
        <w:tc>
          <w:tcPr>
            <w:tcW w:w="1500" w:type="dxa"/>
            <w:vAlign w:val="center"/>
          </w:tcPr>
          <w:p>
            <w:pPr>
              <w:jc w:val="center"/>
            </w:pPr>
            <w:r>
              <w:rPr>
                <w:sz w:val="20"/>
                <w:szCs w:val="20"/>
              </w:rPr>
              <w:t xml:space="preserve">01-08-2020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органи місцевого самоврядування </w:t>
            </w:r>
          </w:p>
        </w:tc>
      </w:tr>
      <w:tr>
        <w:trPr/>
        <w:tc>
          <w:tcPr>
            <w:vMerge w:val="continue"/>
          </w:tcPr>
          <w:p/>
        </w:tc>
        <w:tc>
          <w:tcPr>
            <w:vMerge w:val="continue"/>
          </w:tcPr>
          <w:p/>
        </w:tc>
        <w:tc>
          <w:tcPr>
            <w:vAlign w:val="center"/>
          </w:tcPr>
          <w:p>
            <w:pPr>
              <w:jc w:val="center"/>
            </w:pPr>
            <w:r>
              <w:rPr>
                <w:sz w:val="20"/>
                <w:szCs w:val="20"/>
              </w:rPr>
              <w:t xml:space="preserve">Створення нового освітнього простору в загальної середньої освіти відповідно до принципів мотивувального та креативного дизайну, технологічності та інклюзивності</w:t>
            </w:r>
          </w:p>
        </w:tc>
        <w:tc>
          <w:tcPr>
            <w:tcW w:w="1500" w:type="dxa"/>
            <w:vAlign w:val="center"/>
          </w:tcPr>
          <w:p>
            <w:pPr>
              <w:jc w:val="center"/>
            </w:pPr>
            <w:r>
              <w:rPr>
                <w:sz w:val="20"/>
                <w:szCs w:val="20"/>
              </w:rPr>
              <w:t xml:space="preserve">01-08-2020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органи місцевого самоврядування</w:t>
            </w:r>
          </w:p>
        </w:tc>
      </w:tr>
      <w:tr>
        <w:trPr/>
        <w:tc>
          <w:tcPr>
            <w:vMerge w:val="continue"/>
          </w:tcPr>
          <w:p/>
        </w:tc>
        <w:tc>
          <w:tcPr>
            <w:vMerge w:val="continue"/>
          </w:tcPr>
          <w:p/>
        </w:tc>
        <w:tc>
          <w:tcPr>
            <w:vAlign w:val="center"/>
          </w:tcPr>
          <w:p>
            <w:pPr>
              <w:jc w:val="center"/>
            </w:pPr>
            <w:r>
              <w:rPr>
                <w:sz w:val="20"/>
                <w:szCs w:val="20"/>
              </w:rPr>
              <w:t xml:space="preserve">Організація позаурочної діяльності учнів відповідно до їхніх потреб та інтересів</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 МКМС </w:t>
            </w:r>
          </w:p>
        </w:tc>
      </w:tr>
      <w:tr>
        <w:trPr/>
        <w:tc>
          <w:tcPr>
            <w:vAlign w:val="center"/>
            <w:vMerge w:val="restart"/>
          </w:tcPr>
          <w:p>
            <w:pPr>
              <w:jc w:val="center"/>
            </w:pPr>
            <w:r>
              <w:rPr>
                <w:sz w:val="20"/>
                <w:szCs w:val="20"/>
              </w:rPr>
              <w:t xml:space="preserve">Випускниці та випускники здійснюють свідомий, зважений вибір професії, розуміючи перспективи, які дає завершення того чи іншого рівня освіти</w:t>
            </w:r>
          </w:p>
        </w:tc>
        <w:tc>
          <w:tcPr>
            <w:vAlign w:val="center"/>
            <w:vMerge w:val="restart"/>
          </w:tcPr>
          <w:p>
            <w:pPr>
              <w:jc w:val="center"/>
            </w:pPr>
            <w:r>
              <w:rPr>
                <w:sz w:val="20"/>
                <w:szCs w:val="20"/>
              </w:rPr>
              <w:t xml:space="preserve">Визначення та аналіз професійних спрямувань та уподобань учнів</w:t>
            </w:r>
          </w:p>
        </w:tc>
        <w:tc>
          <w:tcPr>
            <w:vAlign w:val="center"/>
          </w:tcPr>
          <w:p>
            <w:pPr>
              <w:jc w:val="center"/>
            </w:pPr>
            <w:r>
              <w:rPr>
                <w:sz w:val="20"/>
                <w:szCs w:val="20"/>
              </w:rPr>
              <w:t xml:space="preserve">Проведення базового та періодичних моніторингових досліджень щодо професійної орієнтації учнів в закладах загальної середньої освіти</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Створення ефективної системи профорієнтації</w:t>
            </w:r>
          </w:p>
        </w:tc>
        <w:tc>
          <w:tcPr>
            <w:vAlign w:val="center"/>
          </w:tcPr>
          <w:p>
            <w:pPr>
              <w:jc w:val="center"/>
            </w:pPr>
            <w:r>
              <w:rPr>
                <w:sz w:val="20"/>
                <w:szCs w:val="20"/>
              </w:rPr>
              <w:t xml:space="preserve">Залучення громадських організацій, бізнес-асоціацій та інших партнерів до розроблення політики профорієнтаційної роботи в закладах загальної середньої освіти</w:t>
            </w:r>
          </w:p>
        </w:tc>
        <w:tc>
          <w:tcPr>
            <w:tcW w:w="1500" w:type="dxa"/>
            <w:vAlign w:val="center"/>
          </w:tcPr>
          <w:p>
            <w:pPr>
              <w:jc w:val="center"/>
            </w:pPr>
            <w:r>
              <w:rPr>
                <w:sz w:val="20"/>
                <w:szCs w:val="20"/>
              </w:rPr>
              <w:t xml:space="preserve">01-11-2019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Розроблення методичних рекомендацій щодо проведення профорієнтаційної роботи в закладах загальної середньої освіти</w:t>
            </w:r>
          </w:p>
        </w:tc>
        <w:tc>
          <w:tcPr>
            <w:tcW w:w="1500" w:type="dxa"/>
            <w:vAlign w:val="center"/>
          </w:tcPr>
          <w:p>
            <w:pPr>
              <w:jc w:val="center"/>
            </w:pPr>
            <w:r>
              <w:rPr>
                <w:sz w:val="20"/>
                <w:szCs w:val="20"/>
              </w:rPr>
              <w:t xml:space="preserve">01-02-2020</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Проведення регіональних ярмарок професій із залученням бізнес-асоціацій, асоціацій підприємців та роботодавців (пілот Київська обл.)</w:t>
            </w:r>
          </w:p>
        </w:tc>
        <w:tc>
          <w:tcPr>
            <w:tcW w:w="1500" w:type="dxa"/>
            <w:vAlign w:val="center"/>
          </w:tcPr>
          <w:p>
            <w:pPr>
              <w:jc w:val="center"/>
            </w:pPr>
            <w:r>
              <w:rPr>
                <w:sz w:val="20"/>
                <w:szCs w:val="20"/>
              </w:rPr>
              <w:t xml:space="preserve">01-12-2019</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облдежадміністрації; МОН </w:t>
            </w:r>
          </w:p>
        </w:tc>
      </w:tr>
      <w:tr>
        <w:trPr/>
        <w:tc>
          <w:tcPr>
            <w:vMerge w:val="continue"/>
          </w:tcPr>
          <w:p/>
        </w:tc>
        <w:tc>
          <w:tcPr>
            <w:vMerge w:val="continue"/>
          </w:tcPr>
          <w:p/>
        </w:tc>
        <w:tc>
          <w:tcPr>
            <w:vAlign w:val="center"/>
          </w:tcPr>
          <w:p>
            <w:pPr>
              <w:jc w:val="center"/>
            </w:pPr>
            <w:r>
              <w:rPr>
                <w:sz w:val="20"/>
                <w:szCs w:val="20"/>
              </w:rPr>
              <w:t xml:space="preserve">Розроблення та запровадження онлайн-курсу для учнів щодо вибору майбутніх професій</w:t>
            </w:r>
          </w:p>
        </w:tc>
        <w:tc>
          <w:tcPr>
            <w:tcW w:w="1500" w:type="dxa"/>
            <w:vAlign w:val="center"/>
          </w:tcPr>
          <w:p>
            <w:pPr>
              <w:jc w:val="center"/>
            </w:pPr>
            <w:r>
              <w:rPr>
                <w:sz w:val="20"/>
                <w:szCs w:val="20"/>
              </w:rPr>
              <w:t xml:space="preserve">01-04-2020</w:t>
            </w:r>
          </w:p>
        </w:tc>
        <w:tc>
          <w:tcPr>
            <w:tcW w:w="1500" w:type="dxa"/>
            <w:vAlign w:val="center"/>
          </w:tcPr>
          <w:p>
            <w:pPr>
              <w:jc w:val="center"/>
            </w:pPr>
            <w:r>
              <w:rPr>
                <w:sz w:val="20"/>
                <w:szCs w:val="20"/>
              </w:rPr>
              <w:t xml:space="preserve">31-12-2021</w:t>
            </w:r>
          </w:p>
        </w:tc>
        <w:tc>
          <w:tcPr>
            <w:vAlign w:val="center"/>
          </w:tcPr>
          <w:p>
            <w:pPr>
              <w:jc w:val="center"/>
            </w:pPr>
            <w:r>
              <w:rPr>
                <w:sz w:val="20"/>
                <w:szCs w:val="20"/>
              </w:rPr>
              <w:t xml:space="preserve">МОН; Спільний представницький орган роботодавців на національному рівні; облдержадміністрації </w:t>
            </w:r>
          </w:p>
        </w:tc>
      </w:tr>
      <w:tr>
        <w:trPr/>
        <w:tc>
          <w:tcPr>
            <w:vMerge w:val="continue"/>
          </w:tcPr>
          <w:p/>
        </w:tc>
        <w:tc>
          <w:tcPr>
            <w:vMerge w:val="continue"/>
          </w:tcPr>
          <w:p/>
        </w:tc>
        <w:tc>
          <w:tcPr>
            <w:vAlign w:val="center"/>
          </w:tcPr>
          <w:p>
            <w:pPr>
              <w:jc w:val="center"/>
            </w:pPr>
            <w:r>
              <w:rPr>
                <w:sz w:val="20"/>
                <w:szCs w:val="20"/>
              </w:rPr>
              <w:t xml:space="preserve">Розроблення інструменту тестування для школярів на основі міжнародних методик</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Створення центрів кар’єри у закладах професійної (професійно-технічної) освіти</w:t>
            </w:r>
          </w:p>
        </w:tc>
        <w:tc>
          <w:tcPr>
            <w:tcW w:w="1500" w:type="dxa"/>
            <w:vAlign w:val="center"/>
          </w:tcPr>
          <w:p>
            <w:pPr>
              <w:jc w:val="center"/>
            </w:pPr>
            <w:r>
              <w:rPr>
                <w:sz w:val="20"/>
                <w:szCs w:val="20"/>
              </w:rPr>
              <w:t xml:space="preserve">01-01-2020</w:t>
            </w:r>
          </w:p>
        </w:tc>
        <w:tc>
          <w:tcPr>
            <w:tcW w:w="1500" w:type="dxa"/>
            <w:vAlign w:val="center"/>
          </w:tcPr>
          <w:p>
            <w:pPr>
              <w:jc w:val="center"/>
            </w:pPr>
            <w:r>
              <w:rPr>
                <w:sz w:val="20"/>
                <w:szCs w:val="20"/>
              </w:rPr>
              <w:t xml:space="preserve">31-03-2021</w:t>
            </w:r>
          </w:p>
        </w:tc>
        <w:tc>
          <w:tcPr>
            <w:vAlign w:val="center"/>
          </w:tcPr>
          <w:p>
            <w:pPr>
              <w:jc w:val="center"/>
            </w:pPr>
            <w:r>
              <w:rPr>
                <w:sz w:val="20"/>
                <w:szCs w:val="20"/>
              </w:rPr>
              <w:t xml:space="preserve">МОН</w:t>
            </w:r>
          </w:p>
        </w:tc>
      </w:tr>
      <w:tr>
        <w:trPr/>
        <w:tc>
          <w:tcPr>
            <w:vMerge w:val="continue"/>
          </w:tcPr>
          <w:p/>
        </w:tc>
        <w:tc>
          <w:tcPr>
            <w:vAlign w:val="center"/>
            <w:vMerge w:val="restart"/>
          </w:tcPr>
          <w:p>
            <w:pPr>
              <w:jc w:val="center"/>
            </w:pPr>
            <w:r>
              <w:rPr>
                <w:sz w:val="20"/>
                <w:szCs w:val="20"/>
              </w:rPr>
              <w:t xml:space="preserve">Підвищення кваліфікації педагогічних працівників щодо здійснення профорієнтації в закладах загальної середньої освіти</w:t>
            </w:r>
          </w:p>
        </w:tc>
        <w:tc>
          <w:tcPr>
            <w:vAlign w:val="center"/>
          </w:tcPr>
          <w:p>
            <w:pPr>
              <w:jc w:val="center"/>
            </w:pPr>
            <w:r>
              <w:rPr>
                <w:sz w:val="20"/>
                <w:szCs w:val="20"/>
              </w:rPr>
              <w:t xml:space="preserve">Розроблення методичних рекомендацій та матеріалів для педагогічних працівників (соціальних педагогів), які будуть здійснювати профорієнтацію в закладах ЗСО у якості кар’єрних консультантів</w:t>
            </w:r>
          </w:p>
        </w:tc>
        <w:tc>
          <w:tcPr>
            <w:tcW w:w="1500" w:type="dxa"/>
            <w:vAlign w:val="center"/>
          </w:tcPr>
          <w:p>
            <w:pPr>
              <w:jc w:val="center"/>
            </w:pPr>
            <w:r>
              <w:rPr>
                <w:sz w:val="20"/>
                <w:szCs w:val="20"/>
              </w:rPr>
              <w:t xml:space="preserve">01-03-2020</w:t>
            </w:r>
          </w:p>
        </w:tc>
        <w:tc>
          <w:tcPr>
            <w:tcW w:w="1500" w:type="dxa"/>
            <w:vAlign w:val="center"/>
          </w:tcPr>
          <w:p>
            <w:pPr>
              <w:jc w:val="center"/>
            </w:pPr>
            <w:r>
              <w:rPr>
                <w:sz w:val="20"/>
                <w:szCs w:val="20"/>
              </w:rPr>
              <w:t xml:space="preserve">31-12-2020</w:t>
            </w:r>
          </w:p>
        </w:tc>
        <w:tc>
          <w:tcPr>
            <w:vAlign w:val="center"/>
          </w:tcPr>
          <w:p>
            <w:pPr>
              <w:jc w:val="center"/>
            </w:pPr>
            <w:r>
              <w:rPr>
                <w:sz w:val="20"/>
                <w:szCs w:val="20"/>
              </w:rPr>
              <w:t xml:space="preserve">МОН</w:t>
            </w:r>
          </w:p>
        </w:tc>
      </w:tr>
      <w:tr>
        <w:trPr/>
        <w:tc>
          <w:tcPr>
            <w:vMerge w:val="continue"/>
          </w:tcPr>
          <w:p/>
        </w:tc>
        <w:tc>
          <w:tcPr>
            <w:vMerge w:val="continue"/>
          </w:tcPr>
          <w:p/>
        </w:tc>
        <w:tc>
          <w:tcPr>
            <w:vAlign w:val="center"/>
          </w:tcPr>
          <w:p>
            <w:pPr>
              <w:jc w:val="center"/>
            </w:pPr>
            <w:r>
              <w:rPr>
                <w:sz w:val="20"/>
                <w:szCs w:val="20"/>
              </w:rPr>
              <w:t xml:space="preserve">Підвищення кваліфікації педагогічних працівників (соціальних педагогів) з питань надання консультативної допомоги учнями закладів загальної середньої освіти стосовно особистісного та професійного розвитку</w:t>
            </w:r>
          </w:p>
        </w:tc>
        <w:tc>
          <w:tcPr>
            <w:tcW w:w="1500" w:type="dxa"/>
            <w:vAlign w:val="center"/>
          </w:tcPr>
          <w:p>
            <w:pPr>
              <w:jc w:val="center"/>
            </w:pPr>
            <w:r>
              <w:rPr>
                <w:sz w:val="20"/>
                <w:szCs w:val="20"/>
              </w:rPr>
              <w:t xml:space="preserve">01-01-2021</w:t>
            </w:r>
          </w:p>
        </w:tc>
        <w:tc>
          <w:tcPr>
            <w:tcW w:w="1500" w:type="dxa"/>
            <w:vAlign w:val="center"/>
          </w:tcPr>
          <w:p>
            <w:pPr>
              <w:jc w:val="center"/>
            </w:pPr>
            <w:r>
              <w:rPr>
                <w:sz w:val="20"/>
                <w:szCs w:val="20"/>
              </w:rPr>
              <w:t xml:space="preserve">31-12-2024</w:t>
            </w:r>
          </w:p>
        </w:tc>
        <w:tc>
          <w:tcPr>
            <w:vAlign w:val="center"/>
          </w:tcPr>
          <w:p>
            <w:pPr>
              <w:jc w:val="center"/>
            </w:pPr>
            <w:r>
              <w:rPr>
                <w:sz w:val="20"/>
                <w:szCs w:val="20"/>
              </w:rPr>
              <w:t xml:space="preserve">МОН</w:t>
            </w:r>
          </w:p>
        </w:tc>
      </w:tr>
    </w:tbl>
    <w:sectPr>
      <w:pgSz w:orient="landscape" w:w="16837.795275591" w:h="11905.511811024"/>
      <w:pgMar w:top="700" w:right="700" w:bottom="700" w:left="70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A539C63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_ftn1" TargetMode="External"/><Relationship Id="rId8" Type="http://schemas.openxmlformats.org/officeDocument/2006/relationships/hyperlink" Target="_ftnref1" TargetMode="External"/><Relationship Id="rId9" Type="http://schemas.openxmlformats.org/officeDocument/2006/relationships/hyperlink" Target="https://eur-lex.europa.eu/legal-content/EN/TXT/PDF/?uri=CELEX:32018H0604(01)&amp;from=EN" TargetMode="External"/><Relationship Id="rId10" Type="http://schemas.openxmlformats.org/officeDocument/2006/relationships/hyperlink" Target="https://mof.gov.ua/uk/the-reform-of-edu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2020-02-10T10:29:19+02:00</dcterms:created>
  <dcterms:modified xsi:type="dcterms:W3CDTF">2020-02-10T10:29:19+02:00</dcterms:modified>
</cp:coreProperties>
</file>

<file path=docProps/custom.xml><?xml version="1.0" encoding="utf-8"?>
<Properties xmlns="http://schemas.openxmlformats.org/officeDocument/2006/custom-properties" xmlns:vt="http://schemas.openxmlformats.org/officeDocument/2006/docPropsVTypes"/>
</file>