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1.3. «Випускники шкіл мають широкий вибір закладів для здобуття якісної професійної освіти з подальшим працевлаштуванням»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Випускники шкіл орієнтуються виключно на здобуття вищої освіти, що призводить до нераціонального витрачання їх часу і фінансових ресурсів у процесі професійної реалізації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Випускники шкіл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>
          <w:b w:val="1"/>
          <w:bCs w:val="1"/>
        </w:rPr>
        <w:t xml:space="preserve">Переважна більшість випускників школи (майже ⅔) віддають перевагу вищій освіті. Щороку це майже 400 тис. учнів (базову загальну середню освіту у 2020 році здобудуть  381,9 тис. осіб; у 2021 році - 399,9 тис. осіб; у 2022 році - 398,7 тис. осіб; у 2023 році - 430,8 тис. осіб; у 2024 році - 441,1 тис. осіб). Понад третина з тих, хто має статус безробітного - молодь до 35 років. Кількість випускників закладів освіти, що отримували послуги державної служби зайнятості протягом січня-жовтня 2019 року, становила 11,4 тис. осіб (у т. ч. 8,8 тис. випускників закладів вищої освіти та  2,6 тис. випускників закладів професійно-технічної освіти)</w:t>
      </w:r>
      <w:hyperlink w:anchor="_ftn1" w:history="1">
        <w:r>
          <w:rPr/>
          <w:t xml:space="preserve">[1]</w:t>
        </w:r>
      </w:hyperlink>
      <w:r>
        <w:rPr>
          <w:b w:val="1"/>
          <w:bCs w:val="1"/>
        </w:rPr>
        <w:t xml:space="preserve">. При цьому широкомасштабне опитування, проведене восени 2018 року серед здобувачів професійно-технічної освіти (було опитано понад 16,5 тис осіб з усіх регіонів України) показало, що 90% опитаних повністю (55%) або частково (35%) впевнені у їх затребуваності як майбутнього фахівця на ринку праці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Надання послуг особам з числа молоді // Державна служби зайнятості. - Режим доступу: </w:t>
      </w:r>
      <w:hyperlink r:id="rId9" w:history="1">
        <w:r>
          <w:rPr/>
          <w:t xml:space="preserve">https</w:t>
        </w:r>
      </w:hyperlink>
      <w:hyperlink r:id="rId9" w:history="1">
        <w:r>
          <w:rPr/>
          <w:t xml:space="preserve">://</w:t>
        </w:r>
      </w:hyperlink>
      <w:hyperlink r:id="rId9" w:history="1">
        <w:r>
          <w:rPr/>
          <w:t xml:space="preserve">www</w:t>
        </w:r>
      </w:hyperlink>
      <w:hyperlink r:id="rId9" w:history="1">
        <w:r>
          <w:rPr/>
          <w:t xml:space="preserve">.</w:t>
        </w:r>
      </w:hyperlink>
      <w:hyperlink r:id="rId9" w:history="1">
        <w:r>
          <w:rPr/>
          <w:t xml:space="preserve">dcz</w:t>
        </w:r>
      </w:hyperlink>
      <w:hyperlink r:id="rId9" w:history="1">
        <w:r>
          <w:rPr/>
          <w:t xml:space="preserve">.</w:t>
        </w:r>
      </w:hyperlink>
      <w:hyperlink r:id="rId9" w:history="1">
        <w:r>
          <w:rPr/>
          <w:t xml:space="preserve">gov</w:t>
        </w:r>
      </w:hyperlink>
      <w:hyperlink r:id="rId9" w:history="1">
        <w:r>
          <w:rPr/>
          <w:t xml:space="preserve">.</w:t>
        </w:r>
      </w:hyperlink>
      <w:hyperlink r:id="rId9" w:history="1">
        <w:r>
          <w:rPr/>
          <w:t xml:space="preserve">ua</w:t>
        </w:r>
      </w:hyperlink>
      <w:hyperlink r:id="rId9" w:history="1">
        <w:r>
          <w:rPr/>
          <w:t xml:space="preserve">/</w:t>
        </w:r>
      </w:hyperlink>
      <w:hyperlink r:id="rId9" w:history="1">
        <w:r>
          <w:rPr/>
          <w:t xml:space="preserve">analitics</w:t>
        </w:r>
      </w:hyperlink>
      <w:hyperlink r:id="rId9" w:history="1">
        <w:r>
          <w:rPr/>
          <w:t xml:space="preserve">/68</w:t>
        </w:r>
      </w:hyperlink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>
          <w:b w:val="1"/>
          <w:bCs w:val="1"/>
        </w:rPr>
        <w:t xml:space="preserve">Питання вибору майбутньої професії та освітньої траєкторії безпосередньо визначає те, скільки часу та коштів особа витратить на здобуття професії і пошук роботи, а також розмір майбутньої заробітної плати. Віддаючи перевагу здобуттю вищої освіти, випускники шкіл втрачають час (термін виходу на ринок праці – мінімум 4 роки порівняно із 1 роком у професійно-технічній освіті) та гроші (середній показник вартості підготовки студентів за кошти фізичних/юридичних осіб в закладах вищої освіти у 2018 році складав 28 тис. грн, натомість навчання в закладах професійно-технічної освіти є безкоштовним для всіх). При цьому середня заробітна плата для вакансій, які вимагають вищої освіти, становить 6 846 грн., професійно-технічної освіти – 7 286 грн.</w:t>
      </w:r>
      <w:hyperlink w:anchor="_ftn1" w:history="1">
        <w:r>
          <w:rPr/>
          <w:t xml:space="preserve">[1]</w:t>
        </w:r>
      </w:hyperlink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  Розмір заробітної  плати у вакансіях станом на 1 листопада 2019 року // Державна служби зайнятості. – Режим доступу:</w:t>
      </w:r>
      <w:hyperlink r:id="rId10" w:history="1">
        <w:r>
          <w:rPr/>
          <w:t xml:space="preserve"> </w:t>
        </w:r>
      </w:hyperlink>
      <w:hyperlink r:id="rId10" w:history="1">
        <w:r>
          <w:rPr/>
          <w:t xml:space="preserve">https</w:t>
        </w:r>
      </w:hyperlink>
      <w:hyperlink r:id="rId10" w:history="1">
        <w:r>
          <w:rPr/>
          <w:t xml:space="preserve">://</w:t>
        </w:r>
      </w:hyperlink>
      <w:hyperlink r:id="rId10" w:history="1">
        <w:r>
          <w:rPr/>
          <w:t xml:space="preserve">www</w:t>
        </w:r>
      </w:hyperlink>
      <w:hyperlink r:id="rId10" w:history="1">
        <w:r>
          <w:rPr/>
          <w:t xml:space="preserve">.</w:t>
        </w:r>
      </w:hyperlink>
      <w:hyperlink r:id="rId10" w:history="1">
        <w:r>
          <w:rPr/>
          <w:t xml:space="preserve">dcz</w:t>
        </w:r>
      </w:hyperlink>
      <w:hyperlink r:id="rId10" w:history="1">
        <w:r>
          <w:rPr/>
          <w:t xml:space="preserve">.</w:t>
        </w:r>
      </w:hyperlink>
      <w:hyperlink r:id="rId10" w:history="1">
        <w:r>
          <w:rPr/>
          <w:t xml:space="preserve">gov</w:t>
        </w:r>
      </w:hyperlink>
      <w:hyperlink r:id="rId10" w:history="1">
        <w:r>
          <w:rPr/>
          <w:t xml:space="preserve">.</w:t>
        </w:r>
      </w:hyperlink>
      <w:hyperlink r:id="rId10" w:history="1">
        <w:r>
          <w:rPr/>
          <w:t xml:space="preserve">ua</w:t>
        </w:r>
      </w:hyperlink>
      <w:hyperlink r:id="rId10" w:history="1">
        <w:r>
          <w:rPr/>
          <w:t xml:space="preserve">/</w:t>
        </w:r>
      </w:hyperlink>
      <w:hyperlink r:id="rId10" w:history="1">
        <w:r>
          <w:rPr/>
          <w:t xml:space="preserve">analitics</w:t>
        </w:r>
      </w:hyperlink>
      <w:hyperlink r:id="rId10" w:history="1">
        <w:r>
          <w:rPr/>
          <w:t xml:space="preserve">/69</w:t>
        </w:r>
      </w:hyperlink>
    </w:p>
    <w:p>
      <w:pPr/>
      <w:r>
        <w:rPr>
          <w:b w:val="1"/>
          <w:bCs w:val="1"/>
        </w:rPr>
        <w:t xml:space="preserve">1.5. Динаміка проблеми:  Нейтральна</w:t>
      </w:r>
    </w:p>
    <w:p>
      <w:pPr/>
      <w:r>
        <w:rPr>
          <w:b w:val="1"/>
          <w:bCs w:val="1"/>
        </w:rPr>
        <w:t xml:space="preserve">Загалом, кількість зареєстрованих безробітних з числа молоді, яка закінчила або припинила навчання у закладах освіти, поступово зменшується (3 998 осіб у січні-вересні 2019 року проти 4 767 за аналогічний період 2018 року). Однак це не дає можливості зробити висновок про позитивну динаміку, оскільки не всі випускники, які не знайшли роботу в Україні, звертаються до служби зайнятості. Багато з них виїжджає за кордон чи працює не за набутою спеціальністю/професією. Частка випускників шкіл, що обирають професійну освіту, щороку зменшується на 1% у кожній категорії (9, 11 клас, професійно-технічна, фахова передвища)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Мережа закладів професійної освіти, яка містить близько 50% малокомплектних закладів із застарілим обладнанням, не відповідає потребам регіональних ринків праці</w:t>
      </w:r>
    </w:p>
    <w:p>
      <w:pPr/>
      <w:r>
        <w:rPr/>
        <w:t xml:space="preserve">Причина 2 - Невідповідність змісту та якості професійної освіти потребам роботодавців</w:t>
      </w:r>
    </w:p>
    <w:p>
      <w:pPr/>
      <w:r>
        <w:rPr/>
        <w:t xml:space="preserve">Причина 3 - Суспільний стереотип другорядності, непрестижності професійної освіти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Зростання відсотку випускників шкіл, що обирають професійну (професійно-технічну та фахову передвищу) освіту після школи, щонайменше до 45%</w:t>
      </w:r>
    </w:p>
    <w:p>
      <w:pPr>
        <w:numPr>
          <w:ilvl w:val="0"/>
          <w:numId w:val="1"/>
        </w:numPr>
      </w:pPr>
      <w:r>
        <w:rPr/>
        <w:t xml:space="preserve">Зростання відсотку випускників закладів професійної (професійно-технічної та фахової передвищої) освіти, працевлаштованих в Україні через 6 місяців та 1 рік після закінчення навчання, у тому числі за професією (спеціальністю)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Опис чинної державної політики щодо вирішення проблеми \ її причин.</w:t>
      </w:r>
    </w:p>
    <w:p>
      <w:pPr/>
      <w:r>
        <w:rPr/>
        <w:t xml:space="preserve">Чинна державна політика передбачає розвиток спроможності регіонів в управлінні професійно-технічною освітою, децентралізацію фінансування та управління системою професійної освіти, державне фінансування модернізації та оновлення матеріально-технічної бази закладів професійно-технічної освіти, широкомасштабне оновлення стандартів професійно-технічної освіти, широке залучення бізнесу та міжнародних партнерів до реформування системи професійної освіти. Зокрема, схвалено Концепцію реалізації державної політики у сфері професійної (професійно-технічної) освіти «Сучасна професійна (професійно-технічна) освіта» на період до 2027 року; підписано угоду між Україною та Європейською Комісією про фінансування Програми «EU4Skills: Кращі навички для сучасної України»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“Єдина система професійної освіти, яка поєднує професійно-технічну та фахову передвищу освіту, є ефективною та відповідає потребам ринку праці”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регіонів, у яких завершено формування єдиної мережі закладів професійної освіти</w:t>
      </w:r>
    </w:p>
    <w:p>
      <w:pPr>
        <w:numPr>
          <w:ilvl w:val="0"/>
          <w:numId w:val="1"/>
        </w:numPr>
      </w:pPr>
      <w:r>
        <w:rPr/>
        <w:t xml:space="preserve">Кількість створених у закладах професійної освіти навчально-практичних центрів і навчально-виробничих лабораторій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Оптимізація мережі закладів професійної освіти відповідно до потреб регіональних ринків праці</w:t>
      </w:r>
    </w:p>
    <w:p>
      <w:pPr>
        <w:numPr>
          <w:ilvl w:val="0"/>
          <w:numId w:val="1"/>
        </w:numPr>
      </w:pPr>
      <w:r>
        <w:rPr/>
        <w:t xml:space="preserve">Реалізація у системі професійної освіти нової децентралізованої моделі управління та фінансування, орієнтованої на результати</w:t>
      </w:r>
    </w:p>
    <w:p>
      <w:pPr>
        <w:numPr>
          <w:ilvl w:val="0"/>
          <w:numId w:val="1"/>
        </w:numPr>
      </w:pPr>
      <w:r>
        <w:rPr/>
        <w:t xml:space="preserve">Створення сучасної навчально-виробничої інфраструктури для здобувачів професійної освіти</w:t>
      </w:r>
    </w:p>
    <w:p>
      <w:pPr/>
      <w:r>
        <w:rPr>
          <w:b w:val="1"/>
          <w:bCs w:val="1"/>
        </w:rPr>
        <w:t xml:space="preserve">2.2. Підціль 2 “Зміст та якість професійної освіти відповідає потребам регіонального ринку праці”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Зростання відсотка виконання закладами професійної освіти державного та регіонального замовлення</w:t>
      </w:r>
    </w:p>
    <w:p>
      <w:pPr>
        <w:numPr>
          <w:ilvl w:val="0"/>
          <w:numId w:val="1"/>
        </w:numPr>
      </w:pPr>
      <w:r>
        <w:rPr/>
        <w:t xml:space="preserve">Зростання кількості розроблених/оновлених стандартів професійної освіти на компетентнісній основі</w:t>
      </w:r>
    </w:p>
    <w:p>
      <w:pPr>
        <w:numPr>
          <w:ilvl w:val="0"/>
          <w:numId w:val="1"/>
        </w:numPr>
      </w:pPr>
      <w:r>
        <w:rPr/>
        <w:t xml:space="preserve">Кількість педагогічних працівників, які пройшли навчання за оновленими програмами підвищення кваліфікації</w:t>
      </w:r>
    </w:p>
    <w:p>
      <w:pPr>
        <w:numPr>
          <w:ilvl w:val="0"/>
          <w:numId w:val="1"/>
        </w:numPr>
      </w:pPr>
      <w:r>
        <w:rPr/>
        <w:t xml:space="preserve">Зростання кількості закладів, що реалізують програми здобуття професійної освіти за дуальною формою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Розроблення дієвих внутрішньої та зовнішньої систем забезпечення якості професійної освіти</w:t>
      </w:r>
    </w:p>
    <w:p>
      <w:pPr>
        <w:numPr>
          <w:ilvl w:val="0"/>
          <w:numId w:val="1"/>
        </w:numPr>
      </w:pPr>
      <w:r>
        <w:rPr/>
        <w:t xml:space="preserve">Створення умов для надання педагогічним персоналом  якісних освітніх послуг</w:t>
      </w:r>
    </w:p>
    <w:p>
      <w:pPr>
        <w:numPr>
          <w:ilvl w:val="0"/>
          <w:numId w:val="1"/>
        </w:numPr>
      </w:pPr>
      <w:r>
        <w:rPr/>
        <w:t xml:space="preserve">Максимальне залучення бізнесу до процесу підготовки фахівців у закладах професійної освіти</w:t>
      </w:r>
    </w:p>
    <w:p>
      <w:pPr/>
      <w:r>
        <w:rPr>
          <w:b w:val="1"/>
          <w:bCs w:val="1"/>
        </w:rPr>
        <w:t xml:space="preserve">2.3. Підціль 3 “Професійна освіта сприймається як достойна освітня траєкторія для випускників шкіл”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Зростання частки опитаних батьків, які розглядають професійну освіту як опцію №1 для здобуття освіти їхніми дітьми (у відсотках)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Залучення бізнесу до популяризації професійної освіти та робітничих професій</w:t>
      </w:r>
    </w:p>
    <w:p>
      <w:pPr>
        <w:numPr>
          <w:ilvl w:val="0"/>
          <w:numId w:val="1"/>
        </w:numPr>
      </w:pPr>
      <w:r>
        <w:rPr/>
        <w:t xml:space="preserve">Проведення комунікаційної кампанії з популяризації професійної освіти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Єдина система професійної освіти, яка поєднує професійно-технічну та фахову передвищу освіту, є ефективною та відповідає потребам ринку праці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Оптимізація мережі закладів професійної освіти відповідно до потреб регіональних ринків праці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Законодавче врегулювання створення єдиної системи професійної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30-04-2020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Формування єдиної мережі закладів професійної освіти на основі закладів ПТО та ФПО (у відповідності із регіональними стратегіями розвитку професійної освіти)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обласні державні адміністрації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комунікаційної  кампанії створення єдиної системи професійної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МКМС; обласні державні адміністрації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у системі професійної освіти нової децентралізованої моделі управління та фінансування, орієнтованої на результати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фінансування закладів, що знаходяться у містах-обласних центрах, з обласного бюджету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Мінфін; обласні державні адміністрації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передачі закладів професійної освіти з державної у комунальну власність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обласні ради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наглядових рад у державних та комунальних закладах професійної освіти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30-04-2022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обласні державні адміністрації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автономії закладів професійної освіти (дерегуляція)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обласні державні адміністрації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підготовки та підвищення кваліфікації керівників закладів професійної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обласні державні адміністрації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EMIS (інформаційної системи управління освітою)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31-08-2022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обласні державні адміністрації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сучасної навчально-виробничої інфраструктури для здобувачів професійної освіти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навчально-практичних центрів (лабораторій) у закладах професійної освіти за кошти державного бюджету на конкурсній основі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обласні державні адміністраці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Оновлення матеріально-технічної бази закладів професійної (професійно-технічної) освіти за кошти Компоненту 3 проекту EU4Skills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обласні державні адміністрації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Унормування питання набуття статусу центру професійної досконалості закладами професійної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КМУ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Здійснення модернізації матеріально-технічної бази та освітнього процесу у пілотних закладах професійної освіти з метою набуття статусу центру професійної досконалості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обласні державні адміністрації 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Зміст та якість професійної освіти відповідає потребам регіонального ринку праці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дієвих внутрішньої та зовнішньої систем забезпечення якості професійної освіти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стандартів професійної освіти, стандартів оцінювання та освітніх програм на компетентнісній основі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Національне агентство кваліфікацій; Спільний представницький орган роботодавців на національному рівні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незалежного оцінювання результатів навчання, присвоєння та/або підтвердження професійних кваліфікацій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Національне агентство кваліфікацій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інституційного аудиту закладів професійної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ДСЯО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моніторингових досліджень  якості професійної освіти та працевлаштування випускників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01-10-2023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31-07-2024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ДСЯО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умов для надання педагогічним персоналом  якісних освітніх послуг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умов для професійного розвитку педагогічних працівників закладів професійної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обласні державні адміністрації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конкурентних умов оплати праці педагогічних працівників закладів професійної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Максимальне залучення бізнесу до процесу підготовки фахівців у закладах професійної освіти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Спрощення механізму залучення підприємств до освітнього процесу в закладах професійної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Удосконалення механізму здобуття професійної освіти за дуальною формою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Спільний представницький орган роботодавців на національному рівні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Професійна освіта сприймається як достойна освітня траєкторія для випускників шкіл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Залучення бізнесу до популяризації професійної освіти та робітничих професій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реалізація заходів із підвищення іміджу робітничих професій із залученням бізнесу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МКМС; Спільний представницький орган роботодавців на національному рівні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регіональних та всеукраїнських конкурсів фахової майстерності, у тому числі WorldSkills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Спільний представницький орган роботодавців на національному рівні обласні державні адміністрації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Осучаснення / оновлення назв професій у Державному класифікаторі професій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Спільний представницький орган роботодавців на національному рівні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системи консультування з питань розвитку кар'єри у закладах професійної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Державна служба зайнятості; Спільний представницький орган роботодавців на національному рівні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комунікаційної кампанії з популяризації професійної освіти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стратегії  популяризації професійної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МКМС; обласні державні адміністрації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Передбачення у державному бюджеті фінансування комунікаційної кампанії з популяризації професійної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МКМС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реалізація заходів із просування кращих практик у системі професійної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МКМС; обласні державні адміністрації 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C2456A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_ftn1" TargetMode="External"/><Relationship Id="rId8" Type="http://schemas.openxmlformats.org/officeDocument/2006/relationships/hyperlink" Target="_ftnref1" TargetMode="External"/><Relationship Id="rId9" Type="http://schemas.openxmlformats.org/officeDocument/2006/relationships/hyperlink" Target="https://www.dcz.gov.ua/analitics/68" TargetMode="External"/><Relationship Id="rId10" Type="http://schemas.openxmlformats.org/officeDocument/2006/relationships/hyperlink" Target="https://www.dcz.gov.ua/analitics/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2020-02-10T10:29:19+02:00</dcterms:created>
  <dcterms:modified xsi:type="dcterms:W3CDTF">2020-02-10T10:29:19+02:00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