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13.4 «Українці захищені від організованої злочинності та масових заворушень»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Cтосовно людей, які перебувають в Україні існує високий ризик протиправного впливу з боку організованих груп та злочинних організацій, водночас людина не має можливості безпечної реалізації власного права на мирні зібрання внаслідок загрози заподіяння шкоди при потенційних масових заворушеннях або групових порушеннях громадського порядку</w:t>
      </w:r>
    </w:p>
    <w:p>
      <w:pPr/>
      <w:r>
        <w:rPr>
          <w:b w:val="1"/>
          <w:bCs w:val="1"/>
        </w:rPr>
        <w:t xml:space="preserve">1.2. Носій проблеми </w:t>
      </w:r>
    </w:p>
    <w:p>
      <w:pPr/>
      <w:r>
        <w:rPr/>
        <w:t xml:space="preserve">Громадяни України ,Іноземці та особи без громадянства, які перебувають в Україні</w:t>
      </w:r>
    </w:p>
    <w:p>
      <w:pPr/>
      <w:r>
        <w:rPr>
          <w:b w:val="1"/>
          <w:bCs w:val="1"/>
        </w:rPr>
        <w:t xml:space="preserve">1.3. Масштаб проблеми: Загальнонаціональна</w:t>
      </w:r>
    </w:p>
    <w:p>
      <w:pPr/>
      <w:r>
        <w:rPr/>
        <w:t xml:space="preserve">Проявами організованої злочинності фактично уражені всі сфери життєдіяльності, водночас фактори існування, поширення та відтворення організованої злочинності в деяких випадках мають певну регіональну специфіку. Так само сенсори суспільної напруги, що можуть спричиняти групові порушення громадського порядку та масові заворушення виявляються в усіх без винятку регіонах, але при цьому також інколи відзначаються регіональними особливостями.</w:t>
      </w:r>
    </w:p>
    <w:p>
      <w:pPr/>
      <w:r>
        <w:rPr/>
        <w:t xml:space="preserve">Кількість виявлених організованих груп та злочинних організацій більшою мірою відображає активність правоохоронних органів у протидії організованій злочинності ніж масштаб дійсного її поширення, особливо ураховуючи високий рівень латентності зазначеного виду злочинності. Разом із тим визначення чіткої кількісної характеристики клієнтів наразі є проблемним, оскільки відповідна статистична інформація зараз не збирається. Так само не збирається й державна статистика щодо кількості потерпілих під час масових заворушень та групових порушень громадського порядку.</w:t>
      </w:r>
    </w:p>
    <w:p>
      <w:pPr/>
      <w:r>
        <w:rPr>
          <w:b w:val="1"/>
          <w:bCs w:val="1"/>
        </w:rPr>
        <w:t xml:space="preserve">1.4. Гострота проблеми: Гостра</w:t>
      </w:r>
    </w:p>
    <w:p>
      <w:pPr/>
      <w:r>
        <w:rPr/>
        <w:t xml:space="preserve">Враховуючи фатальність наслідків для людини (пов’язаних із загрозою для життя та здоров’я), а також значний обсяг економічних збитків, що спричиняється організованою злочинністю та потенційно може бути спричинений масовими заворушеннями. Разом із тим точне вимірювання обсягів указаних збитків може бути здійснено після запровадження відповідної звітності, що наразі не збирається.</w:t>
      </w:r>
    </w:p>
    <w:p>
      <w:pPr/>
      <w:r>
        <w:rPr>
          <w:b w:val="1"/>
          <w:bCs w:val="1"/>
        </w:rPr>
        <w:t xml:space="preserve">1.5. Динаміка проблеми:  Нейтральна</w:t>
      </w:r>
    </w:p>
    <w:p>
      <w:pPr/>
      <w:r>
        <w:rPr/>
        <w:t xml:space="preserve">Станом на 2014 рік проблема мала тенденцію до загострення, ураховуючи такі фактори як соціальний вибух, початок гібридної війни на теренах України, ліквідація ряду правоохоронних підрозділів та реорганізація їх більшої частини.</w:t>
      </w:r>
    </w:p>
    <w:p>
      <w:pPr/>
      <w:r>
        <w:rPr/>
        <w:t xml:space="preserve">Упродовж 2017 – 2018 років унаслідок вжитих заходів відзначено тенденцію до покращення результативності протидії організованій злочинності, особливо в частині припинення діяльності злочинних організацій та бандитських угруповань. За 9 місяців              2019 року  виявлено 261 організовану злочинну групу та злочинну організацію, в тому числі 24 з корумпованими зв’язками. Функціонують Департамент стратегічних розслідувань та його підрозділи в регіональних головних управліннях Національної поліції, а також підрозділи поліції особливого призначення «КОРД».</w:t>
      </w:r>
    </w:p>
    <w:p>
      <w:pPr/>
      <w:r>
        <w:rPr/>
        <w:t xml:space="preserve">Позитивним фактором є запровадження в діяльність поліцейських підрозділів методології кримінального аналізу та концепції «Intelligence Led Policing».  </w:t>
      </w:r>
    </w:p>
    <w:p>
      <w:pPr/>
      <w:r>
        <w:rPr/>
        <w:t xml:space="preserve">У перспективі на найближчі три роки за умови збереження чинної політики має зберегтися тенденція до збільшення кількості виявлених організованих груп та злочинних організацій із поступовим переходом до нейтральної динаміки проблеми. Прогнозується підвищення спроможностей підрозділів стратегічних розслідувань, «КОРД» та кіберполіції у здійсненні заходів, спрямованих на захист людей від проявів організованої злочинності та масових заворушень.</w:t>
      </w:r>
    </w:p>
    <w:p>
      <w:pPr/>
      <w:r>
        <w:rPr>
          <w:b w:val="1"/>
          <w:bCs w:val="1"/>
        </w:rPr>
        <w:t xml:space="preserve">1.6. Причини проблеми</w:t>
      </w:r>
    </w:p>
    <w:p>
      <w:pPr/>
      <w:r>
        <w:rPr/>
        <w:t xml:space="preserve">Причина 1 - Операціоналізація системи забезпечення публічного (громадського) порядку під час мирних зібрань та масових заходів здійснюється за застарілими моделями</w:t>
      </w:r>
    </w:p>
    <w:p>
      <w:pPr/>
      <w:r>
        <w:rPr/>
        <w:t xml:space="preserve">Причина 2 - Застарілі підходи до організації діяльності органів і підрозділів системи МВС по боротьбі з організованою злочинністю, насамперед з її найбільш небезпечними проявами за відсутності стратегічного підходу у боротьбі з організованою злочинністю</w:t>
      </w:r>
    </w:p>
    <w:p>
      <w:pPr/>
      <w:r>
        <w:rPr/>
        <w:t xml:space="preserve">Причина 3 - Недосконала організація проведення спеціальних поліцейських операцій</w:t>
      </w:r>
    </w:p>
    <w:p>
      <w:pPr/>
      <w:r>
        <w:rPr>
          <w:b w:val="1"/>
          <w:bCs w:val="1"/>
        </w:rPr>
        <w:t xml:space="preserve">1.7. Показники ефективності політики</w:t>
      </w:r>
    </w:p>
    <w:p>
      <w:pPr>
        <w:numPr>
          <w:ilvl w:val="0"/>
          <w:numId w:val="1"/>
        </w:numPr>
      </w:pPr>
      <w:r>
        <w:rPr/>
        <w:t xml:space="preserve">Нульові показники щодо постраждалих під час мирних зібрань, а також мінімальні обсяги матеріальних збитків від порушень громадського порядку під час мирних зібрань</w:t>
      </w:r>
    </w:p>
    <w:p>
      <w:pPr>
        <w:numPr>
          <w:ilvl w:val="0"/>
          <w:numId w:val="1"/>
        </w:numPr>
      </w:pPr>
      <w:r>
        <w:rPr/>
        <w:t xml:space="preserve">Зменшення кількості злочинів, скоєних організованими злочинними групами</w:t>
      </w:r>
    </w:p>
    <w:p>
      <w:pPr>
        <w:numPr>
          <w:ilvl w:val="0"/>
          <w:numId w:val="1"/>
        </w:numPr>
      </w:pPr>
      <w:r>
        <w:rPr/>
        <w:t xml:space="preserve">Максимально високий відсоток спеціальних поліцейських операцій, проведених без жертв</w:t>
      </w:r>
    </w:p>
    <w:p>
      <w:pPr/>
      <w:r>
        <w:rPr>
          <w:b w:val="1"/>
          <w:bCs w:val="1"/>
        </w:rPr>
        <w:t xml:space="preserve">1.8. Опис чинної державної політики щодо вирішення проблеми / її причин.</w:t>
      </w:r>
    </w:p>
    <w:p>
      <w:pPr/>
      <w:r>
        <w:rPr>
          <w:b w:val="1"/>
          <w:bCs w:val="1"/>
        </w:rPr>
        <w:t xml:space="preserve">2.	ПРОПОНОВАНИЙ КУРС ПОЛІТИКИ</w:t>
      </w:r>
    </w:p>
    <w:p>
      <w:pPr/>
      <w:r>
        <w:rPr>
          <w:b w:val="1"/>
          <w:bCs w:val="1"/>
        </w:rPr>
        <w:t xml:space="preserve">2.1. Підціль 1 “Удосконалення організації проведення спеціальних поліцейських операцій, спрямоване на мінімізацію кількості можливих жертв”</w:t>
      </w:r>
    </w:p>
    <w:p>
      <w:pPr/>
      <w:r>
        <w:rPr>
          <w:b w:val="1"/>
          <w:bCs w:val="1"/>
        </w:rPr>
        <w:t xml:space="preserve">Показники результативності: </w:t>
      </w:r>
    </w:p>
    <w:p>
      <w:pPr>
        <w:numPr>
          <w:ilvl w:val="0"/>
          <w:numId w:val="1"/>
        </w:numPr>
      </w:pPr>
      <w:r>
        <w:rPr/>
        <w:t xml:space="preserve">Максимально високий відсоток спеціальних поліцейських операцій, проведених без жертв</w:t>
      </w:r>
    </w:p>
    <w:p>
      <w:pPr/>
      <w:r>
        <w:rPr>
          <w:b w:val="1"/>
          <w:bCs w:val="1"/>
        </w:rPr>
        <w:t xml:space="preserve">Завдання до підцілі 1: </w:t>
      </w:r>
    </w:p>
    <w:p>
      <w:pPr>
        <w:numPr>
          <w:ilvl w:val="0"/>
          <w:numId w:val="1"/>
        </w:numPr>
      </w:pPr>
      <w:r>
        <w:rPr/>
        <w:t xml:space="preserve">Запровадження нових тактичних прийомів проведення спеціальних операцій з урахуванням нових викликів (до 2024 року)</w:t>
      </w:r>
    </w:p>
    <w:p>
      <w:pPr>
        <w:numPr>
          <w:ilvl w:val="0"/>
          <w:numId w:val="1"/>
        </w:numPr>
      </w:pPr>
      <w:r>
        <w:rPr/>
        <w:t xml:space="preserve">Розбудова спроможностей спеціальних підрозділів щодо участі в проведенні спеціальних поліцейських операцій (до 2024 року)</w:t>
      </w:r>
    </w:p>
    <w:p>
      <w:pPr/>
      <w:r>
        <w:rPr>
          <w:b w:val="1"/>
          <w:bCs w:val="1"/>
        </w:rPr>
        <w:t xml:space="preserve">2.2. Підціль 2 “Удосконалення моделі забезпечення громадського порядку під час мирних зібрань”</w:t>
      </w:r>
    </w:p>
    <w:p>
      <w:pPr/>
      <w:r>
        <w:rPr>
          <w:b w:val="1"/>
          <w:bCs w:val="1"/>
        </w:rPr>
        <w:t xml:space="preserve">Показники результативності: </w:t>
      </w:r>
    </w:p>
    <w:p>
      <w:pPr>
        <w:numPr>
          <w:ilvl w:val="0"/>
          <w:numId w:val="1"/>
        </w:numPr>
      </w:pPr>
      <w:r>
        <w:rPr/>
        <w:t xml:space="preserve">Нульові показники щодо постраждалих під час мирних зібрань, а також мінімальні обсяги матеріальних збитків від порушень громадського порядку під час мирних зібрань</w:t>
      </w:r>
    </w:p>
    <w:p>
      <w:pPr/>
      <w:r>
        <w:rPr>
          <w:b w:val="1"/>
          <w:bCs w:val="1"/>
        </w:rPr>
        <w:t xml:space="preserve">Завдання до підцілі 2: </w:t>
      </w:r>
    </w:p>
    <w:p>
      <w:pPr>
        <w:numPr>
          <w:ilvl w:val="0"/>
          <w:numId w:val="1"/>
        </w:numPr>
      </w:pPr>
      <w:r>
        <w:rPr/>
        <w:t xml:space="preserve">Запровадження Скандинавської моделі забезпечення громадського порядку (до 2024 року)</w:t>
      </w:r>
    </w:p>
    <w:p>
      <w:pPr>
        <w:numPr>
          <w:ilvl w:val="0"/>
          <w:numId w:val="1"/>
        </w:numPr>
      </w:pPr>
      <w:r>
        <w:rPr/>
        <w:t xml:space="preserve">Запровадження нових алгоритмів ефективної комунікації з організаторами та учасниками масових заходів (до 2022 року)</w:t>
      </w:r>
    </w:p>
    <w:p>
      <w:pPr>
        <w:numPr>
          <w:ilvl w:val="0"/>
          <w:numId w:val="1"/>
        </w:numPr>
      </w:pPr>
      <w:r>
        <w:rPr/>
        <w:t xml:space="preserve">Регламентація людино-орієнтованого порядку проведення мирних зібрань шляхом розроблення відповідного законодавства (до 2022 року)</w:t>
      </w:r>
    </w:p>
    <w:p>
      <w:pPr>
        <w:numPr>
          <w:ilvl w:val="0"/>
          <w:numId w:val="1"/>
        </w:numPr>
      </w:pPr>
      <w:r>
        <w:rPr/>
        <w:t xml:space="preserve">Запровадження комплексної системи реагування уповноважених органів державної влади та органів місцевого самоврядування на масові заворушення (до 2021 року)</w:t>
      </w:r>
    </w:p>
    <w:p>
      <w:pPr/>
      <w:r>
        <w:rPr>
          <w:b w:val="1"/>
          <w:bCs w:val="1"/>
        </w:rPr>
        <w:t xml:space="preserve">2.3. Підціль 3 “Підвищення ефективності діяльності органів і підрозділів системи МВС по боротьбі з організованою злочинністю, насамперед з найбільш небезпечними її проявами”</w:t>
      </w:r>
    </w:p>
    <w:p>
      <w:pPr/>
      <w:r>
        <w:rPr>
          <w:b w:val="1"/>
          <w:bCs w:val="1"/>
        </w:rPr>
        <w:t xml:space="preserve">Показники результативності: </w:t>
      </w:r>
    </w:p>
    <w:p>
      <w:pPr>
        <w:numPr>
          <w:ilvl w:val="0"/>
          <w:numId w:val="1"/>
        </w:numPr>
      </w:pPr>
      <w:r>
        <w:rPr/>
        <w:t xml:space="preserve">Зменшення кількості злочинів, скоєних організованими злочинними групами</w:t>
      </w:r>
    </w:p>
    <w:p>
      <w:pPr/>
      <w:r>
        <w:rPr>
          <w:b w:val="1"/>
          <w:bCs w:val="1"/>
        </w:rPr>
        <w:t xml:space="preserve">Завдання до підцілі 3: </w:t>
      </w:r>
    </w:p>
    <w:p>
      <w:pPr>
        <w:numPr>
          <w:ilvl w:val="0"/>
          <w:numId w:val="1"/>
        </w:numPr>
      </w:pPr>
      <w:r>
        <w:rPr/>
        <w:t xml:space="preserve">Зменшення кількості злочинів, скоєних організованими злочинними групами (до 2024 року)</w:t>
      </w:r>
    </w:p>
    <w:p>
      <w:pPr>
        <w:numPr>
          <w:ilvl w:val="0"/>
          <w:numId w:val="1"/>
        </w:numPr>
      </w:pPr>
      <w:r>
        <w:rPr/>
        <w:t xml:space="preserve">Запровадження методології з оцінки загроз тяжких злочинів та організованої злочинності (SOCTA) (до 2023 року)</w:t>
      </w:r>
    </w:p>
    <w:p>
      <w:pPr>
        <w:numPr>
          <w:ilvl w:val="0"/>
          <w:numId w:val="1"/>
        </w:numPr>
      </w:pPr>
      <w:r>
        <w:rPr/>
        <w:t xml:space="preserve">Розробка та реалізація Стратегії боротьби з організованою злочинністю (до 2024 року)</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Удосконалення організації проведення спеціальних поліцейських операцій, спрямоване на мінімізацію кількості можливих жертв</w:t>
            </w:r>
          </w:p>
        </w:tc>
        <w:tc>
          <w:tcPr>
            <w:vAlign w:val="center"/>
            <w:vMerge w:val="restart"/>
          </w:tcPr>
          <w:p>
            <w:pPr>
              <w:jc w:val="center"/>
            </w:pPr>
            <w:r>
              <w:rPr>
                <w:sz w:val="20"/>
                <w:szCs w:val="20"/>
              </w:rPr>
              <w:t xml:space="preserve">Запровадження нових тактичних прийомів проведення спеціальних операцій з урахуванням нових викликів (до 2024 року)</w:t>
            </w:r>
          </w:p>
        </w:tc>
        <w:tc>
          <w:tcPr>
            <w:vAlign w:val="center"/>
          </w:tcPr>
          <w:p>
            <w:pPr>
              <w:jc w:val="center"/>
            </w:pPr>
            <w:r>
              <w:rPr>
                <w:sz w:val="20"/>
                <w:szCs w:val="20"/>
              </w:rPr>
              <w:t xml:space="preserve">1. Провести 2, 3 та 4 курси підвищення професійного рівня поліцейських підрозділів «КОРД» з влучної стрільби (снайпінг).</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Національна поліція</w:t>
            </w:r>
          </w:p>
        </w:tc>
      </w:tr>
      <w:tr>
        <w:trPr/>
        <w:tc>
          <w:tcPr>
            <w:vMerge w:val="continue"/>
          </w:tcPr>
          <w:p/>
        </w:tc>
        <w:tc>
          <w:tcPr>
            <w:vMerge w:val="continue"/>
          </w:tcPr>
          <w:p/>
        </w:tc>
        <w:tc>
          <w:tcPr>
            <w:vAlign w:val="center"/>
          </w:tcPr>
          <w:p>
            <w:pPr>
              <w:jc w:val="center"/>
            </w:pPr>
            <w:r>
              <w:rPr>
                <w:sz w:val="20"/>
                <w:szCs w:val="20"/>
              </w:rPr>
              <w:t xml:space="preserve">2. Прийняти участь у міжнародних змаганнях «DUBAI POLICE SWAT CHELLENGE-2020.</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Національна поліція</w:t>
            </w:r>
          </w:p>
        </w:tc>
      </w:tr>
      <w:tr>
        <w:trPr/>
        <w:tc>
          <w:tcPr>
            <w:vMerge w:val="continue"/>
          </w:tcPr>
          <w:p/>
        </w:tc>
        <w:tc>
          <w:tcPr>
            <w:vMerge w:val="continue"/>
          </w:tcPr>
          <w:p/>
        </w:tc>
        <w:tc>
          <w:tcPr>
            <w:vAlign w:val="center"/>
          </w:tcPr>
          <w:p>
            <w:pPr>
              <w:jc w:val="center"/>
            </w:pPr>
            <w:r>
              <w:rPr>
                <w:sz w:val="20"/>
                <w:szCs w:val="20"/>
              </w:rPr>
              <w:t xml:space="preserve">3.Забезпечити участь працівників спеціальних підрозділів у курсах екстремального водіння «Альфа-Щит».</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Національна поліція</w:t>
            </w:r>
          </w:p>
        </w:tc>
      </w:tr>
      <w:tr>
        <w:trPr/>
        <w:tc>
          <w:tcPr>
            <w:vMerge w:val="continue"/>
          </w:tcPr>
          <w:p/>
        </w:tc>
        <w:tc>
          <w:tcPr>
            <w:vMerge w:val="continue"/>
          </w:tcPr>
          <w:p/>
        </w:tc>
        <w:tc>
          <w:tcPr>
            <w:vAlign w:val="center"/>
          </w:tcPr>
          <w:p>
            <w:pPr>
              <w:jc w:val="center"/>
            </w:pPr>
            <w:r>
              <w:rPr>
                <w:sz w:val="20"/>
                <w:szCs w:val="20"/>
              </w:rPr>
              <w:t xml:space="preserve">4. Організувати навчання працівників спеціальних підрозділів практичним навичкам використання приборів нічного бачення у ході проведення спеціальних поліцейських операцій.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Національна поліція</w:t>
            </w:r>
          </w:p>
        </w:tc>
      </w:tr>
      <w:tr>
        <w:trPr/>
        <w:tc>
          <w:tcPr>
            <w:vMerge w:val="continue"/>
          </w:tcPr>
          <w:p/>
        </w:tc>
        <w:tc>
          <w:tcPr>
            <w:vMerge w:val="continue"/>
          </w:tcPr>
          <w:p/>
        </w:tc>
        <w:tc>
          <w:tcPr>
            <w:vAlign w:val="center"/>
          </w:tcPr>
          <w:p>
            <w:pPr>
              <w:jc w:val="center"/>
            </w:pPr>
            <w:r>
              <w:rPr>
                <w:sz w:val="20"/>
                <w:szCs w:val="20"/>
              </w:rPr>
              <w:t xml:space="preserve">5. Організувати навчання працівників-кінологів спеціальних підрозділів зі службовими собаками.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Національна поліція</w:t>
            </w:r>
          </w:p>
        </w:tc>
      </w:tr>
      <w:tr>
        <w:trPr/>
        <w:tc>
          <w:tcPr>
            <w:vMerge w:val="continue"/>
          </w:tcPr>
          <w:p/>
        </w:tc>
        <w:tc>
          <w:tcPr>
            <w:vAlign w:val="center"/>
            <w:vMerge w:val="restart"/>
          </w:tcPr>
          <w:p>
            <w:pPr>
              <w:jc w:val="center"/>
            </w:pPr>
            <w:r>
              <w:rPr>
                <w:sz w:val="20"/>
                <w:szCs w:val="20"/>
              </w:rPr>
              <w:t xml:space="preserve">Розбудова спроможностей спеціальних підрозділів щодо участі в проведенні спеціальних поліцейських операцій (до 2024 року)</w:t>
            </w:r>
          </w:p>
        </w:tc>
        <w:tc>
          <w:tcPr>
            <w:vAlign w:val="center"/>
          </w:tcPr>
          <w:p>
            <w:pPr>
              <w:jc w:val="center"/>
            </w:pPr>
            <w:r>
              <w:rPr>
                <w:sz w:val="20"/>
                <w:szCs w:val="20"/>
              </w:rPr>
              <w:t xml:space="preserve">1. Забезпечити придбання та взяття на озброєння підрозділів КОРД Пістолет «Glok 17» калібр 9х19 з тактичним ліхтарем в комплекті.</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МВС; Національна поліція</w:t>
            </w:r>
          </w:p>
        </w:tc>
      </w:tr>
      <w:tr>
        <w:trPr/>
        <w:tc>
          <w:tcPr>
            <w:vAlign w:val="center"/>
            <w:vMerge w:val="restart"/>
          </w:tcPr>
          <w:p>
            <w:pPr>
              <w:jc w:val="center"/>
            </w:pPr>
            <w:r>
              <w:rPr>
                <w:sz w:val="20"/>
                <w:szCs w:val="20"/>
              </w:rPr>
              <w:t xml:space="preserve">Удосконалення моделі забезпечення громадського порядку під час мирних зібрань</w:t>
            </w:r>
          </w:p>
        </w:tc>
        <w:tc>
          <w:tcPr>
            <w:vAlign w:val="center"/>
            <w:vMerge w:val="restart"/>
          </w:tcPr>
          <w:p>
            <w:pPr>
              <w:jc w:val="center"/>
            </w:pPr>
            <w:r>
              <w:rPr>
                <w:sz w:val="20"/>
                <w:szCs w:val="20"/>
              </w:rPr>
              <w:t xml:space="preserve">Запровадження Скандинавської моделі забезпечення громадського порядку (до 2024 року)</w:t>
            </w:r>
          </w:p>
        </w:tc>
        <w:tc>
          <w:tcPr>
            <w:vAlign w:val="center"/>
          </w:tcPr>
          <w:p>
            <w:pPr>
              <w:jc w:val="center"/>
            </w:pPr>
            <w:r>
              <w:rPr>
                <w:sz w:val="20"/>
                <w:szCs w:val="20"/>
              </w:rPr>
              <w:t xml:space="preserve">1. Розробити Стандартні операційні процедури щодо забезпечення публічної безпеки і порядку органами та підрозділами Національної поліції України у зв’язку з проведенням масових заходів.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МВС; Національна поліція; Національна гвардія</w:t>
            </w:r>
          </w:p>
        </w:tc>
      </w:tr>
      <w:tr>
        <w:trPr/>
        <w:tc>
          <w:tcPr>
            <w:vMerge w:val="continue"/>
          </w:tcPr>
          <w:p/>
        </w:tc>
        <w:tc>
          <w:tcPr>
            <w:vMerge w:val="continue"/>
          </w:tcPr>
          <w:p/>
        </w:tc>
        <w:tc>
          <w:tcPr>
            <w:vAlign w:val="center"/>
          </w:tcPr>
          <w:p>
            <w:pPr>
              <w:jc w:val="center"/>
            </w:pPr>
            <w:r>
              <w:rPr>
                <w:sz w:val="20"/>
                <w:szCs w:val="20"/>
              </w:rPr>
              <w:t xml:space="preserve">2. Провести навчання поліцейських підрозділів Національної поліції, які виконують завдання з забезпечення публічної безпеки і порядку підчас проведення масових заходів.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МВС; Національна поліція</w:t>
            </w:r>
          </w:p>
        </w:tc>
      </w:tr>
      <w:tr>
        <w:trPr/>
        <w:tc>
          <w:tcPr>
            <w:vMerge w:val="continue"/>
          </w:tcPr>
          <w:p/>
        </w:tc>
        <w:tc>
          <w:tcPr>
            <w:vMerge w:val="continue"/>
          </w:tcPr>
          <w:p/>
        </w:tc>
        <w:tc>
          <w:tcPr>
            <w:vAlign w:val="center"/>
          </w:tcPr>
          <w:p>
            <w:pPr>
              <w:jc w:val="center"/>
            </w:pPr>
            <w:r>
              <w:rPr>
                <w:sz w:val="20"/>
                <w:szCs w:val="20"/>
              </w:rPr>
              <w:t xml:space="preserve">3. Покращання оснащення підрозділів Національної поліції шляхом закупівлі відповідного майна та транспортних засобів.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31-01-2023</w:t>
            </w:r>
          </w:p>
        </w:tc>
        <w:tc>
          <w:tcPr>
            <w:vAlign w:val="center"/>
          </w:tcPr>
          <w:p>
            <w:pPr>
              <w:jc w:val="center"/>
            </w:pPr>
            <w:r>
              <w:rPr>
                <w:sz w:val="20"/>
                <w:szCs w:val="20"/>
              </w:rPr>
              <w:t xml:space="preserve">МВС; Національна поліція</w:t>
            </w:r>
          </w:p>
        </w:tc>
      </w:tr>
      <w:tr>
        <w:trPr/>
        <w:tc>
          <w:tcPr>
            <w:vMerge w:val="continue"/>
          </w:tcPr>
          <w:p/>
        </w:tc>
        <w:tc>
          <w:tcPr>
            <w:vMerge w:val="continue"/>
          </w:tcPr>
          <w:p/>
        </w:tc>
        <w:tc>
          <w:tcPr>
            <w:vAlign w:val="center"/>
          </w:tcPr>
          <w:p>
            <w:pPr>
              <w:jc w:val="center"/>
            </w:pPr>
            <w:r>
              <w:rPr>
                <w:sz w:val="20"/>
                <w:szCs w:val="20"/>
              </w:rPr>
              <w:t xml:space="preserve">4. Операціоналізувати систему забезпечення публічного (громадського) порядку під час масових заходів з елементами скандинавської моделі в головних управліннях Національної поліції у регіонах (до 2024 року).</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МВС; Національна поліція</w:t>
            </w:r>
          </w:p>
        </w:tc>
      </w:tr>
      <w:tr>
        <w:trPr/>
        <w:tc>
          <w:tcPr>
            <w:vMerge w:val="continue"/>
          </w:tcPr>
          <w:p/>
        </w:tc>
        <w:tc>
          <w:tcPr>
            <w:vAlign w:val="center"/>
            <w:vMerge w:val="restart"/>
          </w:tcPr>
          <w:p>
            <w:pPr>
              <w:jc w:val="center"/>
            </w:pPr>
            <w:r>
              <w:rPr>
                <w:sz w:val="20"/>
                <w:szCs w:val="20"/>
              </w:rPr>
              <w:t xml:space="preserve">Запровадження нових алгоритмів ефективної комунікації з організаторами та учасниками масових заходів (до 2022 року)</w:t>
            </w:r>
          </w:p>
        </w:tc>
        <w:tc>
          <w:tcPr>
            <w:vAlign w:val="center"/>
          </w:tcPr>
          <w:p>
            <w:pPr>
              <w:jc w:val="center"/>
            </w:pPr>
            <w:r>
              <w:rPr>
                <w:sz w:val="20"/>
                <w:szCs w:val="20"/>
              </w:rPr>
              <w:t xml:space="preserve">1. Провести навчання (тренінги) поліцейських за вказаною методикою.</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МВС; Національна поліція</w:t>
            </w:r>
          </w:p>
        </w:tc>
      </w:tr>
      <w:tr>
        <w:trPr/>
        <w:tc>
          <w:tcPr>
            <w:vMerge w:val="continue"/>
          </w:tcPr>
          <w:p/>
        </w:tc>
        <w:tc>
          <w:tcPr>
            <w:vAlign w:val="center"/>
            <w:vMerge w:val="restart"/>
          </w:tcPr>
          <w:p>
            <w:pPr>
              <w:jc w:val="center"/>
            </w:pPr>
            <w:r>
              <w:rPr>
                <w:sz w:val="20"/>
                <w:szCs w:val="20"/>
              </w:rPr>
              <w:t xml:space="preserve">Регламентація людино-орієнтованого порядку проведення мирних зібрань шляхом розроблення відповідного законодавства (до 2022 року)</w:t>
            </w:r>
          </w:p>
        </w:tc>
        <w:tc>
          <w:tcPr>
            <w:vAlign w:val="center"/>
          </w:tcPr>
          <w:p>
            <w:pPr>
              <w:jc w:val="center"/>
            </w:pPr>
            <w:r>
              <w:rPr>
                <w:sz w:val="20"/>
                <w:szCs w:val="20"/>
              </w:rPr>
              <w:t xml:space="preserve">1. Розроблення та внесення до Кабінету Міністрів України проєкту Закону України "Про мирні зібрання"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МВС; Національна поліція</w:t>
            </w:r>
          </w:p>
        </w:tc>
      </w:tr>
      <w:tr>
        <w:trPr/>
        <w:tc>
          <w:tcPr>
            <w:vMerge w:val="continue"/>
          </w:tcPr>
          <w:p/>
        </w:tc>
        <w:tc>
          <w:tcPr>
            <w:vMerge w:val="continue"/>
          </w:tcPr>
          <w:p/>
        </w:tc>
        <w:tc>
          <w:tcPr>
            <w:vAlign w:val="center"/>
          </w:tcPr>
          <w:p>
            <w:pPr>
              <w:jc w:val="center"/>
            </w:pPr>
            <w:r>
              <w:rPr>
                <w:sz w:val="20"/>
                <w:szCs w:val="20"/>
              </w:rPr>
              <w:t xml:space="preserve">2. Проведення аналізу міжнародного досвіду застосування спеціальних засобів несмертельної дії</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Національна поліція; Національна гвардія</w:t>
            </w:r>
          </w:p>
        </w:tc>
      </w:tr>
      <w:tr>
        <w:trPr/>
        <w:tc>
          <w:tcPr>
            <w:vMerge w:val="continue"/>
          </w:tcPr>
          <w:p/>
        </w:tc>
        <w:tc>
          <w:tcPr>
            <w:vMerge w:val="continue"/>
          </w:tcPr>
          <w:p/>
        </w:tc>
        <w:tc>
          <w:tcPr>
            <w:vAlign w:val="center"/>
          </w:tcPr>
          <w:p>
            <w:pPr>
              <w:jc w:val="center"/>
            </w:pPr>
            <w:r>
              <w:rPr>
                <w:sz w:val="20"/>
                <w:szCs w:val="20"/>
              </w:rPr>
              <w:t xml:space="preserve">3. Підготовка пропозицій щодо запровадження застосування спеціальних засобів несмертельної дії в діяльності органів системи МВС</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31-03-2021</w:t>
            </w:r>
          </w:p>
        </w:tc>
        <w:tc>
          <w:tcPr>
            <w:vAlign w:val="center"/>
          </w:tcPr>
          <w:p>
            <w:pPr>
              <w:jc w:val="center"/>
            </w:pPr>
            <w:r>
              <w:rPr>
                <w:sz w:val="20"/>
                <w:szCs w:val="20"/>
              </w:rPr>
              <w:t xml:space="preserve">МВС; Національна поліція; Національна гвардія</w:t>
            </w:r>
          </w:p>
        </w:tc>
      </w:tr>
      <w:tr>
        <w:trPr/>
        <w:tc>
          <w:tcPr>
            <w:vMerge w:val="continue"/>
          </w:tcPr>
          <w:p/>
        </w:tc>
        <w:tc>
          <w:tcPr>
            <w:vMerge w:val="continue"/>
          </w:tcPr>
          <w:p/>
        </w:tc>
        <w:tc>
          <w:tcPr>
            <w:vAlign w:val="center"/>
          </w:tcPr>
          <w:p>
            <w:pPr>
              <w:jc w:val="center"/>
            </w:pPr>
            <w:r>
              <w:rPr>
                <w:sz w:val="20"/>
                <w:szCs w:val="20"/>
              </w:rPr>
              <w:t xml:space="preserve">4. Оснащення підрозділів Національної поліції та Національної гвардії новими спеціальними засобами несмертельної дії.</w:t>
            </w:r>
          </w:p>
        </w:tc>
        <w:tc>
          <w:tcPr>
            <w:tcW w:w="1500" w:type="dxa"/>
            <w:vAlign w:val="center"/>
          </w:tcPr>
          <w:p>
            <w:pPr>
              <w:jc w:val="center"/>
            </w:pPr>
            <w:r>
              <w:rPr>
                <w:sz w:val="20"/>
                <w:szCs w:val="20"/>
              </w:rPr>
              <w:t xml:space="preserve">01-03-2021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МВС; Національна поліція; Національна гвардія</w:t>
            </w:r>
          </w:p>
        </w:tc>
      </w:tr>
      <w:tr>
        <w:trPr/>
        <w:tc>
          <w:tcPr>
            <w:vMerge w:val="continue"/>
          </w:tcPr>
          <w:p/>
        </w:tc>
        <w:tc>
          <w:tcPr>
            <w:vAlign w:val="center"/>
            <w:vMerge w:val="restart"/>
          </w:tcPr>
          <w:p>
            <w:pPr>
              <w:jc w:val="center"/>
            </w:pPr>
            <w:r>
              <w:rPr>
                <w:sz w:val="20"/>
                <w:szCs w:val="20"/>
              </w:rPr>
              <w:t xml:space="preserve">Запровадження комплексної системи реагування уповноважених органів державної влади та органів місцевого самоврядування на масові заворушення (до 2021 року)</w:t>
            </w:r>
          </w:p>
        </w:tc>
        <w:tc>
          <w:tcPr>
            <w:vAlign w:val="center"/>
          </w:tcPr>
          <w:p>
            <w:pPr>
              <w:jc w:val="center"/>
            </w:pPr>
            <w:r>
              <w:rPr>
                <w:sz w:val="20"/>
                <w:szCs w:val="20"/>
              </w:rPr>
              <w:t xml:space="preserve">1. Нормативно врегулювати забезпечення порядку взаємодії підрозділів уповноважених органів системи МВС, місцевих держадміністрацій та органів місцевого самоврядування з метою припинення масових заворушень</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МВС; Національна поліція; Національна гвардія; Рада міністрів Автономної Республіки Крим; обласні; Київська та Севастопольська міські держадміністрації; органи місцевого самоврядування (за згодою)</w:t>
            </w:r>
          </w:p>
        </w:tc>
      </w:tr>
      <w:tr>
        <w:trPr/>
        <w:tc>
          <w:tcPr>
            <w:vMerge w:val="continue"/>
          </w:tcPr>
          <w:p/>
        </w:tc>
        <w:tc>
          <w:tcPr>
            <w:vMerge w:val="continue"/>
          </w:tcPr>
          <w:p/>
        </w:tc>
        <w:tc>
          <w:tcPr>
            <w:vAlign w:val="center"/>
          </w:tcPr>
          <w:p>
            <w:pPr>
              <w:jc w:val="center"/>
            </w:pPr>
            <w:r>
              <w:rPr>
                <w:sz w:val="20"/>
                <w:szCs w:val="20"/>
              </w:rPr>
              <w:t xml:space="preserve">2. Нормативно врегулювати забезпечення порядку взаємодії підрозділів уповноважених органів системи МВС, місцевих держадміністрацій та органів місцевого самоврядування з метою припинення масових заворушень</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МВС; Національна поліція; Національна гвардія; Рада міністрів Автономної Республіки Крим; обласні; Київська та Севастопольська міські держадміністрації; органи місцевого самоврядування (за згодою)</w:t>
            </w:r>
          </w:p>
        </w:tc>
      </w:tr>
      <w:tr>
        <w:trPr/>
        <w:tc>
          <w:tcPr>
            <w:vAlign w:val="center"/>
            <w:vMerge w:val="restart"/>
          </w:tcPr>
          <w:p>
            <w:pPr>
              <w:jc w:val="center"/>
            </w:pPr>
            <w:r>
              <w:rPr>
                <w:sz w:val="20"/>
                <w:szCs w:val="20"/>
              </w:rPr>
              <w:t xml:space="preserve">Підвищення ефективності діяльності органів і підрозділів системи МВС по боротьбі з організованою злочинністю, насамперед з найбільш небезпечними її проявами</w:t>
            </w:r>
          </w:p>
        </w:tc>
        <w:tc>
          <w:tcPr>
            <w:vAlign w:val="center"/>
            <w:vMerge w:val="restart"/>
          </w:tcPr>
          <w:p>
            <w:pPr>
              <w:jc w:val="center"/>
            </w:pPr>
            <w:r>
              <w:rPr>
                <w:sz w:val="20"/>
                <w:szCs w:val="20"/>
              </w:rPr>
              <w:t xml:space="preserve">Зменшення кількості злочинів, скоєних організованими злочинними групами (до 2024 року)</w:t>
            </w:r>
          </w:p>
        </w:tc>
        <w:tc>
          <w:tcPr>
            <w:vAlign w:val="center"/>
          </w:tcPr>
          <w:p>
            <w:pPr>
              <w:jc w:val="center"/>
            </w:pPr>
            <w:r>
              <w:rPr>
                <w:sz w:val="20"/>
                <w:szCs w:val="20"/>
              </w:rPr>
              <w:t xml:space="preserve">1. Провести із залученням міжнародних організацій та іноземних експертів аналізу міжнародного досвіду щодо методів боротьби з організованою злочинністю</w:t>
            </w:r>
          </w:p>
        </w:tc>
        <w:tc>
          <w:tcPr>
            <w:tcW w:w="1500" w:type="dxa"/>
            <w:vAlign w:val="center"/>
          </w:tcPr>
          <w:p>
            <w:pPr>
              <w:jc w:val="center"/>
            </w:pPr>
            <w:r>
              <w:rPr>
                <w:sz w:val="20"/>
                <w:szCs w:val="20"/>
              </w:rPr>
              <w:t xml:space="preserve">30-11-2020</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МВС; Національна поліція; Адміністрація Держприкордонслужби; ДФС; СБУ (за згодою); Мін’юст</w:t>
            </w:r>
          </w:p>
        </w:tc>
      </w:tr>
      <w:tr>
        <w:trPr/>
        <w:tc>
          <w:tcPr>
            <w:vMerge w:val="continue"/>
          </w:tcPr>
          <w:p/>
        </w:tc>
        <w:tc>
          <w:tcPr>
            <w:vMerge w:val="continue"/>
          </w:tcPr>
          <w:p/>
        </w:tc>
        <w:tc>
          <w:tcPr>
            <w:vAlign w:val="center"/>
          </w:tcPr>
          <w:p>
            <w:pPr>
              <w:jc w:val="center"/>
            </w:pPr>
            <w:r>
              <w:rPr>
                <w:sz w:val="20"/>
                <w:szCs w:val="20"/>
              </w:rPr>
              <w:t xml:space="preserve">2. Завершити внутрішньодержавні процедури ратифікації Меморандуму між Україною та Європейським поліцейським офісом щодо встановлення захищеної лінії зв’язку</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Національна поліція; МЗС</w:t>
            </w:r>
          </w:p>
        </w:tc>
      </w:tr>
      <w:tr>
        <w:trPr/>
        <w:tc>
          <w:tcPr>
            <w:vMerge w:val="continue"/>
          </w:tcPr>
          <w:p/>
        </w:tc>
        <w:tc>
          <w:tcPr>
            <w:vMerge w:val="continue"/>
          </w:tcPr>
          <w:p/>
        </w:tc>
        <w:tc>
          <w:tcPr>
            <w:vAlign w:val="center"/>
          </w:tcPr>
          <w:p>
            <w:pPr>
              <w:jc w:val="center"/>
            </w:pPr>
            <w:r>
              <w:rPr>
                <w:sz w:val="20"/>
                <w:szCs w:val="20"/>
              </w:rPr>
              <w:t xml:space="preserve">3. Забезпечити цілодобове функціонування захищеного каналу передачі інформації</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МВС; Національна поліція; Адміністрація Держспецзв’язку</w:t>
            </w:r>
          </w:p>
        </w:tc>
      </w:tr>
      <w:tr>
        <w:trPr/>
        <w:tc>
          <w:tcPr>
            <w:vMerge w:val="continue"/>
          </w:tcPr>
          <w:p/>
        </w:tc>
        <w:tc>
          <w:tcPr>
            <w:vMerge w:val="continue"/>
          </w:tcPr>
          <w:p/>
        </w:tc>
        <w:tc>
          <w:tcPr>
            <w:vAlign w:val="center"/>
          </w:tcPr>
          <w:p>
            <w:pPr>
              <w:jc w:val="center"/>
            </w:pPr>
            <w:r>
              <w:rPr>
                <w:sz w:val="20"/>
                <w:szCs w:val="20"/>
              </w:rPr>
              <w:t xml:space="preserve">4. Утворити робочу групу з удосконалення порядку взаємодії органів системи МВС з правоохоронними органами іноземних держав і міжнародними організаціями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МВС; Національна поліція; Адміністрація Держприкордонслужби; Національне антикопуційне бюро; СБУ (за згодою); ДМС</w:t>
            </w:r>
          </w:p>
        </w:tc>
      </w:tr>
      <w:tr>
        <w:trPr/>
        <w:tc>
          <w:tcPr>
            <w:vMerge w:val="continue"/>
          </w:tcPr>
          <w:p/>
        </w:tc>
        <w:tc>
          <w:tcPr>
            <w:vMerge w:val="continue"/>
          </w:tcPr>
          <w:p/>
        </w:tc>
        <w:tc>
          <w:tcPr>
            <w:vAlign w:val="center"/>
          </w:tcPr>
          <w:p>
            <w:pPr>
              <w:jc w:val="center"/>
            </w:pPr>
            <w:r>
              <w:rPr>
                <w:sz w:val="20"/>
                <w:szCs w:val="20"/>
              </w:rPr>
              <w:t xml:space="preserve">5. Розробити Інструкцію про порядок використання правоохоронними органами України інформаційної системи Міжнародної організації кримінальної поліції – Інтерпол</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Національна поліція; Адміністрація Держприкордонслужби; Національне антикопуційне бюро; СБУ (за згодою); ДМС</w:t>
            </w:r>
          </w:p>
        </w:tc>
      </w:tr>
      <w:tr>
        <w:trPr/>
        <w:tc>
          <w:tcPr>
            <w:vMerge w:val="continue"/>
          </w:tcPr>
          <w:p/>
        </w:tc>
        <w:tc>
          <w:tcPr>
            <w:vAlign w:val="center"/>
            <w:vMerge w:val="restart"/>
          </w:tcPr>
          <w:p>
            <w:pPr>
              <w:jc w:val="center"/>
            </w:pPr>
            <w:r>
              <w:rPr>
                <w:sz w:val="20"/>
                <w:szCs w:val="20"/>
              </w:rPr>
              <w:t xml:space="preserve">Запровадження методології з оцінки загроз тяжких злочинів та організованої злочинності (SOCTA) (до 2023 року)</w:t>
            </w:r>
          </w:p>
        </w:tc>
        <w:tc>
          <w:tcPr>
            <w:vAlign w:val="center"/>
          </w:tcPr>
          <w:p>
            <w:pPr>
              <w:jc w:val="center"/>
            </w:pPr>
            <w:r>
              <w:rPr>
                <w:sz w:val="20"/>
                <w:szCs w:val="20"/>
              </w:rPr>
              <w:t xml:space="preserve">1. Провести за участю міжнародних експертів дослідження з питань оцінювання загроз тяжких злочинів та організованої злочинності (SOCTA)</w:t>
            </w:r>
          </w:p>
        </w:tc>
        <w:tc>
          <w:tcPr>
            <w:tcW w:w="1500" w:type="dxa"/>
            <w:vAlign w:val="center"/>
          </w:tcPr>
          <w:p>
            <w:pPr>
              <w:jc w:val="center"/>
            </w:pPr>
            <w:r>
              <w:rPr>
                <w:sz w:val="20"/>
                <w:szCs w:val="20"/>
              </w:rPr>
              <w:t xml:space="preserve">01-08-2019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МВС; Національна поліція; Адміністрація Держприкордонслужби; Держмитслужба; ДПС; СБУ (за згодою); Національне антикорупційне бюро (за згодою)</w:t>
            </w:r>
          </w:p>
        </w:tc>
      </w:tr>
      <w:tr>
        <w:trPr/>
        <w:tc>
          <w:tcPr>
            <w:vMerge w:val="continue"/>
          </w:tcPr>
          <w:p/>
        </w:tc>
        <w:tc>
          <w:tcPr>
            <w:vMerge w:val="continue"/>
          </w:tcPr>
          <w:p/>
        </w:tc>
        <w:tc>
          <w:tcPr>
            <w:vAlign w:val="center"/>
          </w:tcPr>
          <w:p>
            <w:pPr>
              <w:jc w:val="center"/>
            </w:pPr>
            <w:r>
              <w:rPr>
                <w:sz w:val="20"/>
                <w:szCs w:val="20"/>
              </w:rPr>
              <w:t xml:space="preserve">2. Запровадити систему оцінювання SOCTA в Україні, що передбачає порядок збору та узагальнення інформації та здійснення оцінювання загроз організованої злочинності та тяжких злочинів за зазначеною системою</w:t>
            </w:r>
          </w:p>
        </w:tc>
        <w:tc>
          <w:tcPr>
            <w:tcW w:w="1500" w:type="dxa"/>
            <w:vAlign w:val="center"/>
          </w:tcPr>
          <w:p>
            <w:pPr>
              <w:jc w:val="center"/>
            </w:pPr>
            <w:r>
              <w:rPr>
                <w:sz w:val="20"/>
                <w:szCs w:val="20"/>
              </w:rPr>
              <w:t xml:space="preserve">01-12-2020</w:t>
            </w:r>
          </w:p>
        </w:tc>
        <w:tc>
          <w:tcPr>
            <w:tcW w:w="1500" w:type="dxa"/>
            <w:vAlign w:val="center"/>
          </w:tcPr>
          <w:p>
            <w:pPr>
              <w:jc w:val="center"/>
            </w:pPr>
            <w:r>
              <w:rPr>
                <w:sz w:val="20"/>
                <w:szCs w:val="20"/>
              </w:rPr>
              <w:t xml:space="preserve">31-05-2021</w:t>
            </w:r>
          </w:p>
        </w:tc>
        <w:tc>
          <w:tcPr>
            <w:vAlign w:val="center"/>
          </w:tcPr>
          <w:p>
            <w:pPr>
              <w:jc w:val="center"/>
            </w:pPr>
            <w:r>
              <w:rPr>
                <w:sz w:val="20"/>
                <w:szCs w:val="20"/>
              </w:rPr>
              <w:t xml:space="preserve">МВС; Національна поліція; Адміністрація Держприкордонслужби; Держмитслужба; ДПС; СБУ (за згодою); Національне антикорупційне бюро (за згодою)</w:t>
            </w:r>
          </w:p>
        </w:tc>
      </w:tr>
      <w:tr>
        <w:trPr/>
        <w:tc>
          <w:tcPr>
            <w:vMerge w:val="continue"/>
          </w:tcPr>
          <w:p/>
        </w:tc>
        <w:tc>
          <w:tcPr>
            <w:vAlign w:val="center"/>
            <w:vMerge w:val="restart"/>
          </w:tcPr>
          <w:p>
            <w:pPr>
              <w:jc w:val="center"/>
            </w:pPr>
            <w:r>
              <w:rPr>
                <w:sz w:val="20"/>
                <w:szCs w:val="20"/>
              </w:rPr>
              <w:t xml:space="preserve">Розробка та реалізація Стратегії боротьби з організованою злочинністю (до 2024 року)</w:t>
            </w:r>
          </w:p>
        </w:tc>
        <w:tc>
          <w:tcPr>
            <w:vAlign w:val="center"/>
          </w:tcPr>
          <w:p>
            <w:pPr>
              <w:jc w:val="center"/>
            </w:pPr>
            <w:r>
              <w:rPr>
                <w:sz w:val="20"/>
                <w:szCs w:val="20"/>
              </w:rPr>
              <w:t xml:space="preserve">1. Розробити стратегію боротьби з організованою злочинністю та плану заходів з її реалізації</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Національна поліція; Адміністрація Держприкордонслужби; ДФС; СБУ (за згодою); Мін’юст</w:t>
            </w:r>
          </w:p>
        </w:tc>
      </w:tr>
      <w:tr>
        <w:trPr/>
        <w:tc>
          <w:tcPr>
            <w:vMerge w:val="continue"/>
          </w:tcPr>
          <w:p/>
        </w:tc>
        <w:tc>
          <w:tcPr>
            <w:vMerge w:val="continue"/>
          </w:tcPr>
          <w:p/>
        </w:tc>
        <w:tc>
          <w:tcPr>
            <w:vAlign w:val="center"/>
          </w:tcPr>
          <w:p>
            <w:pPr>
              <w:jc w:val="center"/>
            </w:pPr>
            <w:r>
              <w:rPr>
                <w:sz w:val="20"/>
                <w:szCs w:val="20"/>
              </w:rPr>
              <w:t xml:space="preserve">2. Підготувати  законопроект про внесення змін до деяких законодавчих актів щодо приведення їх у відповідність із положеннями Конвенції ООН проти транснаціональної організованої злочинності</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МВС; Національна поліція; Адміністрація Держприкордонслужби; Мін’юст; СБУ (за згодою); Генеральна прокуратура (за згодою)</w:t>
            </w:r>
          </w:p>
        </w:tc>
      </w:tr>
      <w:tr>
        <w:trPr/>
        <w:tc>
          <w:tcPr>
            <w:vMerge w:val="continue"/>
          </w:tcPr>
          <w:p/>
        </w:tc>
        <w:tc>
          <w:tcPr>
            <w:vMerge w:val="continue"/>
          </w:tcPr>
          <w:p/>
        </w:tc>
        <w:tc>
          <w:tcPr>
            <w:vAlign w:val="center"/>
          </w:tcPr>
          <w:p>
            <w:pPr>
              <w:jc w:val="center"/>
            </w:pPr>
            <w:r>
              <w:rPr>
                <w:sz w:val="20"/>
                <w:szCs w:val="20"/>
              </w:rPr>
              <w:t xml:space="preserve">3. Розробити проєкт нормативно-правового акта про умови і порядок обміну оперативною інформацією між спеціальними підрозділами з боротьби з організованою злочинністю Національної поліції та СБУ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МВС; Національна поліція; СБУ (за згодою); Генеральна прокуратура (за згодою)</w:t>
            </w:r>
          </w:p>
        </w:tc>
      </w:tr>
      <w:tr>
        <w:trPr/>
        <w:tc>
          <w:tcPr>
            <w:vMerge w:val="continue"/>
          </w:tcPr>
          <w:p/>
        </w:tc>
        <w:tc>
          <w:tcPr>
            <w:vMerge w:val="continue"/>
          </w:tcPr>
          <w:p/>
        </w:tc>
        <w:tc>
          <w:tcPr>
            <w:vAlign w:val="center"/>
          </w:tcPr>
          <w:p>
            <w:pPr>
              <w:jc w:val="center"/>
            </w:pPr>
            <w:r>
              <w:rPr>
                <w:sz w:val="20"/>
                <w:szCs w:val="20"/>
              </w:rPr>
              <w:t xml:space="preserve">4. Підготувати та затвердити Антикорупційну програму МВС на 2010 - 2022 роки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МВС; Національна поліція; Адміністрація Держприкордонслужби; ДМС; Національна гвардія; ДСНС</w:t>
            </w:r>
          </w:p>
        </w:tc>
      </w:tr>
      <w:tr>
        <w:trPr/>
        <w:tc>
          <w:tcPr>
            <w:vMerge w:val="continue"/>
          </w:tcPr>
          <w:p/>
        </w:tc>
        <w:tc>
          <w:tcPr>
            <w:vMerge w:val="continue"/>
          </w:tcPr>
          <w:p/>
        </w:tc>
        <w:tc>
          <w:tcPr>
            <w:vAlign w:val="center"/>
          </w:tcPr>
          <w:p>
            <w:pPr>
              <w:jc w:val="center"/>
            </w:pPr>
            <w:r>
              <w:rPr>
                <w:sz w:val="20"/>
                <w:szCs w:val="20"/>
              </w:rPr>
              <w:t xml:space="preserve">5. Забезпечити проведення систематичних навчальних заходів з питань запобігання та протидії корупції.</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Національна поліція; Адміністрація Держприкордонслужби; ДМС; Національна гвардія; ДСНС</w:t>
            </w:r>
          </w:p>
        </w:tc>
      </w:tr>
      <w:tr>
        <w:trPr/>
        <w:tc>
          <w:tcPr>
            <w:vMerge w:val="continue"/>
          </w:tcPr>
          <w:p/>
        </w:tc>
        <w:tc>
          <w:tcPr>
            <w:vMerge w:val="continue"/>
          </w:tcPr>
          <w:p/>
        </w:tc>
        <w:tc>
          <w:tcPr>
            <w:vAlign w:val="center"/>
          </w:tcPr>
          <w:p>
            <w:pPr>
              <w:jc w:val="center"/>
            </w:pPr>
            <w:r>
              <w:rPr>
                <w:sz w:val="20"/>
                <w:szCs w:val="20"/>
              </w:rPr>
              <w:t xml:space="preserve">6. Здійснити практичні заходи, спрямовані на виявлення та припинення корупційних проявів з боку персоналу органів системи МВС</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Національна поліція; Адміністрація Держприкордонслужби; Національна гвардія; ДСНС; Служба безпеки України (за згодою); Генпрокуратура (за згодою)</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7A3973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2020-02-10T10:30:04+02:00</dcterms:created>
  <dcterms:modified xsi:type="dcterms:W3CDTF">2020-02-10T10:30:04+02:00</dcterms:modified>
</cp:coreProperties>
</file>

<file path=docProps/custom.xml><?xml version="1.0" encoding="utf-8"?>
<Properties xmlns="http://schemas.openxmlformats.org/officeDocument/2006/custom-properties" xmlns:vt="http://schemas.openxmlformats.org/officeDocument/2006/docPropsVTypes"/>
</file>