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13.5 «Українці захищені надійним кордоном та задоволені сервісом при його перетині»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Український кордон недостатньо захищений від спроб незаконного перетину, люди, які перетинають його у законний спосіб не достатньо задоволені тривалістю і зручністю процедур перетину кордону</w:t>
      </w:r>
    </w:p>
    <w:p>
      <w:pPr/>
      <w:r>
        <w:rPr>
          <w:b w:val="1"/>
          <w:bCs w:val="1"/>
        </w:rPr>
        <w:t xml:space="preserve">1.2. Носій проблеми </w:t>
      </w:r>
    </w:p>
    <w:p>
      <w:pPr/>
      <w:r>
        <w:rPr/>
        <w:t xml:space="preserve">Громадяни України ,Іноземці та особи без громадянства , які здійснюють перетин державного кордону, особливо мешканці прилеглих до кордону територій і особи, які перетинають кордон у зв’язку з веденням бізнесу</w:t>
      </w:r>
    </w:p>
    <w:p>
      <w:pPr/>
      <w:r>
        <w:rPr>
          <w:b w:val="1"/>
          <w:bCs w:val="1"/>
        </w:rPr>
        <w:t xml:space="preserve">1.3. Масштаб проблеми: Загальнонаціональна</w:t>
      </w:r>
    </w:p>
    <w:p>
      <w:pPr/>
      <w:r>
        <w:rPr/>
        <w:t xml:space="preserve">Тенденція щодо збільшення кількості осіб, пропущених через державний кордон установленим порядком спостерігається упродовж останніх декількох років (у 2017 році кількість таких осіб склала 97,3 млн. осіб, у 2018 році – 100,6 млн. осіб, за 9 місяців 2019 року – 77,7 млн. осіб).</w:t>
      </w:r>
    </w:p>
    <w:p>
      <w:pPr/>
      <w:r>
        <w:rPr>
          <w:b w:val="1"/>
          <w:bCs w:val="1"/>
        </w:rPr>
        <w:t xml:space="preserve">1.4. Гострота проблеми: Середня</w:t>
      </w:r>
    </w:p>
    <w:p>
      <w:pPr/>
      <w:r>
        <w:rPr/>
        <w:t xml:space="preserve">Враховуючи кількість фактів затримання на державному кордоні нелегальних мігрантів (у 2017 році – 931, у 2018 році – 1205, за 9 місяців 2019 року – 850), а також затримання всередині території держави нелегальних мігрантів, які перетнули державний кордон поза пунктами пропуску (у 2017 році – 274, у 2018 році – 686, за 9 місяців 2019 року – 600), проте не виключеним є зростання рівня загрози транскордонної злочинної діяльності, особливо ураховуючи факт привабливості географічного розташування України для різних видів цієї протиправної діяльності. Загрозливими факторами при цьому виступають тривала військова агресія та гібридна війна проти України, пов’язана з окупацією частини її території, намагання використовувати Україну для транзиту нелегальних мігрантів з боку організованих злочинних угруповань, які діють у державах Близького та Середнього Сходу, Африки та Південно-Східної Азії.</w:t>
      </w:r>
    </w:p>
    <w:p>
      <w:pPr/>
      <w:r>
        <w:rPr>
          <w:b w:val="1"/>
          <w:bCs w:val="1"/>
        </w:rPr>
        <w:t xml:space="preserve">1.5. Динаміка проблеми:  Позитивна</w:t>
      </w:r>
    </w:p>
    <w:p>
      <w:pPr/>
      <w:r>
        <w:rPr/>
        <w:t xml:space="preserve">Упродовж 2017 – поточного років динаміку проблеми видається можливими оцінювати як позитивну, оскільки відзначається загальне зменшення кількості осіб, притягнутих до адміністративної відповідальності за порушення прикордонного та міграційного законодавства України (у 2017 році –  49, 6 тис., у 2018 році – 30,4 тис., за 9 місяців 2019 року – 27,7 тис.) за умов загального зростання пасажиропотоку  через державний кордон.</w:t>
      </w:r>
    </w:p>
    <w:p>
      <w:pPr/>
      <w:r>
        <w:rPr/>
        <w:t xml:space="preserve">Відбулася реорганізація Державної прикордонної служби, спрямована на скорочення управлінських апаратів та зміцнення підрозділів, які безпосередньо здійснюють пропуск людей через державний кордон. </w:t>
      </w:r>
    </w:p>
    <w:p>
      <w:pPr/>
      <w:r>
        <w:rPr/>
        <w:t xml:space="preserve">Позитивними факторами є започаткування проведення спеціальних операцій з видворення іноземців правопорушників у супроводі прикордонників до країни походження, розгортання у 2018 році Лисичанського прикордонного загону та Регіонального управління морської охорони, впровадження в діяльність Державної прикордонної служби Спільної інтегрованої моделі аналізу ризиків держав-членів ЄС CIRAM 2.0.</w:t>
      </w:r>
    </w:p>
    <w:p>
      <w:pPr/>
      <w:r>
        <w:rPr>
          <w:b w:val="1"/>
          <w:bCs w:val="1"/>
        </w:rPr>
        <w:t xml:space="preserve">1.6. Причини проблеми</w:t>
      </w:r>
    </w:p>
    <w:p>
      <w:pPr/>
      <w:r>
        <w:rPr/>
        <w:t xml:space="preserve">Причина 1 - Невідповідність очікуванням людей окремих процедур пропуску через державний кордон та недостатня розвиненість інфраструктури пунктів пропуску через державний кордон</w:t>
      </w:r>
    </w:p>
    <w:p>
      <w:pPr/>
      <w:r>
        <w:rPr/>
        <w:t xml:space="preserve">Причина 2 - Недостатнє забезпечення потреб громадян у ефективних сервісах при перетині кордону та оформленні міграційних документів</w:t>
      </w:r>
    </w:p>
    <w:p>
      <w:pPr/>
      <w:r>
        <w:rPr>
          <w:b w:val="1"/>
          <w:bCs w:val="1"/>
        </w:rPr>
        <w:t xml:space="preserve">1.7. Показники ефективності політики</w:t>
      </w:r>
    </w:p>
    <w:p>
      <w:pPr>
        <w:numPr>
          <w:ilvl w:val="0"/>
          <w:numId w:val="1"/>
        </w:numPr>
      </w:pPr>
      <w:r>
        <w:rPr/>
        <w:t xml:space="preserve">Зменшення кількості незаконних перетинів кордону</w:t>
      </w:r>
    </w:p>
    <w:p>
      <w:pPr>
        <w:numPr>
          <w:ilvl w:val="0"/>
          <w:numId w:val="1"/>
        </w:numPr>
      </w:pPr>
      <w:r>
        <w:rPr/>
        <w:t xml:space="preserve">Підвищення рівня задоволеності людей сервісами при перетині кордону</w:t>
      </w:r>
    </w:p>
    <w:p>
      <w:pPr/>
      <w:r>
        <w:rPr>
          <w:b w:val="1"/>
          <w:bCs w:val="1"/>
        </w:rPr>
        <w:t xml:space="preserve">1.8. Опис чинної державної політики щодо вирішення проблеми / її причин.</w:t>
      </w:r>
    </w:p>
    <w:p>
      <w:pPr/>
      <w:r>
        <w:rPr>
          <w:b w:val="1"/>
          <w:bCs w:val="1"/>
        </w:rPr>
        <w:t xml:space="preserve">2.	ПРОПОНОВАНИЙ КУРС ПОЛІТИКИ</w:t>
      </w:r>
    </w:p>
    <w:p>
      <w:pPr/>
      <w:r>
        <w:rPr>
          <w:b w:val="1"/>
          <w:bCs w:val="1"/>
        </w:rPr>
        <w:t xml:space="preserve">2.1. Підціль 1 “Максимальне забезпечення потреб громадян у ефективних сервісах при перетині кордону та оформленні міграційних документів”</w:t>
      </w:r>
    </w:p>
    <w:p>
      <w:pPr/>
      <w:r>
        <w:rPr>
          <w:b w:val="1"/>
          <w:bCs w:val="1"/>
        </w:rPr>
        <w:t xml:space="preserve">Показники результативності: </w:t>
      </w:r>
    </w:p>
    <w:p>
      <w:pPr>
        <w:numPr>
          <w:ilvl w:val="0"/>
          <w:numId w:val="1"/>
        </w:numPr>
      </w:pPr>
      <w:r>
        <w:rPr/>
        <w:t xml:space="preserve">Підвищення рівня задоволеності людей сервісами при перетині кордону</w:t>
      </w:r>
    </w:p>
    <w:p>
      <w:pPr/>
      <w:r>
        <w:rPr>
          <w:b w:val="1"/>
          <w:bCs w:val="1"/>
        </w:rPr>
        <w:t xml:space="preserve">Завдання до підцілі 1: </w:t>
      </w:r>
    </w:p>
    <w:p>
      <w:pPr>
        <w:numPr>
          <w:ilvl w:val="0"/>
          <w:numId w:val="1"/>
        </w:numPr>
      </w:pPr>
      <w:r>
        <w:rPr/>
        <w:t xml:space="preserve">Запровадження спільного прикордонного контролю на максимальній кількості пунктів пропуску через державний кордон (до 2024 року)</w:t>
      </w:r>
    </w:p>
    <w:p>
      <w:pPr>
        <w:numPr>
          <w:ilvl w:val="0"/>
          <w:numId w:val="1"/>
        </w:numPr>
      </w:pPr>
      <w:r>
        <w:rPr/>
        <w:t xml:space="preserve">Діджиталізація міграційних адміністративних процедур, зокрема в рамках реалізації проєкту «Держава у смартфоні» (до 2022 року)</w:t>
      </w:r>
    </w:p>
    <w:p>
      <w:pPr>
        <w:numPr>
          <w:ilvl w:val="0"/>
          <w:numId w:val="1"/>
        </w:numPr>
      </w:pPr>
      <w:r>
        <w:rPr/>
        <w:t xml:space="preserve">Провадження сучасних методів міграційного контролю (до 2024 року)</w:t>
      </w:r>
    </w:p>
    <w:p>
      <w:pPr/>
      <w:r>
        <w:rPr>
          <w:b w:val="1"/>
          <w:bCs w:val="1"/>
        </w:rPr>
        <w:t xml:space="preserve">2.2. Підціль 2 “Оптимізація процедур пропуску через державний кордон та належний розвиток пунктів пропуску через державний кордон”</w:t>
      </w:r>
    </w:p>
    <w:p>
      <w:pPr/>
      <w:r>
        <w:rPr>
          <w:b w:val="1"/>
          <w:bCs w:val="1"/>
        </w:rPr>
        <w:t xml:space="preserve">Показники результативності: </w:t>
      </w:r>
    </w:p>
    <w:p>
      <w:pPr>
        <w:numPr>
          <w:ilvl w:val="0"/>
          <w:numId w:val="1"/>
        </w:numPr>
      </w:pPr>
      <w:r>
        <w:rPr/>
        <w:t xml:space="preserve">Зменшення кількості незаконних перетинів кордону</w:t>
      </w:r>
    </w:p>
    <w:p>
      <w:pPr/>
      <w:r>
        <w:rPr>
          <w:b w:val="1"/>
          <w:bCs w:val="1"/>
        </w:rPr>
        <w:t xml:space="preserve">Завдання до підцілі 2: </w:t>
      </w:r>
    </w:p>
    <w:p>
      <w:pPr>
        <w:numPr>
          <w:ilvl w:val="0"/>
          <w:numId w:val="1"/>
        </w:numPr>
      </w:pPr>
      <w:r>
        <w:rPr/>
        <w:t xml:space="preserve">Реалізація Стратегії інтегрованого управління кордонами (до 2025 року)</w:t>
      </w:r>
    </w:p>
    <w:p>
      <w:pPr>
        <w:numPr>
          <w:ilvl w:val="0"/>
          <w:numId w:val="1"/>
        </w:numPr>
      </w:pPr>
      <w:r>
        <w:rPr/>
        <w:t xml:space="preserve">Автоматизація процесів прикордонного контролю (до 2024 року)</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Максимальне забезпечення потреб громадян у ефективних сервісах при перетині кордону та оформленні міграційних документів</w:t>
            </w:r>
          </w:p>
        </w:tc>
        <w:tc>
          <w:tcPr>
            <w:vAlign w:val="center"/>
            <w:vMerge w:val="restart"/>
          </w:tcPr>
          <w:p>
            <w:pPr>
              <w:jc w:val="center"/>
            </w:pPr>
            <w:r>
              <w:rPr>
                <w:sz w:val="20"/>
                <w:szCs w:val="20"/>
              </w:rPr>
              <w:t xml:space="preserve">Запровадження спільного прикордонного контролю на максимальній кількості пунктів пропуску через державний кордон (до 2024 року)</w:t>
            </w:r>
          </w:p>
        </w:tc>
        <w:tc>
          <w:tcPr>
            <w:vAlign w:val="center"/>
          </w:tcPr>
          <w:p>
            <w:pPr>
              <w:jc w:val="center"/>
            </w:pPr>
            <w:r>
              <w:rPr>
                <w:sz w:val="20"/>
                <w:szCs w:val="20"/>
              </w:rPr>
              <w:t xml:space="preserve">1. Запровадити заходи спільного контролю осіб, транспортних засобів і товарів на кордоні з Республікою Молдова в пунктах пропуску через державний кордон Платонове - Гоянул Ноу та Кучурган - Новосавицьке</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Адміністрація Держприкордонслужби; Національна поліція; ДФС; СБУ (за згодою); АТ “Укрзалізниця” (за згодою)</w:t>
            </w:r>
          </w:p>
        </w:tc>
      </w:tr>
      <w:tr>
        <w:trPr/>
        <w:tc>
          <w:tcPr>
            <w:vMerge w:val="continue"/>
          </w:tcPr>
          <w:p/>
        </w:tc>
        <w:tc>
          <w:tcPr>
            <w:vMerge w:val="continue"/>
          </w:tcPr>
          <w:p/>
        </w:tc>
        <w:tc>
          <w:tcPr>
            <w:vAlign w:val="center"/>
          </w:tcPr>
          <w:p>
            <w:pPr>
              <w:jc w:val="center"/>
            </w:pPr>
            <w:r>
              <w:rPr>
                <w:sz w:val="20"/>
                <w:szCs w:val="20"/>
              </w:rPr>
              <w:t xml:space="preserve">2. Запровадити заходи спільного контролю осіб, транспортних засобів і товарів на кордоні з Угорщиною в пункті пропуску через державний кордон Велика Паладь - Надьгодош</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Адміністрація Держприкордонслужби; Національна поліція; ДФС; СБУ (за згодою); АТ “Укрзалізниця” (за згодою)</w:t>
            </w:r>
          </w:p>
        </w:tc>
      </w:tr>
      <w:tr>
        <w:trPr/>
        <w:tc>
          <w:tcPr>
            <w:vMerge w:val="continue"/>
          </w:tcPr>
          <w:p/>
        </w:tc>
        <w:tc>
          <w:tcPr>
            <w:vAlign w:val="center"/>
            <w:vMerge w:val="restart"/>
          </w:tcPr>
          <w:p>
            <w:pPr>
              <w:jc w:val="center"/>
            </w:pPr>
            <w:r>
              <w:rPr>
                <w:sz w:val="20"/>
                <w:szCs w:val="20"/>
              </w:rPr>
              <w:t xml:space="preserve">Діджиталізація міграційних адміністративних процедур, зокрема в рамках реалізації проєкту «Держава у смартфоні» (до 2022 року)</w:t>
            </w:r>
          </w:p>
        </w:tc>
        <w:tc>
          <w:tcPr>
            <w:vAlign w:val="center"/>
          </w:tcPr>
          <w:p>
            <w:pPr>
              <w:jc w:val="center"/>
            </w:pPr>
            <w:r>
              <w:rPr>
                <w:sz w:val="20"/>
                <w:szCs w:val="20"/>
              </w:rPr>
              <w:t xml:space="preserve">1. Розробити пропозиції щодо внесення змін до нормативно-правових актів у зв’язку із запровадженням єдиного ідентифікатора</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ДМС; Адміністрація Держприкордонслужби; Національна поліція; ДСНС; Мінсоцполітики; Мін’юст; Пенсійний фонд України; Мінінфраструктури; МЗС; СБУ (за згодою)</w:t>
            </w:r>
          </w:p>
        </w:tc>
      </w:tr>
      <w:tr>
        <w:trPr/>
        <w:tc>
          <w:tcPr>
            <w:vMerge w:val="continue"/>
          </w:tcPr>
          <w:p/>
        </w:tc>
        <w:tc>
          <w:tcPr>
            <w:vMerge w:val="continue"/>
          </w:tcPr>
          <w:p/>
        </w:tc>
        <w:tc>
          <w:tcPr>
            <w:vAlign w:val="center"/>
          </w:tcPr>
          <w:p>
            <w:pPr>
              <w:jc w:val="center"/>
            </w:pPr>
            <w:r>
              <w:rPr>
                <w:sz w:val="20"/>
                <w:szCs w:val="20"/>
              </w:rPr>
              <w:t xml:space="preserve">2. Володільцям державних та єдиних реєстрів, інших інформаційних баз, що перебувають у власності держави або підприємств, установ та організацій розробити програмне забезпечення, необхідне для приведення інформації про особу до єдиного ідентифікатора - унікального номера запису в Єдиному державному демографічному реєстрі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ДМС; Адміністрація Держприкордонслужби; Національна поліція; ДСНС; Мінсоцполітики; Мін’юст; Пенсійний фонд України; Мінінфраструктури; МЗС; СБУ (за згодою); Інші ЦОВВ в межах компетенції</w:t>
            </w:r>
          </w:p>
        </w:tc>
      </w:tr>
      <w:tr>
        <w:trPr/>
        <w:tc>
          <w:tcPr>
            <w:vMerge w:val="continue"/>
          </w:tcPr>
          <w:p/>
        </w:tc>
        <w:tc>
          <w:tcPr>
            <w:vMerge w:val="continue"/>
          </w:tcPr>
          <w:p/>
        </w:tc>
        <w:tc>
          <w:tcPr>
            <w:vAlign w:val="center"/>
          </w:tcPr>
          <w:p>
            <w:pPr>
              <w:jc w:val="center"/>
            </w:pPr>
            <w:r>
              <w:rPr>
                <w:sz w:val="20"/>
                <w:szCs w:val="20"/>
              </w:rPr>
              <w:t xml:space="preserve">3. Привести інформації про особу в державних та єдиних реєстрах, інших інформаційних базах, що перебувають у власності держави або підприємств, установ та організацій, до єдиного ідентифікатора – унікального номера запису в Єдиному державному демографічному реєстрі, шляхом верифікації ідентифікаційних даних Єдиного державного демографічного реєстру з ідентифікаційними даними відповідної бази даних</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ДМС; Адміністрація Держприкордонслужби; Національна поліція; ДСНС; Мінсоцполітики; Мін’юст; Пенсійний фонд України; Мінінфраструктури; МЗС; СБУ (за згодою)</w:t>
            </w:r>
          </w:p>
        </w:tc>
      </w:tr>
      <w:tr>
        <w:trPr/>
        <w:tc>
          <w:tcPr>
            <w:vMerge w:val="continue"/>
          </w:tcPr>
          <w:p/>
        </w:tc>
        <w:tc>
          <w:tcPr>
            <w:vAlign w:val="center"/>
            <w:vMerge w:val="restart"/>
          </w:tcPr>
          <w:p>
            <w:pPr>
              <w:jc w:val="center"/>
            </w:pPr>
            <w:r>
              <w:rPr>
                <w:sz w:val="20"/>
                <w:szCs w:val="20"/>
              </w:rPr>
              <w:t xml:space="preserve">Провадження сучасних методів міграційного контролю (до 2024 року)</w:t>
            </w:r>
          </w:p>
        </w:tc>
        <w:tc>
          <w:tcPr>
            <w:vAlign w:val="center"/>
          </w:tcPr>
          <w:p>
            <w:pPr>
              <w:jc w:val="center"/>
            </w:pPr>
            <w:r>
              <w:rPr>
                <w:sz w:val="20"/>
                <w:szCs w:val="20"/>
              </w:rPr>
              <w:t xml:space="preserve">1. Розробити та подати на розгляд Кабінету Міністрів України проект постанови Кабінету Міністрів України про затвердження Положення про Єдину інформаційно-аналітичну систему управління міграційними процесами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ДМС</w:t>
            </w:r>
          </w:p>
        </w:tc>
      </w:tr>
      <w:tr>
        <w:trPr/>
        <w:tc>
          <w:tcPr>
            <w:vAlign w:val="center"/>
            <w:vMerge w:val="restart"/>
          </w:tcPr>
          <w:p>
            <w:pPr>
              <w:jc w:val="center"/>
            </w:pPr>
            <w:r>
              <w:rPr>
                <w:sz w:val="20"/>
                <w:szCs w:val="20"/>
              </w:rPr>
              <w:t xml:space="preserve">Оптимізація процедур пропуску через державний кордон та належний розвиток пунктів пропуску через державний кордон</w:t>
            </w:r>
          </w:p>
        </w:tc>
        <w:tc>
          <w:tcPr>
            <w:vAlign w:val="center"/>
            <w:vMerge w:val="restart"/>
          </w:tcPr>
          <w:p>
            <w:pPr>
              <w:jc w:val="center"/>
            </w:pPr>
            <w:r>
              <w:rPr>
                <w:sz w:val="20"/>
                <w:szCs w:val="20"/>
              </w:rPr>
              <w:t xml:space="preserve">Реалізація Стратегії інтегрованого управління кордонами (до 2025 року)</w:t>
            </w:r>
          </w:p>
        </w:tc>
        <w:tc>
          <w:tcPr>
            <w:vAlign w:val="center"/>
          </w:tcPr>
          <w:p>
            <w:pPr>
              <w:jc w:val="center"/>
            </w:pPr>
            <w:r>
              <w:rPr>
                <w:sz w:val="20"/>
                <w:szCs w:val="20"/>
              </w:rPr>
              <w:t xml:space="preserve">1. Розробити та затвердити план заходів на 2023-2025 роки з реалізації Стратегії інтегрованого управління кордонами на період до 2025 року</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МВС; Адміністрація Держприкордонслужби; ДМС; МЗС; Міноборони; ДФС; Національна поліція; Головне управління Національної гвардії; Мін’юст; СБУ (за згодою)</w:t>
            </w:r>
          </w:p>
        </w:tc>
      </w:tr>
      <w:tr>
        <w:trPr/>
        <w:tc>
          <w:tcPr>
            <w:vMerge w:val="continue"/>
          </w:tcPr>
          <w:p/>
        </w:tc>
        <w:tc>
          <w:tcPr>
            <w:vMerge w:val="continue"/>
          </w:tcPr>
          <w:p/>
        </w:tc>
        <w:tc>
          <w:tcPr>
            <w:vAlign w:val="center"/>
          </w:tcPr>
          <w:p>
            <w:pPr>
              <w:jc w:val="center"/>
            </w:pPr>
            <w:r>
              <w:rPr>
                <w:sz w:val="20"/>
                <w:szCs w:val="20"/>
              </w:rPr>
              <w:t xml:space="preserve">2. Реалізувати проекти міжнародної технічної допомоги у сфері інтегрованого управління кордонами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Адміністрація Держприкордонслужби</w:t>
            </w:r>
          </w:p>
        </w:tc>
      </w:tr>
      <w:tr>
        <w:trPr/>
        <w:tc>
          <w:tcPr>
            <w:vMerge w:val="continue"/>
          </w:tcPr>
          <w:p/>
        </w:tc>
        <w:tc>
          <w:tcPr>
            <w:vMerge w:val="continue"/>
          </w:tcPr>
          <w:p/>
        </w:tc>
        <w:tc>
          <w:tcPr>
            <w:vAlign w:val="center"/>
          </w:tcPr>
          <w:p>
            <w:pPr>
              <w:jc w:val="center"/>
            </w:pPr>
            <w:r>
              <w:rPr>
                <w:sz w:val="20"/>
                <w:szCs w:val="20"/>
              </w:rPr>
              <w:t xml:space="preserve">3. Здійснити заходи щодо закупівлі 20 патрульних катерів для потреб Морської охорони ДПСУ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МВС, Адміністрація Держприкордонслужби</w:t>
            </w:r>
          </w:p>
        </w:tc>
      </w:tr>
      <w:tr>
        <w:trPr/>
        <w:tc>
          <w:tcPr>
            <w:vMerge w:val="continue"/>
          </w:tcPr>
          <w:p/>
        </w:tc>
        <w:tc>
          <w:tcPr>
            <w:vMerge w:val="continue"/>
          </w:tcPr>
          <w:p/>
        </w:tc>
        <w:tc>
          <w:tcPr>
            <w:vAlign w:val="center"/>
          </w:tcPr>
          <w:p>
            <w:pPr>
              <w:jc w:val="center"/>
            </w:pPr>
            <w:r>
              <w:rPr>
                <w:sz w:val="20"/>
                <w:szCs w:val="20"/>
              </w:rPr>
              <w:t xml:space="preserve">4. Встановити комплекс відеоспостереження та сигналізації спільно з Румунською Стороною для прикриття активної ділянки протиправної діяльності відділу прикордонної служби «Ділове»  Мукачівського прикордонного загону.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Адміністрація Держприкордонслужби</w:t>
            </w:r>
          </w:p>
        </w:tc>
      </w:tr>
      <w:tr>
        <w:trPr/>
        <w:tc>
          <w:tcPr>
            <w:vMerge w:val="continue"/>
          </w:tcPr>
          <w:p/>
        </w:tc>
        <w:tc>
          <w:tcPr>
            <w:vMerge w:val="continue"/>
          </w:tcPr>
          <w:p/>
        </w:tc>
        <w:tc>
          <w:tcPr>
            <w:vAlign w:val="center"/>
          </w:tcPr>
          <w:p>
            <w:pPr>
              <w:jc w:val="center"/>
            </w:pPr>
            <w:r>
              <w:rPr>
                <w:sz w:val="20"/>
                <w:szCs w:val="20"/>
              </w:rPr>
              <w:t xml:space="preserve">5. Розробити 40 км контрольно-слідових смуг та облаштувати 50 км інженерних загороджень.</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Адміністрація Держприкордонслужби</w:t>
            </w:r>
          </w:p>
        </w:tc>
      </w:tr>
      <w:tr>
        <w:trPr/>
        <w:tc>
          <w:tcPr>
            <w:vMerge w:val="continue"/>
          </w:tcPr>
          <w:p/>
        </w:tc>
        <w:tc>
          <w:tcPr>
            <w:vMerge w:val="continue"/>
          </w:tcPr>
          <w:p/>
        </w:tc>
        <w:tc>
          <w:tcPr>
            <w:vAlign w:val="center"/>
          </w:tcPr>
          <w:p>
            <w:pPr>
              <w:jc w:val="center"/>
            </w:pPr>
            <w:r>
              <w:rPr>
                <w:sz w:val="20"/>
                <w:szCs w:val="20"/>
              </w:rPr>
              <w:t xml:space="preserve">6. Отримати 7 легких патрульних вертольотів Н125 компанії «Airbus» для потреб ДПСУ в 2020 році та 15 од. в 2021 р.</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Адміністрація Держприкордонслужби</w:t>
            </w:r>
          </w:p>
        </w:tc>
      </w:tr>
      <w:tr>
        <w:trPr/>
        <w:tc>
          <w:tcPr>
            <w:vMerge w:val="continue"/>
          </w:tcPr>
          <w:p/>
        </w:tc>
        <w:tc>
          <w:tcPr>
            <w:vMerge w:val="continue"/>
          </w:tcPr>
          <w:p/>
        </w:tc>
        <w:tc>
          <w:tcPr>
            <w:vAlign w:val="center"/>
          </w:tcPr>
          <w:p>
            <w:pPr>
              <w:jc w:val="center"/>
            </w:pPr>
            <w:r>
              <w:rPr>
                <w:sz w:val="20"/>
                <w:szCs w:val="20"/>
              </w:rPr>
              <w:t xml:space="preserve">7. Оснастити підрозділи охорони державного кордону засобами виявлення безпілотних літальних апаратів типу «Аероскоп» (у 2020 році – 1 од.,  2021-2022 рр. – 5) та засобами протидії безпілотним літальним апаратам (у 2020 році – 1 од., 2021-2022 рр. – 11).</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МВС, Адміністрація Держприкордонслужби</w:t>
            </w:r>
          </w:p>
        </w:tc>
      </w:tr>
      <w:tr>
        <w:trPr/>
        <w:tc>
          <w:tcPr>
            <w:vMerge w:val="continue"/>
          </w:tcPr>
          <w:p/>
        </w:tc>
        <w:tc>
          <w:tcPr>
            <w:vAlign w:val="center"/>
            <w:vMerge w:val="restart"/>
          </w:tcPr>
          <w:p>
            <w:pPr>
              <w:jc w:val="center"/>
            </w:pPr>
            <w:r>
              <w:rPr>
                <w:sz w:val="20"/>
                <w:szCs w:val="20"/>
              </w:rPr>
              <w:t xml:space="preserve">Автоматизація процесів прикордонного контролю (до 2024 року)</w:t>
            </w:r>
          </w:p>
        </w:tc>
        <w:tc>
          <w:tcPr>
            <w:vAlign w:val="center"/>
          </w:tcPr>
          <w:p>
            <w:pPr>
              <w:jc w:val="center"/>
            </w:pPr>
            <w:r>
              <w:rPr>
                <w:sz w:val="20"/>
                <w:szCs w:val="20"/>
              </w:rPr>
              <w:t xml:space="preserve">1. Проаналізувати передовий міжнародний досвід щодо функціонування автоматизованих інформаційних систем у частині перетину кордону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МВС; МЗС; Адміністрація Держприкордонслужби; Національна поліція; ДФС; Мінінфраструктури; СБУ (за згодою); Мінсоцполітики; Служба зовнішньої розвідки (за згодою)</w:t>
            </w:r>
          </w:p>
        </w:tc>
      </w:tr>
      <w:tr>
        <w:trPr/>
        <w:tc>
          <w:tcPr>
            <w:vMerge w:val="continue"/>
          </w:tcPr>
          <w:p/>
        </w:tc>
        <w:tc>
          <w:tcPr>
            <w:vMerge w:val="continue"/>
          </w:tcPr>
          <w:p/>
        </w:tc>
        <w:tc>
          <w:tcPr>
            <w:vAlign w:val="center"/>
          </w:tcPr>
          <w:p>
            <w:pPr>
              <w:jc w:val="center"/>
            </w:pPr>
            <w:r>
              <w:rPr>
                <w:sz w:val="20"/>
                <w:szCs w:val="20"/>
              </w:rPr>
              <w:t xml:space="preserve">2. Створити інтелектуальну системи відеоспостереження ДПСУ (забезпечити інтеграцію з іншими інтелектуальними системами з функціями розпізнавання обличчя, номерних знаків, об’єктів критичної інфраструктури для потреб суб’єктів сектору безпеки та оборони)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Адміністрація Держприкордонслужби; ДФС</w:t>
            </w:r>
          </w:p>
        </w:tc>
      </w:tr>
      <w:tr>
        <w:trPr/>
        <w:tc>
          <w:tcPr>
            <w:vMerge w:val="continue"/>
          </w:tcPr>
          <w:p/>
        </w:tc>
        <w:tc>
          <w:tcPr>
            <w:vMerge w:val="continue"/>
          </w:tcPr>
          <w:p/>
        </w:tc>
        <w:tc>
          <w:tcPr>
            <w:vAlign w:val="center"/>
          </w:tcPr>
          <w:p>
            <w:pPr>
              <w:jc w:val="center"/>
            </w:pPr>
            <w:r>
              <w:rPr>
                <w:sz w:val="20"/>
                <w:szCs w:val="20"/>
              </w:rPr>
              <w:t xml:space="preserve">3. Розробити пропозиції щодо внесення змін до нормативно-правових актів стосовно модернізації системи “Аркан”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МВС; МЗС; Адміністрація Держприкордонслужби; Національна поліція; ДФС; Мінінфраструктури; СБУ (за згодою); Мінсоцполітики; Служба зовнішньої розвідки (за згодою)</w:t>
            </w:r>
          </w:p>
        </w:tc>
      </w:tr>
      <w:tr>
        <w:trPr/>
        <w:tc>
          <w:tcPr>
            <w:vMerge w:val="continue"/>
          </w:tcPr>
          <w:p/>
        </w:tc>
        <w:tc>
          <w:tcPr>
            <w:vMerge w:val="continue"/>
          </w:tcPr>
          <w:p/>
        </w:tc>
        <w:tc>
          <w:tcPr>
            <w:vAlign w:val="center"/>
          </w:tcPr>
          <w:p>
            <w:pPr>
              <w:jc w:val="center"/>
            </w:pPr>
            <w:r>
              <w:rPr>
                <w:sz w:val="20"/>
                <w:szCs w:val="20"/>
              </w:rPr>
              <w:t xml:space="preserve">4. Забезпечити функціонування модернізованої системи “Аркан”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МЗС; Адміністрація Держприкордонслужби; Національна поліція; ДФС; Мінінфраструктури; СБУ (за згодою); Мінсоцполітики; Служба зовнішньої розвідки (за згодою)</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BCEF92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2020-02-10T10:30:02+02:00</dcterms:created>
  <dcterms:modified xsi:type="dcterms:W3CDTF">2020-02-10T10:30:02+02:00</dcterms:modified>
</cp:coreProperties>
</file>

<file path=docProps/custom.xml><?xml version="1.0" encoding="utf-8"?>
<Properties xmlns="http://schemas.openxmlformats.org/officeDocument/2006/custom-properties" xmlns:vt="http://schemas.openxmlformats.org/officeDocument/2006/docPropsVTypes"/>
</file>